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55" w:rsidRPr="00A17855" w:rsidRDefault="00A17855" w:rsidP="00A17855">
      <w:pPr>
        <w:widowControl/>
        <w:jc w:val="left"/>
        <w:textAlignment w:val="center"/>
        <w:rPr>
          <w:rFonts w:ascii="黑体" w:eastAsia="黑体" w:hAnsi="黑体" w:cs="仿宋_GB2312" w:hint="eastAsia"/>
          <w:color w:val="000000"/>
          <w:kern w:val="0"/>
          <w:sz w:val="32"/>
          <w:szCs w:val="32"/>
          <w:lang w:bidi="ar"/>
        </w:rPr>
      </w:pPr>
      <w:r w:rsidRPr="00A17855">
        <w:rPr>
          <w:rFonts w:ascii="黑体" w:eastAsia="黑体" w:hAnsi="黑体" w:cs="仿宋_GB2312" w:hint="eastAsia"/>
          <w:color w:val="000000"/>
          <w:kern w:val="0"/>
          <w:sz w:val="32"/>
          <w:szCs w:val="32"/>
          <w:lang w:bidi="ar"/>
        </w:rPr>
        <w:t>附件</w:t>
      </w:r>
    </w:p>
    <w:p w:rsidR="00A17855" w:rsidRPr="00A17855" w:rsidRDefault="00A17855" w:rsidP="00A17855">
      <w:pPr>
        <w:widowControl/>
        <w:jc w:val="center"/>
        <w:textAlignment w:val="center"/>
        <w:rPr>
          <w:rFonts w:ascii="方正小标宋简体" w:eastAsia="方正小标宋简体" w:hAnsi="宋体" w:cs="宋体" w:hint="eastAsia"/>
          <w:bCs/>
          <w:color w:val="000000"/>
          <w:sz w:val="40"/>
          <w:szCs w:val="40"/>
        </w:rPr>
      </w:pPr>
      <w:bookmarkStart w:id="0" w:name="_GoBack"/>
      <w:r w:rsidRPr="00A17855">
        <w:rPr>
          <w:rFonts w:ascii="方正小标宋简体" w:eastAsia="方正小标宋简体" w:hAnsi="宋体" w:cs="宋体" w:hint="eastAsia"/>
          <w:bCs/>
          <w:color w:val="000000"/>
          <w:kern w:val="0"/>
          <w:sz w:val="40"/>
          <w:szCs w:val="40"/>
          <w:lang w:bidi="ar"/>
        </w:rPr>
        <w:t>常州市钟楼区各镇（街道）相对集中行使的行政处罚权目录清单</w:t>
      </w:r>
    </w:p>
    <w:tbl>
      <w:tblPr>
        <w:tblW w:w="12946" w:type="dxa"/>
        <w:tblInd w:w="71"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57" w:type="dxa"/>
          <w:right w:w="57" w:type="dxa"/>
        </w:tblCellMar>
        <w:tblLook w:val="0000" w:firstRow="0" w:lastRow="0" w:firstColumn="0" w:lastColumn="0" w:noHBand="0" w:noVBand="0"/>
      </w:tblPr>
      <w:tblGrid>
        <w:gridCol w:w="706"/>
        <w:gridCol w:w="1080"/>
        <w:gridCol w:w="5937"/>
        <w:gridCol w:w="1020"/>
        <w:gridCol w:w="3043"/>
        <w:gridCol w:w="1160"/>
      </w:tblGrid>
      <w:tr w:rsidR="00A17855" w:rsidRPr="00A17855" w:rsidTr="000B2567">
        <w:trPr>
          <w:trHeight w:val="760"/>
          <w:tblHeader/>
        </w:trPr>
        <w:tc>
          <w:tcPr>
            <w:tcW w:w="706" w:type="dxa"/>
            <w:tcBorders>
              <w:bottom w:val="single" w:sz="4" w:space="0" w:color="000000"/>
              <w:right w:val="single" w:sz="4" w:space="0" w:color="000000"/>
            </w:tcBorders>
            <w:noWrap/>
            <w:vAlign w:val="center"/>
          </w:tcPr>
          <w:bookmarkEnd w:id="0"/>
          <w:p w:rsidR="00A17855" w:rsidRPr="00A17855" w:rsidRDefault="00A17855" w:rsidP="00A17855">
            <w:pPr>
              <w:widowControl/>
              <w:jc w:val="center"/>
              <w:textAlignment w:val="center"/>
              <w:rPr>
                <w:rFonts w:ascii="黑体" w:eastAsia="黑体" w:hAnsi="黑体" w:cs="Times New Roman"/>
                <w:color w:val="000000"/>
                <w:sz w:val="20"/>
                <w:szCs w:val="20"/>
              </w:rPr>
            </w:pPr>
            <w:r w:rsidRPr="00A17855">
              <w:rPr>
                <w:rFonts w:ascii="黑体" w:eastAsia="黑体" w:hAnsi="黑体" w:cs="Times New Roman"/>
                <w:color w:val="000000"/>
                <w:kern w:val="0"/>
                <w:sz w:val="20"/>
                <w:szCs w:val="20"/>
                <w:lang w:bidi="ar"/>
              </w:rPr>
              <w:t>序号</w:t>
            </w:r>
          </w:p>
        </w:tc>
        <w:tc>
          <w:tcPr>
            <w:tcW w:w="1080" w:type="dxa"/>
            <w:tcBorders>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黑体" w:eastAsia="黑体" w:hAnsi="黑体" w:cs="Times New Roman"/>
                <w:color w:val="000000"/>
                <w:kern w:val="0"/>
                <w:sz w:val="20"/>
                <w:szCs w:val="20"/>
                <w:lang w:bidi="ar"/>
              </w:rPr>
            </w:pPr>
            <w:r w:rsidRPr="00A17855">
              <w:rPr>
                <w:rFonts w:ascii="黑体" w:eastAsia="黑体" w:hAnsi="黑体" w:cs="Times New Roman"/>
                <w:color w:val="000000"/>
                <w:kern w:val="0"/>
                <w:sz w:val="20"/>
                <w:szCs w:val="20"/>
                <w:lang w:bidi="ar"/>
              </w:rPr>
              <w:t>原实施</w:t>
            </w:r>
          </w:p>
          <w:p w:rsidR="00A17855" w:rsidRPr="00A17855" w:rsidRDefault="00A17855" w:rsidP="00A17855">
            <w:pPr>
              <w:widowControl/>
              <w:jc w:val="center"/>
              <w:textAlignment w:val="center"/>
              <w:rPr>
                <w:rFonts w:ascii="黑体" w:eastAsia="黑体" w:hAnsi="黑体" w:cs="Times New Roman"/>
                <w:color w:val="000000"/>
                <w:sz w:val="20"/>
                <w:szCs w:val="20"/>
              </w:rPr>
            </w:pPr>
            <w:r w:rsidRPr="00A17855">
              <w:rPr>
                <w:rFonts w:ascii="黑体" w:eastAsia="黑体" w:hAnsi="黑体" w:cs="Times New Roman"/>
                <w:color w:val="000000"/>
                <w:kern w:val="0"/>
                <w:sz w:val="20"/>
                <w:szCs w:val="20"/>
                <w:lang w:bidi="ar"/>
              </w:rPr>
              <w:t>主体</w:t>
            </w:r>
          </w:p>
        </w:tc>
        <w:tc>
          <w:tcPr>
            <w:tcW w:w="5937" w:type="dxa"/>
            <w:tcBorders>
              <w:left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黑体" w:eastAsia="黑体" w:hAnsi="黑体" w:cs="Times New Roman"/>
                <w:color w:val="000000"/>
                <w:sz w:val="20"/>
                <w:szCs w:val="20"/>
              </w:rPr>
            </w:pPr>
            <w:r w:rsidRPr="00A17855">
              <w:rPr>
                <w:rFonts w:ascii="黑体" w:eastAsia="黑体" w:hAnsi="黑体" w:cs="Times New Roman"/>
                <w:color w:val="000000"/>
                <w:kern w:val="0"/>
                <w:sz w:val="20"/>
                <w:szCs w:val="20"/>
                <w:lang w:bidi="ar"/>
              </w:rPr>
              <w:t>权限名称</w:t>
            </w:r>
          </w:p>
        </w:tc>
        <w:tc>
          <w:tcPr>
            <w:tcW w:w="1020" w:type="dxa"/>
            <w:tcBorders>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黑体" w:eastAsia="黑体" w:hAnsi="黑体" w:cs="Times New Roman"/>
                <w:color w:val="000000"/>
                <w:sz w:val="20"/>
                <w:szCs w:val="20"/>
              </w:rPr>
            </w:pPr>
            <w:r w:rsidRPr="00A17855">
              <w:rPr>
                <w:rFonts w:ascii="黑体" w:eastAsia="黑体" w:hAnsi="黑体" w:cs="Times New Roman"/>
                <w:color w:val="000000"/>
                <w:kern w:val="0"/>
                <w:sz w:val="20"/>
                <w:szCs w:val="20"/>
                <w:lang w:bidi="ar"/>
              </w:rPr>
              <w:t>权限类型</w:t>
            </w:r>
          </w:p>
        </w:tc>
        <w:tc>
          <w:tcPr>
            <w:tcW w:w="3043" w:type="dxa"/>
            <w:tcBorders>
              <w:left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黑体" w:eastAsia="黑体" w:hAnsi="黑体" w:cs="Times New Roman"/>
                <w:color w:val="000000"/>
                <w:sz w:val="20"/>
                <w:szCs w:val="20"/>
              </w:rPr>
            </w:pPr>
            <w:r w:rsidRPr="00A17855">
              <w:rPr>
                <w:rFonts w:ascii="黑体" w:eastAsia="黑体" w:hAnsi="黑体" w:cs="Times New Roman"/>
                <w:color w:val="000000"/>
                <w:kern w:val="0"/>
                <w:sz w:val="20"/>
                <w:szCs w:val="20"/>
                <w:lang w:bidi="ar"/>
              </w:rPr>
              <w:t>设定依据</w:t>
            </w:r>
          </w:p>
        </w:tc>
        <w:tc>
          <w:tcPr>
            <w:tcW w:w="1160" w:type="dxa"/>
            <w:tcBorders>
              <w:left w:val="single" w:sz="4" w:space="0" w:color="000000"/>
              <w:bottom w:val="single" w:sz="4" w:space="0" w:color="000000"/>
            </w:tcBorders>
            <w:vAlign w:val="center"/>
          </w:tcPr>
          <w:p w:rsidR="00A17855" w:rsidRPr="00A17855" w:rsidRDefault="00A17855" w:rsidP="00A17855">
            <w:pPr>
              <w:widowControl/>
              <w:jc w:val="center"/>
              <w:textAlignment w:val="center"/>
              <w:rPr>
                <w:rFonts w:ascii="黑体" w:eastAsia="黑体" w:hAnsi="黑体" w:cs="Times New Roman"/>
                <w:color w:val="000000"/>
                <w:kern w:val="0"/>
                <w:sz w:val="20"/>
                <w:szCs w:val="20"/>
                <w:lang w:bidi="ar"/>
              </w:rPr>
            </w:pPr>
            <w:r w:rsidRPr="00A17855">
              <w:rPr>
                <w:rFonts w:ascii="黑体" w:eastAsia="黑体" w:hAnsi="黑体" w:cs="Times New Roman"/>
                <w:color w:val="000000"/>
                <w:kern w:val="0"/>
                <w:sz w:val="20"/>
                <w:szCs w:val="20"/>
                <w:lang w:bidi="ar"/>
              </w:rPr>
              <w:t>备注</w:t>
            </w:r>
          </w:p>
          <w:p w:rsidR="00A17855" w:rsidRPr="00A17855" w:rsidRDefault="00A17855" w:rsidP="00A17855">
            <w:pPr>
              <w:widowControl/>
              <w:jc w:val="center"/>
              <w:textAlignment w:val="center"/>
              <w:rPr>
                <w:rFonts w:ascii="黑体" w:eastAsia="黑体" w:hAnsi="黑体" w:cs="Times New Roman"/>
                <w:color w:val="000000"/>
                <w:sz w:val="20"/>
                <w:szCs w:val="20"/>
              </w:rPr>
            </w:pPr>
            <w:r w:rsidRPr="00A17855">
              <w:rPr>
                <w:rFonts w:ascii="黑体" w:eastAsia="黑体" w:hAnsi="黑体" w:cs="Times New Roman"/>
                <w:color w:val="000000"/>
                <w:kern w:val="0"/>
                <w:sz w:val="20"/>
                <w:szCs w:val="20"/>
                <w:lang w:bidi="ar"/>
              </w:rPr>
              <w:t>（省序号）</w:t>
            </w:r>
          </w:p>
        </w:tc>
      </w:tr>
      <w:tr w:rsidR="00A17855" w:rsidRPr="00A17855" w:rsidTr="000B2567">
        <w:trPr>
          <w:trHeight w:val="36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w:t>
            </w:r>
          </w:p>
        </w:tc>
        <w:tc>
          <w:tcPr>
            <w:tcW w:w="1080" w:type="dxa"/>
            <w:vMerge w:val="restart"/>
            <w:tcBorders>
              <w:top w:val="single" w:sz="4" w:space="0" w:color="000000"/>
              <w:left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教育局</w:t>
            </w:r>
          </w:p>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w:t>
            </w:r>
            <w:r w:rsidRPr="00A17855">
              <w:rPr>
                <w:rFonts w:ascii="Times New Roman" w:eastAsia="宋体" w:hAnsi="Times New Roman" w:cs="Times New Roman"/>
                <w:color w:val="000000"/>
                <w:kern w:val="0"/>
                <w:sz w:val="20"/>
                <w:szCs w:val="20"/>
                <w:lang w:bidi="ar"/>
              </w:rPr>
              <w:t>2</w:t>
            </w:r>
            <w:r w:rsidRPr="00A17855">
              <w:rPr>
                <w:rFonts w:ascii="Times New Roman" w:eastAsia="宋体" w:hAnsi="Times New Roman" w:cs="Times New Roman"/>
                <w:color w:val="000000"/>
                <w:kern w:val="0"/>
                <w:sz w:val="20"/>
                <w:szCs w:val="20"/>
                <w:lang w:bidi="ar"/>
              </w:rPr>
              <w:t>项）</w:t>
            </w: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对违反国家有关规定举办学校或其他教育机构进行处罚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《中华人民共和国教育法》《中华人民共和国民办教育促进法》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w:t>
            </w:r>
          </w:p>
        </w:tc>
      </w:tr>
      <w:tr w:rsidR="00A17855" w:rsidRPr="00A17855" w:rsidTr="000B2567">
        <w:trPr>
          <w:trHeight w:val="52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w:t>
            </w:r>
          </w:p>
        </w:tc>
        <w:tc>
          <w:tcPr>
            <w:tcW w:w="1080" w:type="dxa"/>
            <w:vMerge/>
            <w:tcBorders>
              <w:left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对擅自招收幼儿、设施威胁幼儿安全、教育损害幼儿身心健康的处罚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《幼儿园管理条例》《江苏省学前教育条例》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w:t>
            </w:r>
          </w:p>
        </w:tc>
      </w:tr>
      <w:tr w:rsidR="00A17855" w:rsidRPr="00A17855" w:rsidTr="000B2567">
        <w:trPr>
          <w:trHeight w:val="9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w:t>
            </w:r>
          </w:p>
        </w:tc>
        <w:tc>
          <w:tcPr>
            <w:tcW w:w="1080" w:type="dxa"/>
            <w:vMerge w:val="restart"/>
            <w:tcBorders>
              <w:top w:val="single" w:sz="4" w:space="0" w:color="000000"/>
              <w:left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民族宗教事务局</w:t>
            </w:r>
          </w:p>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w:t>
            </w:r>
            <w:r w:rsidRPr="00A17855">
              <w:rPr>
                <w:rFonts w:ascii="Times New Roman" w:eastAsia="宋体" w:hAnsi="Times New Roman" w:cs="Times New Roman"/>
                <w:color w:val="000000"/>
                <w:kern w:val="0"/>
                <w:sz w:val="20"/>
                <w:szCs w:val="20"/>
                <w:lang w:bidi="ar"/>
              </w:rPr>
              <w:t>12</w:t>
            </w:r>
            <w:r w:rsidRPr="00A17855">
              <w:rPr>
                <w:rFonts w:ascii="Times New Roman" w:eastAsia="宋体" w:hAnsi="Times New Roman" w:cs="Times New Roman"/>
                <w:color w:val="000000"/>
                <w:kern w:val="0"/>
                <w:sz w:val="20"/>
                <w:szCs w:val="20"/>
                <w:lang w:bidi="ar"/>
              </w:rPr>
              <w:t>项）</w:t>
            </w: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对携带清真禁忌食品、物品进入清真食品的专营场所行为的处罚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《江苏省清真食品监督保护条例》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w:t>
            </w:r>
          </w:p>
        </w:tc>
      </w:tr>
      <w:tr w:rsidR="00A17855" w:rsidRPr="00A17855" w:rsidTr="000B2567">
        <w:trPr>
          <w:trHeight w:val="48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w:t>
            </w:r>
          </w:p>
        </w:tc>
        <w:tc>
          <w:tcPr>
            <w:tcW w:w="1080" w:type="dxa"/>
            <w:vMerge/>
            <w:tcBorders>
              <w:left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对在非专营清真食品场所内设置清真食品柜台或者摊点，未采取有效措施，与清真禁忌食品、物品柜台或者摊点相隔离行为的处罚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《江苏省清真食品监督保护条例》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w:t>
            </w:r>
          </w:p>
        </w:tc>
      </w:tr>
      <w:tr w:rsidR="00A17855" w:rsidRPr="00A17855" w:rsidTr="000B2567">
        <w:trPr>
          <w:trHeight w:val="72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5</w:t>
            </w:r>
          </w:p>
        </w:tc>
        <w:tc>
          <w:tcPr>
            <w:tcW w:w="1080" w:type="dxa"/>
            <w:vMerge/>
            <w:tcBorders>
              <w:left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对邻近清真食品专营场所设置清真禁忌食品、物品经营场所或者摊点，未与清真食品专营场所保持适当距离或者未采取相应的隔离措施，影响清真食品专营场所的经营活动行为的处罚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《江苏省清真食品监督保护条例》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5</w:t>
            </w:r>
          </w:p>
        </w:tc>
      </w:tr>
      <w:tr w:rsidR="00A17855" w:rsidRPr="00A17855" w:rsidTr="000B2567">
        <w:trPr>
          <w:trHeight w:val="48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6</w:t>
            </w:r>
          </w:p>
        </w:tc>
        <w:tc>
          <w:tcPr>
            <w:tcW w:w="1080" w:type="dxa"/>
            <w:vMerge/>
            <w:tcBorders>
              <w:left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对未按少数民族的清真饮食习俗屠宰畜禽或者加工、制作清真食品行为的处罚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《江苏省清真食品监督保护条例》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6</w:t>
            </w:r>
          </w:p>
        </w:tc>
      </w:tr>
      <w:tr w:rsidR="00A17855" w:rsidRPr="00A17855" w:rsidTr="000B2567">
        <w:trPr>
          <w:trHeight w:val="365"/>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7</w:t>
            </w:r>
          </w:p>
        </w:tc>
        <w:tc>
          <w:tcPr>
            <w:tcW w:w="1080" w:type="dxa"/>
            <w:vMerge/>
            <w:tcBorders>
              <w:left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对未按照清真要求采购制成品、原料行为的处罚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《江苏省清真食品监督保护条例》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7</w:t>
            </w:r>
          </w:p>
        </w:tc>
      </w:tr>
      <w:tr w:rsidR="00A17855" w:rsidRPr="00A17855" w:rsidTr="000B2567">
        <w:trPr>
          <w:trHeight w:val="48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8</w:t>
            </w:r>
          </w:p>
        </w:tc>
        <w:tc>
          <w:tcPr>
            <w:tcW w:w="1080" w:type="dxa"/>
            <w:vMerge/>
            <w:tcBorders>
              <w:left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对清真食品的运输车辆、计量器具、储藏容器和加工、储存、销售的场地，用以运送、称量、存放清真禁忌食品、物品行为的处罚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《江苏省清真食品监督保护条例》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8</w:t>
            </w:r>
          </w:p>
        </w:tc>
      </w:tr>
      <w:tr w:rsidR="00A17855" w:rsidRPr="00A17855" w:rsidTr="000B2567">
        <w:trPr>
          <w:trHeight w:val="100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w:t>
            </w:r>
          </w:p>
        </w:tc>
        <w:tc>
          <w:tcPr>
            <w:tcW w:w="1080" w:type="dxa"/>
            <w:vMerge/>
            <w:tcBorders>
              <w:left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对专门从事清真食品生产、经营的企业和个体工商户在其字号、招牌上使用有清真饮食习俗的少数民族禁忌的语言、文字、图像的；或者其他从事食品生产、经营的企业和个体工商户在其字号、招牌上使用</w:t>
            </w:r>
            <w:r w:rsidRPr="00A17855">
              <w:rPr>
                <w:rFonts w:ascii="Times New Roman" w:eastAsia="宋体" w:hAnsi="Times New Roman" w:cs="Times New Roman"/>
                <w:color w:val="000000"/>
                <w:kern w:val="0"/>
                <w:sz w:val="20"/>
                <w:szCs w:val="20"/>
                <w:lang w:bidi="ar"/>
              </w:rPr>
              <w:t>"</w:t>
            </w:r>
            <w:r w:rsidRPr="00A17855">
              <w:rPr>
                <w:rFonts w:ascii="Times New Roman" w:eastAsia="宋体" w:hAnsi="宋体" w:cs="Times New Roman"/>
                <w:color w:val="000000"/>
                <w:kern w:val="0"/>
                <w:sz w:val="20"/>
                <w:szCs w:val="20"/>
                <w:lang w:bidi="ar"/>
              </w:rPr>
              <w:t>清真</w:t>
            </w:r>
            <w:r w:rsidRPr="00A17855">
              <w:rPr>
                <w:rFonts w:ascii="Times New Roman" w:eastAsia="宋体" w:hAnsi="Times New Roman" w:cs="Times New Roman"/>
                <w:color w:val="000000"/>
                <w:kern w:val="0"/>
                <w:sz w:val="20"/>
                <w:szCs w:val="20"/>
                <w:lang w:bidi="ar"/>
              </w:rPr>
              <w:t>"</w:t>
            </w:r>
            <w:r w:rsidRPr="00A17855">
              <w:rPr>
                <w:rFonts w:ascii="Times New Roman" w:eastAsia="宋体" w:hAnsi="宋体" w:cs="Times New Roman"/>
                <w:color w:val="000000"/>
                <w:kern w:val="0"/>
                <w:sz w:val="20"/>
                <w:szCs w:val="20"/>
                <w:lang w:bidi="ar"/>
              </w:rPr>
              <w:t>字样或者标有清真含义符号行为的处罚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《江苏省清真食品监督保护条例》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w:t>
            </w:r>
          </w:p>
        </w:tc>
      </w:tr>
      <w:tr w:rsidR="00A17855" w:rsidRPr="00A17855" w:rsidTr="000B2567">
        <w:trPr>
          <w:trHeight w:val="96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lastRenderedPageBreak/>
              <w:t>10</w:t>
            </w:r>
          </w:p>
        </w:tc>
        <w:tc>
          <w:tcPr>
            <w:tcW w:w="1080" w:type="dxa"/>
            <w:vMerge w:val="restart"/>
            <w:tcBorders>
              <w:top w:val="single" w:sz="4" w:space="0" w:color="000000"/>
              <w:left w:val="single" w:sz="4" w:space="0" w:color="000000"/>
              <w:right w:val="single" w:sz="4" w:space="0" w:color="000000"/>
            </w:tcBorders>
            <w:noWrap/>
            <w:vAlign w:val="center"/>
          </w:tcPr>
          <w:p w:rsidR="00A17855" w:rsidRPr="00A17855" w:rsidRDefault="00A17855" w:rsidP="00A17855">
            <w:pPr>
              <w:widowControl/>
              <w:spacing w:line="300" w:lineRule="exact"/>
              <w:jc w:val="center"/>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民族宗教事务局</w:t>
            </w:r>
          </w:p>
          <w:p w:rsidR="00A17855" w:rsidRPr="00A17855" w:rsidRDefault="00A17855" w:rsidP="00A17855">
            <w:pPr>
              <w:widowControl/>
              <w:spacing w:line="300" w:lineRule="exact"/>
              <w:jc w:val="center"/>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w:t>
            </w:r>
            <w:r w:rsidRPr="00A17855">
              <w:rPr>
                <w:rFonts w:ascii="Times New Roman" w:eastAsia="宋体" w:hAnsi="Times New Roman" w:cs="Times New Roman"/>
                <w:color w:val="000000"/>
                <w:kern w:val="0"/>
                <w:sz w:val="20"/>
                <w:szCs w:val="20"/>
                <w:lang w:bidi="ar"/>
              </w:rPr>
              <w:t>12</w:t>
            </w:r>
            <w:r w:rsidRPr="00A17855">
              <w:rPr>
                <w:rFonts w:ascii="Times New Roman" w:eastAsia="宋体" w:hAnsi="宋体" w:cs="Times New Roman"/>
                <w:color w:val="000000"/>
                <w:kern w:val="0"/>
                <w:sz w:val="20"/>
                <w:szCs w:val="20"/>
                <w:lang w:bidi="ar"/>
              </w:rPr>
              <w:t>项）</w:t>
            </w: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对企业和个体工商户在其生产、经营的清真食品的名称、包装上使用有清真饮食习俗的少数民族禁忌的语言、文字、图像的；或者非清真食品的名称、包装上使用</w:t>
            </w:r>
            <w:r w:rsidRPr="00A17855">
              <w:rPr>
                <w:rFonts w:ascii="Times New Roman" w:eastAsia="宋体" w:hAnsi="Times New Roman" w:cs="Times New Roman"/>
                <w:color w:val="000000"/>
                <w:kern w:val="0"/>
                <w:sz w:val="20"/>
                <w:szCs w:val="20"/>
                <w:lang w:bidi="ar"/>
              </w:rPr>
              <w:t>“</w:t>
            </w:r>
            <w:r w:rsidRPr="00A17855">
              <w:rPr>
                <w:rFonts w:ascii="Times New Roman" w:eastAsia="宋体" w:hAnsi="宋体" w:cs="Times New Roman"/>
                <w:color w:val="000000"/>
                <w:kern w:val="0"/>
                <w:sz w:val="20"/>
                <w:szCs w:val="20"/>
                <w:lang w:bidi="ar"/>
              </w:rPr>
              <w:t>清真</w:t>
            </w:r>
            <w:r w:rsidRPr="00A17855">
              <w:rPr>
                <w:rFonts w:ascii="Times New Roman" w:eastAsia="宋体" w:hAnsi="Times New Roman" w:cs="Times New Roman"/>
                <w:color w:val="000000"/>
                <w:kern w:val="0"/>
                <w:sz w:val="20"/>
                <w:szCs w:val="20"/>
                <w:lang w:bidi="ar"/>
              </w:rPr>
              <w:t>”</w:t>
            </w:r>
            <w:r w:rsidRPr="00A17855">
              <w:rPr>
                <w:rFonts w:ascii="Times New Roman" w:eastAsia="宋体" w:hAnsi="宋体" w:cs="Times New Roman"/>
                <w:color w:val="000000"/>
                <w:kern w:val="0"/>
                <w:sz w:val="20"/>
                <w:szCs w:val="20"/>
                <w:lang w:bidi="ar"/>
              </w:rPr>
              <w:t>字样或者标有清真含义的符号行为的处罚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《江苏省清真食品监督保护条例》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10</w:t>
            </w:r>
          </w:p>
        </w:tc>
      </w:tr>
      <w:tr w:rsidR="00A17855" w:rsidRPr="00A17855" w:rsidTr="000B2567">
        <w:trPr>
          <w:trHeight w:val="30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11</w:t>
            </w:r>
          </w:p>
        </w:tc>
        <w:tc>
          <w:tcPr>
            <w:tcW w:w="1080" w:type="dxa"/>
            <w:vMerge/>
            <w:tcBorders>
              <w:left w:val="single" w:sz="4" w:space="0" w:color="000000"/>
              <w:right w:val="single" w:sz="4" w:space="0" w:color="000000"/>
            </w:tcBorders>
            <w:noWrap/>
            <w:vAlign w:val="center"/>
          </w:tcPr>
          <w:p w:rsidR="00A17855" w:rsidRPr="00A17855" w:rsidRDefault="00A17855" w:rsidP="00A17855">
            <w:pPr>
              <w:widowControl/>
              <w:spacing w:line="300" w:lineRule="exact"/>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对伪造、转让、租借或者买卖清真标志牌行为的处罚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《江苏省清真食品监督保护条例》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11</w:t>
            </w:r>
          </w:p>
        </w:tc>
      </w:tr>
      <w:tr w:rsidR="00A17855" w:rsidRPr="00A17855" w:rsidTr="000B2567">
        <w:trPr>
          <w:trHeight w:val="347"/>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12</w:t>
            </w:r>
          </w:p>
        </w:tc>
        <w:tc>
          <w:tcPr>
            <w:tcW w:w="1080" w:type="dxa"/>
            <w:vMerge/>
            <w:tcBorders>
              <w:left w:val="single" w:sz="4" w:space="0" w:color="000000"/>
              <w:right w:val="single" w:sz="4" w:space="0" w:color="000000"/>
            </w:tcBorders>
            <w:noWrap/>
            <w:vAlign w:val="center"/>
          </w:tcPr>
          <w:p w:rsidR="00A17855" w:rsidRPr="00A17855" w:rsidRDefault="00A17855" w:rsidP="00A17855">
            <w:pPr>
              <w:widowControl/>
              <w:spacing w:line="300" w:lineRule="exact"/>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对宗教活动场所未建立有关管理制度或者管理制度不符合要求的处罚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《宗教事务条例》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12</w:t>
            </w:r>
          </w:p>
        </w:tc>
      </w:tr>
      <w:tr w:rsidR="00A17855" w:rsidRPr="00A17855" w:rsidTr="000B2567">
        <w:trPr>
          <w:trHeight w:val="27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13</w:t>
            </w:r>
          </w:p>
        </w:tc>
        <w:tc>
          <w:tcPr>
            <w:tcW w:w="1080" w:type="dxa"/>
            <w:vMerge/>
            <w:tcBorders>
              <w:left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对假冒宗教教职人员进行宗教活动或者骗取钱财等违法活动的处罚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《宗教事务条例》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13</w:t>
            </w:r>
          </w:p>
        </w:tc>
      </w:tr>
      <w:tr w:rsidR="00A17855" w:rsidRPr="00A17855" w:rsidTr="000B2567">
        <w:trPr>
          <w:trHeight w:val="600"/>
        </w:trPr>
        <w:tc>
          <w:tcPr>
            <w:tcW w:w="706" w:type="dxa"/>
            <w:tcBorders>
              <w:top w:val="single" w:sz="4" w:space="0" w:color="000000"/>
              <w:bottom w:val="single" w:sz="4" w:space="0" w:color="000000"/>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14</w:t>
            </w:r>
          </w:p>
        </w:tc>
        <w:tc>
          <w:tcPr>
            <w:tcW w:w="1080" w:type="dxa"/>
            <w:vMerge/>
            <w:tcBorders>
              <w:left w:val="single" w:sz="4" w:space="0" w:color="000000"/>
              <w:bottom w:val="single" w:sz="4" w:space="0" w:color="auto"/>
              <w:right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对强制公民信仰宗教或者不信仰宗教，或者干扰宗教团体、宗教院校、宗教活动场所正常的宗教活动的处罚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《宗教事务条例》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14</w:t>
            </w:r>
          </w:p>
        </w:tc>
      </w:tr>
      <w:tr w:rsidR="00A17855" w:rsidRPr="00A17855" w:rsidTr="000B2567">
        <w:trPr>
          <w:trHeight w:val="657"/>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15</w:t>
            </w:r>
          </w:p>
        </w:tc>
        <w:tc>
          <w:tcPr>
            <w:tcW w:w="1080" w:type="dxa"/>
            <w:vMerge w:val="restart"/>
            <w:tcBorders>
              <w:top w:val="single" w:sz="4" w:space="0" w:color="auto"/>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城市管理局</w:t>
            </w:r>
          </w:p>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w:t>
            </w:r>
            <w:r w:rsidRPr="00A17855">
              <w:rPr>
                <w:rFonts w:ascii="Times New Roman" w:eastAsia="宋体" w:hAnsi="Times New Roman" w:cs="Times New Roman"/>
                <w:color w:val="000000"/>
                <w:kern w:val="0"/>
                <w:sz w:val="20"/>
                <w:szCs w:val="20"/>
                <w:lang w:bidi="ar"/>
              </w:rPr>
              <w:t>69</w:t>
            </w:r>
            <w:r w:rsidRPr="00A17855">
              <w:rPr>
                <w:rFonts w:ascii="Times New Roman" w:eastAsia="宋体" w:hAnsi="Times New Roman" w:cs="Times New Roman"/>
                <w:color w:val="000000"/>
                <w:kern w:val="0"/>
                <w:sz w:val="20"/>
                <w:szCs w:val="20"/>
                <w:lang w:bidi="ar"/>
              </w:rPr>
              <w:t>项）</w:t>
            </w: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对未取得施工许可证或者为规避办理施工许可证将工程项目分解后擅自施工的处罚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《中华人民共和国建筑法》《建设工程质量管理条例》《建筑工程施工许可管理办法》《建筑业企业资质管理规定》</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26</w:t>
            </w:r>
          </w:p>
        </w:tc>
      </w:tr>
      <w:tr w:rsidR="00A17855" w:rsidRPr="00A17855" w:rsidTr="000B2567">
        <w:trPr>
          <w:trHeight w:val="602"/>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16</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对住宅物业的建设单位未通过招投标的方式选聘物业服务企业或者未经批准，擅自采用协议方式选聘物业服务企业的处罚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《物业管理条例》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27</w:t>
            </w:r>
          </w:p>
        </w:tc>
      </w:tr>
      <w:tr w:rsidR="00A17855" w:rsidRPr="00A17855" w:rsidTr="000B2567">
        <w:trPr>
          <w:trHeight w:val="52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17</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对建设单位擅自处分属于业主的物业共用部位、共用设施设备的所有权或者使用权的处罚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《物业管理条例》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28</w:t>
            </w:r>
          </w:p>
        </w:tc>
      </w:tr>
      <w:tr w:rsidR="00A17855" w:rsidRPr="00A17855" w:rsidTr="000B2567">
        <w:trPr>
          <w:trHeight w:val="52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18</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对物业服务企业将一个物业管理区域内的全部物业管理一并委托给他人的处罚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《物业管理条例》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29</w:t>
            </w:r>
          </w:p>
        </w:tc>
      </w:tr>
      <w:tr w:rsidR="00A17855" w:rsidRPr="00A17855" w:rsidTr="000B2567">
        <w:trPr>
          <w:trHeight w:val="29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19</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auto"/>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对物业服务企业挪用专项维修资金的处罚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《物业管理条例》《住宅专项维修资金管理办法》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30</w:t>
            </w:r>
          </w:p>
        </w:tc>
      </w:tr>
      <w:tr w:rsidR="00A17855" w:rsidRPr="00A17855" w:rsidTr="000B2567">
        <w:trPr>
          <w:trHeight w:val="36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20</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对建设单位在物业管理区域内不按照规定配置必要的物业管理用房的处罚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《物业管理条例》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31</w:t>
            </w:r>
          </w:p>
        </w:tc>
      </w:tr>
      <w:tr w:rsidR="00A17855" w:rsidRPr="00A17855" w:rsidTr="000B2567">
        <w:trPr>
          <w:trHeight w:val="3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21</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对物业服务企业未经业主大会同意擅自改变物业管理用房的用途的处罚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《物业管理条例》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32</w:t>
            </w:r>
          </w:p>
        </w:tc>
      </w:tr>
      <w:tr w:rsidR="00A17855" w:rsidRPr="00A17855" w:rsidTr="000B2567">
        <w:trPr>
          <w:trHeight w:val="50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lastRenderedPageBreak/>
              <w:t>22</w:t>
            </w:r>
          </w:p>
        </w:tc>
        <w:tc>
          <w:tcPr>
            <w:tcW w:w="1080" w:type="dxa"/>
            <w:vMerge w:val="restart"/>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城市管理局</w:t>
            </w:r>
          </w:p>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w:t>
            </w:r>
            <w:r w:rsidRPr="00A17855">
              <w:rPr>
                <w:rFonts w:ascii="Times New Roman" w:eastAsia="宋体" w:hAnsi="Times New Roman" w:cs="Times New Roman"/>
                <w:color w:val="000000"/>
                <w:kern w:val="0"/>
                <w:sz w:val="20"/>
                <w:szCs w:val="20"/>
                <w:lang w:bidi="ar"/>
              </w:rPr>
              <w:t>69</w:t>
            </w:r>
            <w:r w:rsidRPr="00A17855">
              <w:rPr>
                <w:rFonts w:ascii="Times New Roman" w:eastAsia="宋体" w:hAnsi="Times New Roman" w:cs="Times New Roman"/>
                <w:color w:val="000000"/>
                <w:kern w:val="0"/>
                <w:sz w:val="20"/>
                <w:szCs w:val="20"/>
                <w:lang w:bidi="ar"/>
              </w:rPr>
              <w:t>项）</w:t>
            </w: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对擅自改变物业管理区域内按照规划建设的公共建筑和共用设施用途的处罚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《物业管理条例》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33</w:t>
            </w:r>
          </w:p>
        </w:tc>
      </w:tr>
      <w:tr w:rsidR="00A17855" w:rsidRPr="00A17855" w:rsidTr="000B2567">
        <w:trPr>
          <w:trHeight w:val="320"/>
        </w:trPr>
        <w:tc>
          <w:tcPr>
            <w:tcW w:w="706" w:type="dxa"/>
            <w:tcBorders>
              <w:top w:val="single" w:sz="4" w:space="0" w:color="000000"/>
              <w:bottom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23</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auto"/>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对擅自占用、挖掘物业管理区域内道路、场地，损害业主共同利益的处罚</w:t>
            </w:r>
          </w:p>
        </w:tc>
        <w:tc>
          <w:tcPr>
            <w:tcW w:w="1020" w:type="dxa"/>
            <w:tcBorders>
              <w:top w:val="single" w:sz="4" w:space="0" w:color="000000"/>
              <w:left w:val="single" w:sz="4" w:space="0" w:color="000000"/>
              <w:bottom w:val="single" w:sz="4" w:space="0" w:color="auto"/>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auto"/>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《物业管理条例》</w:t>
            </w:r>
          </w:p>
        </w:tc>
        <w:tc>
          <w:tcPr>
            <w:tcW w:w="1160" w:type="dxa"/>
            <w:tcBorders>
              <w:top w:val="single" w:sz="4" w:space="0" w:color="000000"/>
              <w:left w:val="single" w:sz="4" w:space="0" w:color="000000"/>
              <w:bottom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34</w:t>
            </w:r>
          </w:p>
        </w:tc>
      </w:tr>
      <w:tr w:rsidR="00A17855" w:rsidRPr="00A17855" w:rsidTr="000B2567">
        <w:trPr>
          <w:trHeight w:val="380"/>
        </w:trPr>
        <w:tc>
          <w:tcPr>
            <w:tcW w:w="706" w:type="dxa"/>
            <w:tcBorders>
              <w:top w:val="single" w:sz="4" w:space="0" w:color="auto"/>
              <w:bottom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24</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auto"/>
              <w:left w:val="single" w:sz="4" w:space="0" w:color="auto"/>
              <w:bottom w:val="single" w:sz="4" w:space="0" w:color="auto"/>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对擅自利用物业共用部位、共用设施设备进行经营的处罚</w:t>
            </w:r>
          </w:p>
        </w:tc>
        <w:tc>
          <w:tcPr>
            <w:tcW w:w="1020" w:type="dxa"/>
            <w:tcBorders>
              <w:top w:val="single" w:sz="4" w:space="0" w:color="auto"/>
              <w:left w:val="single" w:sz="4" w:space="0" w:color="000000"/>
              <w:bottom w:val="single" w:sz="4" w:space="0" w:color="auto"/>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auto"/>
              <w:left w:val="single" w:sz="4" w:space="0" w:color="000000"/>
              <w:bottom w:val="single" w:sz="4" w:space="0" w:color="auto"/>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《物业管理条例》</w:t>
            </w:r>
          </w:p>
        </w:tc>
        <w:tc>
          <w:tcPr>
            <w:tcW w:w="1160" w:type="dxa"/>
            <w:tcBorders>
              <w:top w:val="single" w:sz="4" w:space="0" w:color="auto"/>
              <w:left w:val="single" w:sz="4" w:space="0" w:color="000000"/>
              <w:bottom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35</w:t>
            </w:r>
          </w:p>
        </w:tc>
      </w:tr>
      <w:tr w:rsidR="00A17855" w:rsidRPr="00A17855" w:rsidTr="000B2567">
        <w:trPr>
          <w:trHeight w:val="600"/>
        </w:trPr>
        <w:tc>
          <w:tcPr>
            <w:tcW w:w="706" w:type="dxa"/>
            <w:tcBorders>
              <w:top w:val="single" w:sz="4" w:space="0" w:color="auto"/>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25</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auto"/>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对物业服务企业未将物业承接查验情况在物业管理区域内显著位置公告的处罚</w:t>
            </w:r>
          </w:p>
        </w:tc>
        <w:tc>
          <w:tcPr>
            <w:tcW w:w="1020" w:type="dxa"/>
            <w:tcBorders>
              <w:top w:val="single" w:sz="4" w:space="0" w:color="auto"/>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auto"/>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《江苏省物业管理条例》</w:t>
            </w:r>
          </w:p>
        </w:tc>
        <w:tc>
          <w:tcPr>
            <w:tcW w:w="1160" w:type="dxa"/>
            <w:tcBorders>
              <w:top w:val="single" w:sz="4" w:space="0" w:color="auto"/>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36</w:t>
            </w:r>
          </w:p>
        </w:tc>
      </w:tr>
      <w:tr w:rsidR="00A17855" w:rsidRPr="00A17855" w:rsidTr="000B2567">
        <w:trPr>
          <w:trHeight w:val="7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26</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对被解聘的物业服务企业未按照规定办理移交手续，或者除物业服务合同另有约定外，被解聘的物业服务企业在办理交接至撤出物业管理区域前的期间内不维持正常的物业管理秩序的处罚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《江苏省物业管理条例》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37</w:t>
            </w:r>
          </w:p>
        </w:tc>
      </w:tr>
      <w:tr w:rsidR="00A17855" w:rsidRPr="00A17855" w:rsidTr="000B2567">
        <w:trPr>
          <w:trHeight w:val="36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27</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对被解聘的物业服务企业拒不撤出物业管理区域的处罚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《江苏省物业管理条例》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38</w:t>
            </w:r>
          </w:p>
        </w:tc>
      </w:tr>
      <w:tr w:rsidR="00A17855" w:rsidRPr="00A17855" w:rsidTr="000B2567">
        <w:trPr>
          <w:trHeight w:val="76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28</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对建设单位将未出售或者未附赠的车位、车库不优先出租给本区域内业主，或者将多余车位、车库出租给本物业管理区域外使用人的租赁期限超过六个月的处罚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《江苏省物业管理条例》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39</w:t>
            </w:r>
          </w:p>
        </w:tc>
      </w:tr>
      <w:tr w:rsidR="00A17855" w:rsidRPr="00A17855" w:rsidTr="000B2567">
        <w:trPr>
          <w:trHeight w:val="3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29</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对建设单位对业主要求承租的车位、车库只售不租的处罚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《江苏省物业管理条例》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40</w:t>
            </w:r>
          </w:p>
        </w:tc>
      </w:tr>
      <w:tr w:rsidR="00A17855" w:rsidRPr="00A17855" w:rsidTr="000B2567">
        <w:trPr>
          <w:trHeight w:val="50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30</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对砍伐、擅自迁移古树名木或者因养护不善致使古树名木受到损伤或者死亡行为的处罚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《城市绿化条例》《江苏省城市绿化管理条例》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42</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31</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对市容环卫责任人不履行市容环卫责任的处罚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《城市市容和环境卫生管理条例》《江苏省城市市容和环境卫生管理条例》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90</w:t>
            </w:r>
          </w:p>
        </w:tc>
      </w:tr>
      <w:tr w:rsidR="00A17855" w:rsidRPr="00A17855" w:rsidTr="000B2567">
        <w:trPr>
          <w:trHeight w:val="60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32</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对擅自在城市街道两侧和公共场地搭建临时设施的处罚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《城市市容和环境卫生管理条例》《江苏省城市市容和环境卫生管理条例》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91</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lastRenderedPageBreak/>
              <w:t>33</w:t>
            </w:r>
          </w:p>
        </w:tc>
        <w:tc>
          <w:tcPr>
            <w:tcW w:w="1080" w:type="dxa"/>
            <w:vMerge w:val="restart"/>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城市管理局</w:t>
            </w:r>
          </w:p>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w:t>
            </w:r>
            <w:r w:rsidRPr="00A17855">
              <w:rPr>
                <w:rFonts w:ascii="Times New Roman" w:eastAsia="宋体" w:hAnsi="Times New Roman" w:cs="Times New Roman"/>
                <w:color w:val="000000"/>
                <w:kern w:val="0"/>
                <w:sz w:val="20"/>
                <w:szCs w:val="20"/>
                <w:lang w:bidi="ar"/>
              </w:rPr>
              <w:t>69</w:t>
            </w:r>
            <w:r w:rsidRPr="00A17855">
              <w:rPr>
                <w:rFonts w:ascii="Times New Roman" w:eastAsia="宋体" w:hAnsi="Times New Roman" w:cs="Times New Roman"/>
                <w:color w:val="000000"/>
                <w:kern w:val="0"/>
                <w:sz w:val="20"/>
                <w:szCs w:val="20"/>
                <w:lang w:bidi="ar"/>
              </w:rPr>
              <w:t>项）</w:t>
            </w: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对擅自在城市街道两侧和公共场地堆放物料的处罚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《城市市容和环境卫生管理条例》《江苏省城市市容和环境卫生管理条例》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92</w:t>
            </w:r>
          </w:p>
        </w:tc>
      </w:tr>
      <w:tr w:rsidR="00A17855" w:rsidRPr="00A17855" w:rsidTr="000B2567">
        <w:trPr>
          <w:trHeight w:val="52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34</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对擅自占用道路、人行过街桥、人行地下过街通道、地铁通道以及其他公共场地摆摊设点的处罚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93</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35</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对设置户外广告不符合市容管理规定的处罚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《城市市容和环境卫生管理条例》《江苏省城市市容和环境卫生管理条例》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94</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36</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对不按设置规划设置户外广告设施的处罚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sz w:val="20"/>
                <w:szCs w:val="20"/>
              </w:rPr>
              <w:t>《江苏省广告条例》《江苏省户外广告管理办法》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95</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37</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对在树木、地面、建筑物、构筑物或者其他设施上刻画、涂写、张贴的处罚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《城市市容和环境卫生管理条例》《江苏省城市市容和环境卫生管理条例》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96</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38</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对随地吐痰、便溺、乱倒污水、乱扔口香糖等废弃物的处罚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《城市市容和环境卫生管理条例》《江苏省城市市容和环境卫生管理条例》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97</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39</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对乱倒垃圾、粪便的处罚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《城市市容和环境卫生管理条例》《江苏省城市市容和环境卫生管理条例》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98</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40</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对收旧、车辆清洗、维修、饮食等单位或者个人污染环境的处罚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99</w:t>
            </w:r>
          </w:p>
        </w:tc>
      </w:tr>
      <w:tr w:rsidR="00A17855" w:rsidRPr="00A17855" w:rsidTr="000B2567">
        <w:trPr>
          <w:trHeight w:val="635"/>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41</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对在实施城市生活垃圾分类处理的区域，将废电池、荧光灯管、电子显示屏等有毒有害垃圾倒入生活垃圾容器或者任意排放、遗弃的处罚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100</w:t>
            </w:r>
          </w:p>
        </w:tc>
      </w:tr>
      <w:tr w:rsidR="00A17855" w:rsidRPr="00A17855" w:rsidTr="000B2567">
        <w:trPr>
          <w:trHeight w:val="33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lastRenderedPageBreak/>
              <w:t>42</w:t>
            </w:r>
          </w:p>
        </w:tc>
        <w:tc>
          <w:tcPr>
            <w:tcW w:w="1080" w:type="dxa"/>
            <w:vMerge w:val="restart"/>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城市管理局</w:t>
            </w:r>
          </w:p>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w:t>
            </w:r>
            <w:r w:rsidRPr="00A17855">
              <w:rPr>
                <w:rFonts w:ascii="Times New Roman" w:eastAsia="宋体" w:hAnsi="Times New Roman" w:cs="Times New Roman"/>
                <w:color w:val="000000"/>
                <w:kern w:val="0"/>
                <w:sz w:val="20"/>
                <w:szCs w:val="20"/>
                <w:lang w:bidi="ar"/>
              </w:rPr>
              <w:t>69</w:t>
            </w:r>
            <w:r w:rsidRPr="00A17855">
              <w:rPr>
                <w:rFonts w:ascii="Times New Roman" w:eastAsia="宋体" w:hAnsi="Times New Roman" w:cs="Times New Roman"/>
                <w:color w:val="000000"/>
                <w:kern w:val="0"/>
                <w:sz w:val="20"/>
                <w:szCs w:val="20"/>
                <w:lang w:bidi="ar"/>
              </w:rPr>
              <w:t>项）</w:t>
            </w: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对在城市建成区露天焚烧落叶的处罚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spacing w:line="32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spacing w:line="32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《江苏省大气污染防治条例》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101</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43</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对饲养宠物和信鸽污染环境的处罚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102</w:t>
            </w:r>
          </w:p>
        </w:tc>
      </w:tr>
      <w:tr w:rsidR="00A17855" w:rsidRPr="00A17855" w:rsidTr="000B2567">
        <w:trPr>
          <w:trHeight w:val="72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44</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对施工现场未按规定设置围挡、车辆冲洗设施以及其他临时环境卫生设施，致使扬尘、污水等污染周围环境的，或者竣工后不及时清除废弃物料、清理施工现场、拆除临时环境卫生设施的处罚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《城市市容和环境卫生管理条例》《江苏省城市市容和环境卫生管理条例》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103</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45</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auto"/>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对环境卫生设施未经验收或者验收不合格即投入使用的处罚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《江苏省城市市容和环境卫生管理条例》《城市生活垃圾管理办法》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104</w:t>
            </w:r>
          </w:p>
        </w:tc>
      </w:tr>
      <w:tr w:rsidR="00A17855" w:rsidRPr="00A17855" w:rsidTr="000B2567">
        <w:trPr>
          <w:trHeight w:val="391"/>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46</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对未按照规定配套建设环卫设施的处罚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105</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47</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对未按照规定设置垃圾收集容器的处罚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106</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48</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对超出门、窗进行店外占道经营、作业的处罚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107</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49</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auto"/>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对未及时修复陈旧、残缺、锈蚀等影响市容的户外广告设施的处罚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《江苏省广告条例》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108</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50</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top"/>
              <w:rPr>
                <w:rFonts w:ascii="Times New Roman" w:eastAsia="宋体" w:hAnsi="Times New Roman" w:cs="Times New Roman"/>
                <w:color w:val="000000"/>
                <w:kern w:val="0"/>
                <w:sz w:val="20"/>
                <w:szCs w:val="20"/>
                <w:lang w:bidi="ar"/>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对运输工程渣土、砂石、泥浆及流体废弃物的车辆，沿途泄漏、抛撒，或者车轮带泥行驶污染道路的处罚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《城市市容和环境卫生管理条例》《江苏省城市市容和环境卫生管理条例》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109</w:t>
            </w:r>
            <w:r w:rsidRPr="00A17855">
              <w:rPr>
                <w:rFonts w:ascii="Times New Roman" w:eastAsia="宋体" w:hAnsi="Times New Roman" w:cs="Times New Roman"/>
                <w:color w:val="000000"/>
                <w:kern w:val="0"/>
                <w:sz w:val="20"/>
                <w:szCs w:val="20"/>
                <w:lang w:bidi="ar"/>
              </w:rPr>
              <w:t>、</w:t>
            </w:r>
            <w:r w:rsidRPr="00A17855">
              <w:rPr>
                <w:rFonts w:ascii="Times New Roman" w:eastAsia="宋体" w:hAnsi="Times New Roman" w:cs="Times New Roman"/>
                <w:color w:val="000000"/>
                <w:kern w:val="0"/>
                <w:sz w:val="20"/>
                <w:szCs w:val="20"/>
                <w:lang w:bidi="ar"/>
              </w:rPr>
              <w:t>110</w:t>
            </w:r>
          </w:p>
        </w:tc>
      </w:tr>
      <w:tr w:rsidR="00A17855" w:rsidRPr="00A17855" w:rsidTr="000B2567">
        <w:trPr>
          <w:trHeight w:val="981"/>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51</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对损坏城市树木花草行为的处罚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《城市绿化条例》《江苏省城市绿化管理条例》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112</w:t>
            </w:r>
          </w:p>
        </w:tc>
      </w:tr>
      <w:tr w:rsidR="00A17855" w:rsidRPr="00A17855" w:rsidTr="000B2567">
        <w:trPr>
          <w:trHeight w:val="357"/>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52</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对擅自修剪或者砍伐城市树木行为的处罚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《城市绿化条例》《江苏省城市绿化管理条例》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113</w:t>
            </w:r>
          </w:p>
        </w:tc>
      </w:tr>
      <w:tr w:rsidR="00A17855" w:rsidRPr="00A17855" w:rsidTr="000B2567">
        <w:trPr>
          <w:trHeight w:val="333"/>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53</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对损坏城市绿化设施行为的处罚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《城市绿化条例》《江苏省城市绿化管理条例》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114</w:t>
            </w:r>
          </w:p>
        </w:tc>
      </w:tr>
      <w:tr w:rsidR="00A17855" w:rsidRPr="00A17855" w:rsidTr="000B2567">
        <w:trPr>
          <w:trHeight w:val="34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lastRenderedPageBreak/>
              <w:t>54</w:t>
            </w:r>
          </w:p>
        </w:tc>
        <w:tc>
          <w:tcPr>
            <w:tcW w:w="1080" w:type="dxa"/>
            <w:vMerge w:val="restart"/>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城市管理局</w:t>
            </w:r>
          </w:p>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w:t>
            </w:r>
            <w:r w:rsidRPr="00A17855">
              <w:rPr>
                <w:rFonts w:ascii="Times New Roman" w:eastAsia="宋体" w:hAnsi="Times New Roman" w:cs="Times New Roman"/>
                <w:color w:val="000000"/>
                <w:kern w:val="0"/>
                <w:sz w:val="20"/>
                <w:szCs w:val="20"/>
                <w:lang w:bidi="ar"/>
              </w:rPr>
              <w:t>69</w:t>
            </w:r>
            <w:r w:rsidRPr="00A17855">
              <w:rPr>
                <w:rFonts w:ascii="Times New Roman" w:eastAsia="宋体" w:hAnsi="Times New Roman" w:cs="Times New Roman"/>
                <w:color w:val="000000"/>
                <w:kern w:val="0"/>
                <w:sz w:val="20"/>
                <w:szCs w:val="20"/>
                <w:lang w:bidi="ar"/>
              </w:rPr>
              <w:t>项）</w:t>
            </w: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对不服从公共绿地管理单位管理的商业服务摊点的处罚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《城市绿化条例》《江苏省城市绿化管理条例》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115</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55</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对机动车在桥梁或者非指定的城市道路上试刹车的处罚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《城市道路管理条例》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116</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56</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在桥梁上架设压力在</w:t>
            </w:r>
            <w:r w:rsidRPr="00A17855">
              <w:rPr>
                <w:rFonts w:ascii="Times New Roman" w:eastAsia="宋体" w:hAnsi="Times New Roman" w:cs="Times New Roman"/>
                <w:color w:val="000000"/>
                <w:kern w:val="0"/>
                <w:sz w:val="20"/>
                <w:szCs w:val="20"/>
                <w:lang w:bidi="ar"/>
              </w:rPr>
              <w:t>4</w:t>
            </w:r>
            <w:r w:rsidRPr="00A17855">
              <w:rPr>
                <w:rFonts w:ascii="Times New Roman" w:eastAsia="宋体" w:hAnsi="宋体" w:cs="Times New Roman"/>
                <w:color w:val="000000"/>
                <w:kern w:val="0"/>
                <w:sz w:val="20"/>
                <w:szCs w:val="20"/>
                <w:lang w:bidi="ar"/>
              </w:rPr>
              <w:t>公斤／平方厘米（</w:t>
            </w:r>
            <w:r w:rsidRPr="00A17855">
              <w:rPr>
                <w:rFonts w:ascii="Times New Roman" w:eastAsia="宋体" w:hAnsi="Times New Roman" w:cs="Times New Roman"/>
                <w:color w:val="000000"/>
                <w:kern w:val="0"/>
                <w:sz w:val="20"/>
                <w:szCs w:val="20"/>
                <w:lang w:bidi="ar"/>
              </w:rPr>
              <w:t>0.4</w:t>
            </w:r>
            <w:r w:rsidRPr="00A17855">
              <w:rPr>
                <w:rFonts w:ascii="Times New Roman" w:eastAsia="宋体" w:hAnsi="宋体" w:cs="Times New Roman"/>
                <w:color w:val="000000"/>
                <w:kern w:val="0"/>
                <w:sz w:val="20"/>
                <w:szCs w:val="20"/>
                <w:lang w:bidi="ar"/>
              </w:rPr>
              <w:t>兆帕）以上的煤气管道、</w:t>
            </w:r>
            <w:r w:rsidRPr="00A17855">
              <w:rPr>
                <w:rFonts w:ascii="Times New Roman" w:eastAsia="宋体" w:hAnsi="Times New Roman" w:cs="Times New Roman"/>
                <w:color w:val="000000"/>
                <w:kern w:val="0"/>
                <w:sz w:val="20"/>
                <w:szCs w:val="20"/>
                <w:lang w:bidi="ar"/>
              </w:rPr>
              <w:t>10</w:t>
            </w:r>
            <w:r w:rsidRPr="00A17855">
              <w:rPr>
                <w:rFonts w:ascii="Times New Roman" w:eastAsia="宋体" w:hAnsi="宋体" w:cs="Times New Roman"/>
                <w:color w:val="000000"/>
                <w:kern w:val="0"/>
                <w:sz w:val="20"/>
                <w:szCs w:val="20"/>
                <w:lang w:bidi="ar"/>
              </w:rPr>
              <w:t>千伏以上的高压电力线和其他易燃易爆管线的处罚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《城市道路管理条例》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116</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57</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对履带车、铁轮车或者超重、超高、超长车辆擅自在城市道路上行驶的处罚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kern w:val="0"/>
                <w:sz w:val="20"/>
                <w:szCs w:val="20"/>
                <w:lang w:bidi="ar"/>
              </w:rPr>
            </w:pPr>
            <w:r w:rsidRPr="00A17855">
              <w:rPr>
                <w:rFonts w:ascii="Times New Roman" w:eastAsia="宋体" w:hAnsi="宋体" w:cs="Times New Roman"/>
                <w:color w:val="000000"/>
                <w:kern w:val="0"/>
                <w:sz w:val="20"/>
                <w:szCs w:val="20"/>
                <w:lang w:bidi="ar"/>
              </w:rPr>
              <w:t>《城市道路管理条例》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116</w:t>
            </w:r>
          </w:p>
        </w:tc>
      </w:tr>
      <w:tr w:rsidR="00A17855" w:rsidRPr="00A17855" w:rsidTr="000B2567">
        <w:trPr>
          <w:trHeight w:val="454"/>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58</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对其他损害、侵占城市道路行为的处罚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《城市道路管理条例》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117</w:t>
            </w:r>
          </w:p>
        </w:tc>
      </w:tr>
      <w:tr w:rsidR="00A17855" w:rsidRPr="00A17855" w:rsidTr="000B2567">
        <w:trPr>
          <w:trHeight w:val="454"/>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59</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对擅自占用或者挖掘城市道路处罚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sz w:val="20"/>
                <w:szCs w:val="20"/>
              </w:rPr>
              <w:t>《城市道路管理条例》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118</w:t>
            </w:r>
          </w:p>
        </w:tc>
      </w:tr>
      <w:tr w:rsidR="00A17855" w:rsidRPr="00A17855" w:rsidTr="000B2567">
        <w:trPr>
          <w:trHeight w:val="454"/>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60</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对未在城市道路施工现场设置明显标志和安全防围设施的处罚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《城市道路管理条例》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119</w:t>
            </w:r>
          </w:p>
        </w:tc>
      </w:tr>
      <w:tr w:rsidR="00A17855" w:rsidRPr="00A17855" w:rsidTr="000B2567">
        <w:trPr>
          <w:trHeight w:val="296"/>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61</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对依附于城市道路建设各种管线、杆线等设施，不按照规定办理批准手续的处罚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《城市道路管理条例》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120</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62</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对擅自在桥梁或者路灯设施上设置广告牌或者其他挂浮物的处罚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《城市道路管理条例》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121</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63</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对城乡规划编制单位超越资质等级许可的范围承揽城乡规划编制工作的处罚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《中华人民共和国城乡规划法》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373"/>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64</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对城乡规划编制单位违反国家和省有关标准编制城乡规划的处罚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《中华人民共和国城乡规划法》《江苏省城乡规划条例》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65</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sz w:val="20"/>
                <w:szCs w:val="20"/>
              </w:rPr>
              <w:t>对未依法取得资质证书承揽城乡规划编制工作的处罚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sz w:val="20"/>
                <w:szCs w:val="20"/>
              </w:rPr>
              <w:t>《中华人民共和国城乡规划法》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66</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对以欺骗手段取得资质证书承揽城乡规划编制工作的处罚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《中华人民共和国城乡规划法》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67</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对城乡规划编制单位或者勘察设计单位违反城乡规划主管部门核发的建设工程规划许可证、乡村建设规划许可证提供施工图纸的处罚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《江苏省城乡规划条例》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lastRenderedPageBreak/>
              <w:t>68</w:t>
            </w:r>
          </w:p>
        </w:tc>
        <w:tc>
          <w:tcPr>
            <w:tcW w:w="1080" w:type="dxa"/>
            <w:vMerge w:val="restart"/>
            <w:tcBorders>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城市管理局</w:t>
            </w:r>
          </w:p>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w:t>
            </w:r>
            <w:r w:rsidRPr="00A17855">
              <w:rPr>
                <w:rFonts w:ascii="Times New Roman" w:eastAsia="宋体" w:hAnsi="Times New Roman" w:cs="Times New Roman"/>
                <w:color w:val="000000"/>
                <w:kern w:val="0"/>
                <w:sz w:val="20"/>
                <w:szCs w:val="20"/>
                <w:lang w:bidi="ar"/>
              </w:rPr>
              <w:t>69</w:t>
            </w:r>
            <w:r w:rsidRPr="00A17855">
              <w:rPr>
                <w:rFonts w:ascii="Times New Roman" w:eastAsia="宋体" w:hAnsi="Times New Roman" w:cs="Times New Roman"/>
                <w:color w:val="000000"/>
                <w:kern w:val="0"/>
                <w:sz w:val="20"/>
                <w:szCs w:val="20"/>
                <w:lang w:bidi="ar"/>
              </w:rPr>
              <w:t>项）</w:t>
            </w: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对以欺骗、贿赂等不正当手段取得城乡规划编制单位资质证书的处罚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《中华人民共和国行政许可法》《城乡规划编制单位资质管理规定》</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3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69</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对涂改、倒卖、出租、出借或者以其他形式非法转让城乡规划编制单位资质证书的处罚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sz w:val="20"/>
                <w:szCs w:val="20"/>
              </w:rPr>
              <w:t>《城乡规划编制单位资质管理规定》</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3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70</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对城乡规划编制单位未按照规定提供信用档案信息的处罚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《城乡规划编制单位资质管理规定》</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305"/>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71</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对未取得建设工程规划许可证进行建设，未按照建设工程规划许可证确定的内容进行建设，或者利用失效的建设工程规划许可证进行建设的处罚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sz w:val="20"/>
                <w:szCs w:val="20"/>
              </w:rPr>
              <w:t>《中华人民共和国城乡规划法》《江苏省城乡规划条例》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631"/>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72</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对未经批准或者未按照批准内容进行临时建设，以及对临时建筑物、构筑物超过批准期限不拆除的的处罚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《中华人民共和国城乡规划法》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56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73</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对建设单位未在建设工程竣工验收后六个月内向城乡规划主管部门报送有关竣工验收资料的处罚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《中华人民共和国城乡规划法》《江苏省城乡规划条例》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74</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对建设工程未经验线的处罚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《江苏省城乡规划条例》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75</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对未依法办理地下空间建设工程规划审批手续的处罚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《江苏省城乡规划条例》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76</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对在经城乡规划主管部门核实后的建筑内擅自新建地下建筑物、构筑物的处罚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《江苏省城乡规划条例》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77</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对擅自改变经规划审批的地下空间的使用功能、层数和面积的处罚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《江苏省城乡规划条例》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78</w:t>
            </w:r>
          </w:p>
        </w:tc>
        <w:tc>
          <w:tcPr>
            <w:tcW w:w="1080" w:type="dxa"/>
            <w:vMerge/>
            <w:tcBorders>
              <w:left w:val="single" w:sz="4" w:space="0" w:color="auto"/>
              <w:bottom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在历史文化名城、名镇、名村保护范围内开山、采石、开矿等破坏传统格局和历史风貌，占用保护规划确定保留的园林绿地、河湖水系、道路、修建生产、储存爆炸性、易燃性、放射性、毒害性、腐蚀性物品的工厂、仓库等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《历史文化名城名镇名村保护条例》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556"/>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79</w:t>
            </w:r>
          </w:p>
        </w:tc>
        <w:tc>
          <w:tcPr>
            <w:tcW w:w="1080" w:type="dxa"/>
            <w:vMerge w:val="restart"/>
            <w:tcBorders>
              <w:top w:val="single" w:sz="4" w:space="0" w:color="auto"/>
              <w:left w:val="single" w:sz="4" w:space="0" w:color="auto"/>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城市管理局</w:t>
            </w:r>
          </w:p>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lastRenderedPageBreak/>
              <w:t>（</w:t>
            </w:r>
            <w:r w:rsidRPr="00A17855">
              <w:rPr>
                <w:rFonts w:ascii="Times New Roman" w:eastAsia="宋体" w:hAnsi="Times New Roman" w:cs="Times New Roman"/>
                <w:color w:val="000000"/>
                <w:kern w:val="0"/>
                <w:sz w:val="20"/>
                <w:szCs w:val="20"/>
                <w:lang w:bidi="ar"/>
              </w:rPr>
              <w:t>69</w:t>
            </w:r>
            <w:r w:rsidRPr="00A17855">
              <w:rPr>
                <w:rFonts w:ascii="Times New Roman" w:eastAsia="宋体" w:hAnsi="Times New Roman" w:cs="Times New Roman"/>
                <w:color w:val="000000"/>
                <w:kern w:val="0"/>
                <w:sz w:val="20"/>
                <w:szCs w:val="20"/>
                <w:lang w:bidi="ar"/>
              </w:rPr>
              <w:t>项）</w:t>
            </w: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lastRenderedPageBreak/>
              <w:t>对在历史建筑上刻划、涂污的处罚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《历史文化名城名镇名村保护条例》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222"/>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lastRenderedPageBreak/>
              <w:t>80</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经批准在历史文化名城、名镇、名村保护范围内对历史建筑进行外部修缮装饰、添加设施以及改变历史建筑的结构或者使用性质的，或者在活动过程中对传统格局、历史风貌或者历史建筑构成破坏性影响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sz w:val="20"/>
                <w:szCs w:val="20"/>
              </w:rPr>
              <w:t>《历史文化名城名镇名村保护条例》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517"/>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lastRenderedPageBreak/>
              <w:t>81</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对未经批准在历史文化名城、名镇、名村保护范围内拆除历史建筑以外的建筑物、构筑物或者其他设施，或者在活动过程中对传统格局、历史风貌或者历史建筑构成破坏性影响的的处罚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《历史文化名城名镇名村保护条例》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584"/>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82</w:t>
            </w:r>
          </w:p>
        </w:tc>
        <w:tc>
          <w:tcPr>
            <w:tcW w:w="1080" w:type="dxa"/>
            <w:vMerge/>
            <w:tcBorders>
              <w:left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对损坏或者擅自迁移、拆除历史建筑的处罚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《历史文化名城名镇名村保护条例》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shd w:val="clear" w:color="auto" w:fill="auto"/>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83</w:t>
            </w:r>
          </w:p>
        </w:tc>
        <w:tc>
          <w:tcPr>
            <w:tcW w:w="1080" w:type="dxa"/>
            <w:vMerge/>
            <w:tcBorders>
              <w:left w:val="single" w:sz="4" w:space="0" w:color="auto"/>
              <w:bottom w:val="single" w:sz="4" w:space="0" w:color="auto"/>
              <w:right w:val="single" w:sz="4" w:space="0" w:color="auto"/>
            </w:tcBorders>
            <w:shd w:val="clear" w:color="auto" w:fill="auto"/>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对擅自设置、移动、涂改或者损毁历史文化街区、名镇、名村标志牌的处罚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《历史文化名城名镇名村保护条例》</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84</w:t>
            </w:r>
          </w:p>
        </w:tc>
        <w:tc>
          <w:tcPr>
            <w:tcW w:w="1080" w:type="dxa"/>
            <w:vMerge w:val="restart"/>
            <w:tcBorders>
              <w:top w:val="single" w:sz="4" w:space="0" w:color="auto"/>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市场监督管理局</w:t>
            </w:r>
          </w:p>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r w:rsidRPr="00A17855">
              <w:rPr>
                <w:rFonts w:ascii="Times New Roman" w:eastAsia="宋体" w:hAnsi="Times New Roman" w:cs="Times New Roman"/>
                <w:color w:val="000000"/>
                <w:sz w:val="20"/>
                <w:szCs w:val="20"/>
              </w:rPr>
              <w:t>13</w:t>
            </w:r>
            <w:r w:rsidRPr="00A17855">
              <w:rPr>
                <w:rFonts w:ascii="Times New Roman" w:eastAsia="宋体" w:hAnsi="Times New Roman" w:cs="Times New Roman"/>
                <w:color w:val="000000"/>
                <w:sz w:val="20"/>
                <w:szCs w:val="20"/>
              </w:rPr>
              <w:t>项）</w:t>
            </w: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对无照经营行为的处罚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《无证无照经营查处办法》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127</w:t>
            </w:r>
          </w:p>
        </w:tc>
      </w:tr>
      <w:tr w:rsidR="00A17855" w:rsidRPr="00A17855" w:rsidTr="000B2567">
        <w:trPr>
          <w:trHeight w:val="278"/>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85</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药品的生产企业、经营企业、药物非临床安全性评价研究机构、药物临床试验机构未按规定实施药品生产质量管理规范、药品经营质量管理规范、药物临床试验质量管理规范、药物非临床研究质量管理规范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《中华人民共和国药品管理法》《中华人民共和国药品管理法实施条例》《药品注册管理办法》《药品生产监督管理办法》《药品经营质量管理规范》</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213</w:t>
            </w:r>
          </w:p>
        </w:tc>
      </w:tr>
      <w:tr w:rsidR="00A17855" w:rsidRPr="00A17855" w:rsidTr="000B2567">
        <w:trPr>
          <w:trHeight w:val="9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86</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对未取得《药品生产许可证》、《药品经营许可证》或者《医疗机构制剂许可证》生产、销售药品、配制制剂的处罚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《中华人民共和国药品管理法》《药品生产监督管理办法》《医疗机构制剂配制监督管理办法（试行）》</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214</w:t>
            </w:r>
          </w:p>
        </w:tc>
      </w:tr>
      <w:tr w:rsidR="00A17855" w:rsidRPr="00A17855" w:rsidTr="000B2567">
        <w:trPr>
          <w:trHeight w:val="679"/>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87</w:t>
            </w:r>
          </w:p>
        </w:tc>
        <w:tc>
          <w:tcPr>
            <w:tcW w:w="1080" w:type="dxa"/>
            <w:vMerge w:val="restart"/>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市场监督管理局</w:t>
            </w:r>
          </w:p>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lastRenderedPageBreak/>
              <w:t>（</w:t>
            </w:r>
            <w:r w:rsidRPr="00A17855">
              <w:rPr>
                <w:rFonts w:ascii="Times New Roman" w:eastAsia="宋体" w:hAnsi="Times New Roman" w:cs="Times New Roman"/>
                <w:color w:val="000000"/>
                <w:sz w:val="20"/>
                <w:szCs w:val="20"/>
              </w:rPr>
              <w:t>13</w:t>
            </w:r>
            <w:r w:rsidRPr="00A17855">
              <w:rPr>
                <w:rFonts w:ascii="Times New Roman" w:eastAsia="宋体" w:hAnsi="Times New Roman" w:cs="Times New Roman"/>
                <w:color w:val="000000"/>
                <w:sz w:val="20"/>
                <w:szCs w:val="20"/>
              </w:rPr>
              <w:t>项）</w:t>
            </w: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lastRenderedPageBreak/>
              <w:t>对药品生产、经营企业在经药品监督管理部门核准的地址以外的场所现货销售药品的处罚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《江苏省药品监督管理条例》《药品流通监督管理办法》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215</w:t>
            </w:r>
          </w:p>
        </w:tc>
      </w:tr>
      <w:tr w:rsidR="00A17855" w:rsidRPr="00A17855" w:rsidTr="000B2567">
        <w:trPr>
          <w:trHeight w:val="763"/>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lastRenderedPageBreak/>
              <w:t>88</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对非法收购药品的处罚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《中华人民共和国药品管理法》《江苏省药品监督管理条例》《药品流通监督管理办法》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216</w:t>
            </w:r>
          </w:p>
        </w:tc>
      </w:tr>
      <w:tr w:rsidR="00A17855" w:rsidRPr="00A17855" w:rsidTr="000B2567">
        <w:trPr>
          <w:trHeight w:val="582"/>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lastRenderedPageBreak/>
              <w:t>89</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对餐具、饮具和盛放直接入口食品的容器，使用前未经洗净、消毒或者清洗消毒不合格，或者餐饮服务设施、设备未按规定定期维护、清洗、校验的处罚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《中华人民共和国食品安全法》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217</w:t>
            </w:r>
          </w:p>
        </w:tc>
      </w:tr>
      <w:tr w:rsidR="00A17855" w:rsidRPr="00A17855" w:rsidTr="000B2567">
        <w:trPr>
          <w:trHeight w:val="886"/>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90</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对经营病死、毒死或者死因不明的禽、畜、兽、水产动物肉类，或者生产经营其制品的处罚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《中华人民共和国食品安全法》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218</w:t>
            </w:r>
          </w:p>
        </w:tc>
      </w:tr>
      <w:tr w:rsidR="00A17855" w:rsidRPr="00A17855" w:rsidTr="000B2567">
        <w:trPr>
          <w:trHeight w:val="574"/>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91</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对食品生产经营者不立即停止生产经营、不主动召回、不按规定时限启动召回、不按照召回计划召回不安全食品或者不按照规定处置不安全食品的处罚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《食品召回管理办法》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219</w:t>
            </w:r>
          </w:p>
        </w:tc>
      </w:tr>
      <w:tr w:rsidR="00A17855" w:rsidRPr="00A17855" w:rsidTr="000B2567">
        <w:trPr>
          <w:trHeight w:val="856"/>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92</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对食品等产品销售者未建立并执行进货检查验收制度的处罚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《国务院关于加强食品等产品安全监督管理的特别规定》《中华人民共和国食品安全法》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220</w:t>
            </w:r>
          </w:p>
        </w:tc>
      </w:tr>
      <w:tr w:rsidR="00A17855" w:rsidRPr="00A17855" w:rsidTr="000B2567">
        <w:trPr>
          <w:trHeight w:val="604"/>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93</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对食品生产企业、餐饮服务提供者未按规定制定、实施生产经营过程控制要求的处罚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《中华人民共和国食品安全法》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221</w:t>
            </w:r>
          </w:p>
        </w:tc>
      </w:tr>
      <w:tr w:rsidR="00A17855" w:rsidRPr="00A17855" w:rsidTr="000B2567">
        <w:trPr>
          <w:trHeight w:val="572"/>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94</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对食品生产经营者安排未取得健康证明或者患有国务院卫生行政部门规定的有碍食品安全疾病的人员从事接触直接入口食品的工作的处罚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《中华人民共和国食品安全法》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222</w:t>
            </w:r>
          </w:p>
        </w:tc>
      </w:tr>
      <w:tr w:rsidR="00A17855" w:rsidRPr="00A17855" w:rsidTr="000B2567">
        <w:trPr>
          <w:trHeight w:val="627"/>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95</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对未取得食品生产经营许可从事食品生产经营活动，或者未取得食品添加剂生产许可从事食品添加剂生产活动的处罚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《中华人民共和国食品安全法》《食品生产许可管理办法》《食品经营许可管理办法》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223</w:t>
            </w:r>
          </w:p>
        </w:tc>
      </w:tr>
      <w:tr w:rsidR="00A17855" w:rsidRPr="00A17855" w:rsidTr="000B2567">
        <w:trPr>
          <w:trHeight w:val="72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96</w:t>
            </w:r>
          </w:p>
        </w:tc>
        <w:tc>
          <w:tcPr>
            <w:tcW w:w="1080" w:type="dxa"/>
            <w:vMerge w:val="restart"/>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市场监督管理局</w:t>
            </w:r>
          </w:p>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lastRenderedPageBreak/>
              <w:t>（</w:t>
            </w:r>
            <w:r w:rsidRPr="00A17855">
              <w:rPr>
                <w:rFonts w:ascii="Times New Roman" w:eastAsia="宋体" w:hAnsi="Times New Roman" w:cs="Times New Roman"/>
                <w:color w:val="000000"/>
                <w:sz w:val="20"/>
                <w:szCs w:val="20"/>
              </w:rPr>
              <w:t>13</w:t>
            </w:r>
            <w:r w:rsidRPr="00A17855">
              <w:rPr>
                <w:rFonts w:ascii="Times New Roman" w:eastAsia="宋体" w:hAnsi="Times New Roman" w:cs="Times New Roman"/>
                <w:color w:val="000000"/>
                <w:sz w:val="20"/>
                <w:szCs w:val="20"/>
              </w:rPr>
              <w:t>项）</w:t>
            </w: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lastRenderedPageBreak/>
              <w:t>对经营未按规定进行检疫或者检疫不合格的肉类，或者生产经营未经检验或者检验不合格肉类制品的处罚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《中华人民共和国食品安全法》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224</w:t>
            </w:r>
          </w:p>
        </w:tc>
      </w:tr>
      <w:tr w:rsidR="00A17855" w:rsidRPr="00A17855" w:rsidTr="000B2567">
        <w:trPr>
          <w:trHeight w:val="819"/>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lastRenderedPageBreak/>
              <w:t>97</w:t>
            </w:r>
          </w:p>
        </w:tc>
        <w:tc>
          <w:tcPr>
            <w:tcW w:w="1080" w:type="dxa"/>
            <w:vMerge/>
            <w:tcBorders>
              <w:left w:val="single" w:sz="4" w:space="0" w:color="auto"/>
              <w:bottom w:val="single" w:sz="4" w:space="0" w:color="auto"/>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对未经许可经营、超许可范围经营、许可证过期继续经营烟花爆竹的处罚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《中华人民共和国行政许可法》、《烟花爆竹安全管理条例》《烟花爆竹经营许可实施办法》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248</w:t>
            </w:r>
          </w:p>
        </w:tc>
      </w:tr>
      <w:tr w:rsidR="00A17855" w:rsidRPr="00A17855" w:rsidTr="000B2567">
        <w:trPr>
          <w:trHeight w:val="72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lastRenderedPageBreak/>
              <w:t>98</w:t>
            </w:r>
          </w:p>
        </w:tc>
        <w:tc>
          <w:tcPr>
            <w:tcW w:w="1080" w:type="dxa"/>
            <w:vMerge w:val="restart"/>
            <w:tcBorders>
              <w:top w:val="single" w:sz="4" w:space="0" w:color="auto"/>
              <w:left w:val="single" w:sz="4" w:space="0" w:color="auto"/>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应急管理局</w:t>
            </w:r>
          </w:p>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r w:rsidRPr="00A17855">
              <w:rPr>
                <w:rFonts w:ascii="Times New Roman" w:eastAsia="宋体" w:hAnsi="Times New Roman" w:cs="Times New Roman"/>
                <w:color w:val="000000"/>
                <w:sz w:val="20"/>
                <w:szCs w:val="20"/>
              </w:rPr>
              <w:t>20</w:t>
            </w:r>
            <w:r w:rsidRPr="00A17855">
              <w:rPr>
                <w:rFonts w:ascii="Times New Roman" w:eastAsia="宋体" w:hAnsi="Times New Roman" w:cs="Times New Roman"/>
                <w:color w:val="000000"/>
                <w:sz w:val="20"/>
                <w:szCs w:val="20"/>
              </w:rPr>
              <w:t>项）</w:t>
            </w: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对烟花爆竹批发企业向零售经营者供应礼花弹等按照国家标准规定应当由专业人员燃放的烟花爆竹的处罚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《烟花爆竹安全管理条例》《烟花爆竹经营许可实施办法》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249</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99</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对烟花爆竹零售经营者销售非法生产、经营的烟花爆竹的处罚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spacing w:line="300" w:lineRule="exact"/>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《烟花爆竹安全管理条例》《烟花爆竹经营许可实施办法》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250</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100</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对烟花爆竹零售经营者销售礼花弹等按照国家标准规定应当由专业人员燃放的烟花爆竹的处罚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《烟花爆竹安全管理条例》《烟花爆竹经营许可实施办法》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251</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101</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对烟花爆竹经营单位出租、出借、转让、买卖烟花爆竹经营许可证的处罚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《中华人民共和国行政许可法》、《烟花爆竹经营许可实施办法》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102</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对烟花爆竹经营单位冒用或者使用伪造的烟花爆竹经营许可证的处罚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385"/>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103</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对烟花爆竹批发企业仓储设施新建、改建、扩建后，未重新申请办理许可手续的处罚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104</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对烟花爆竹批发企业变更企业名称、主要负责人、注册地址，未申请办理许可证变更手续的处罚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105</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对烟花爆竹零售经营者未重新办理零售许可证的处罚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27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106</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对烟花爆竹批发企业向未取得烟花爆竹安全生产许可证的单位或者个人销售烟火药、黑火药、引火线的处罚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《烟花爆竹安全管理条例》《烟花爆竹经营许可实施办法》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107</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对烟花爆竹批发企业向零售经营者供应非法生产、经营的烟花爆竹的处罚</w:t>
            </w:r>
          </w:p>
        </w:tc>
        <w:tc>
          <w:tcPr>
            <w:tcW w:w="1020" w:type="dxa"/>
            <w:tcBorders>
              <w:top w:val="single" w:sz="4" w:space="0" w:color="000000"/>
              <w:left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《烟花爆竹安全管理条例》《烟花爆竹经营许可实施办法》</w:t>
            </w:r>
          </w:p>
        </w:tc>
        <w:tc>
          <w:tcPr>
            <w:tcW w:w="1160" w:type="dxa"/>
            <w:tcBorders>
              <w:top w:val="single" w:sz="4" w:space="0" w:color="000000"/>
              <w:left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325"/>
        </w:trPr>
        <w:tc>
          <w:tcPr>
            <w:tcW w:w="706" w:type="dxa"/>
            <w:tcBorders>
              <w:top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108</w:t>
            </w:r>
          </w:p>
        </w:tc>
        <w:tc>
          <w:tcPr>
            <w:tcW w:w="1080" w:type="dxa"/>
            <w:vMerge w:val="restart"/>
            <w:tcBorders>
              <w:left w:val="single" w:sz="4" w:space="0" w:color="auto"/>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kern w:val="0"/>
                <w:sz w:val="20"/>
                <w:szCs w:val="20"/>
                <w:lang w:bidi="ar"/>
              </w:rPr>
            </w:pPr>
            <w:r w:rsidRPr="00A17855">
              <w:rPr>
                <w:rFonts w:ascii="Times New Roman" w:eastAsia="宋体" w:hAnsi="Times New Roman" w:cs="Times New Roman"/>
                <w:color w:val="000000"/>
                <w:kern w:val="0"/>
                <w:sz w:val="20"/>
                <w:szCs w:val="20"/>
                <w:lang w:bidi="ar"/>
              </w:rPr>
              <w:t>应急管理局</w:t>
            </w:r>
          </w:p>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lastRenderedPageBreak/>
              <w:t>（</w:t>
            </w:r>
            <w:r w:rsidRPr="00A17855">
              <w:rPr>
                <w:rFonts w:ascii="Times New Roman" w:eastAsia="宋体" w:hAnsi="Times New Roman" w:cs="Times New Roman"/>
                <w:color w:val="000000"/>
                <w:sz w:val="20"/>
                <w:szCs w:val="20"/>
              </w:rPr>
              <w:t>20</w:t>
            </w:r>
            <w:r w:rsidRPr="00A17855">
              <w:rPr>
                <w:rFonts w:ascii="Times New Roman" w:eastAsia="宋体" w:hAnsi="Times New Roman" w:cs="Times New Roman"/>
                <w:color w:val="000000"/>
                <w:sz w:val="20"/>
                <w:szCs w:val="20"/>
              </w:rPr>
              <w:t>项）</w:t>
            </w:r>
          </w:p>
        </w:tc>
        <w:tc>
          <w:tcPr>
            <w:tcW w:w="5937" w:type="dxa"/>
            <w:tcBorders>
              <w:left w:val="single" w:sz="4" w:space="0" w:color="auto"/>
              <w:right w:val="single" w:sz="4" w:space="0" w:color="000000"/>
            </w:tcBorders>
            <w:vAlign w:val="center"/>
          </w:tcPr>
          <w:p w:rsidR="00A17855" w:rsidRPr="00A17855" w:rsidRDefault="00A17855" w:rsidP="00A17855">
            <w:pP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lastRenderedPageBreak/>
              <w:t>对烟花爆竹批发企业在城市建成区内设立烟花爆竹储存仓库，或者在批发（展示）场所摆放有药样品的处罚</w:t>
            </w:r>
          </w:p>
        </w:tc>
        <w:tc>
          <w:tcPr>
            <w:tcW w:w="1020" w:type="dxa"/>
            <w:tcBorders>
              <w:left w:val="single" w:sz="4" w:space="0" w:color="000000"/>
              <w:right w:val="single" w:sz="4" w:space="0" w:color="000000"/>
            </w:tcBorders>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left w:val="single" w:sz="4" w:space="0" w:color="000000"/>
              <w:right w:val="single" w:sz="4" w:space="0" w:color="000000"/>
            </w:tcBorders>
            <w:vAlign w:val="center"/>
          </w:tcPr>
          <w:p w:rsidR="00A17855" w:rsidRPr="00A17855" w:rsidRDefault="00A17855" w:rsidP="00A17855">
            <w:pP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left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lastRenderedPageBreak/>
              <w:t>109</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对烟花爆竹批发企业采购和销售质量不符合国家标准或者行业标准规定的烟花爆竹的处罚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lastRenderedPageBreak/>
              <w:t>110</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对烟花爆竹批发企业在仓库内违反国家标准或者行业标准规定储存烟花爆竹的处罚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111</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对烟花爆竹批发企业在烟花爆竹经营许可证载明的仓库以外储存烟花爆竹的处罚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112</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对烟花爆竹批发企业对假冒伪劣、过期、含有超量、违禁药物以及其他存在严重质量问题的烟花爆竹未及时销毁的处罚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113</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对烟花爆竹批发企业未执行合同管理、流向登记制度或者未按照规定应用烟花爆竹流向管理信息系统的处罚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114</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对烟花爆竹批发企业未将黑火药、引火线的采购、销售记录报所在地县级安全监管局备案的处罚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115</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对烟花爆竹批发企业向未取得零售许可证的单位或者个人销售烟花爆竹的处罚</w:t>
            </w:r>
          </w:p>
        </w:tc>
        <w:tc>
          <w:tcPr>
            <w:tcW w:w="1020"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bottom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《烟花爆竹经营许可实施办法》</w:t>
            </w:r>
          </w:p>
        </w:tc>
        <w:tc>
          <w:tcPr>
            <w:tcW w:w="1160" w:type="dxa"/>
            <w:tcBorders>
              <w:top w:val="single" w:sz="4" w:space="0" w:color="000000"/>
              <w:left w:val="single" w:sz="4" w:space="0" w:color="000000"/>
              <w:bottom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r w:rsidR="00A17855" w:rsidRPr="00A17855" w:rsidTr="000B2567">
        <w:trPr>
          <w:trHeight w:val="480"/>
        </w:trPr>
        <w:tc>
          <w:tcPr>
            <w:tcW w:w="706" w:type="dxa"/>
            <w:tcBorders>
              <w:top w:val="single" w:sz="4" w:space="0" w:color="000000"/>
              <w:bottom w:val="single" w:sz="4" w:space="0" w:color="000000"/>
              <w:right w:val="single" w:sz="4" w:space="0" w:color="auto"/>
            </w:tcBorders>
            <w:noWrap/>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116</w:t>
            </w:r>
          </w:p>
        </w:tc>
        <w:tc>
          <w:tcPr>
            <w:tcW w:w="1080" w:type="dxa"/>
            <w:vMerge/>
            <w:tcBorders>
              <w:left w:val="single" w:sz="4" w:space="0" w:color="auto"/>
              <w:right w:val="single" w:sz="4" w:space="0" w:color="auto"/>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p>
        </w:tc>
        <w:tc>
          <w:tcPr>
            <w:tcW w:w="5937" w:type="dxa"/>
            <w:tcBorders>
              <w:top w:val="single" w:sz="4" w:space="0" w:color="000000"/>
              <w:left w:val="single" w:sz="4" w:space="0" w:color="auto"/>
              <w:right w:val="single" w:sz="4" w:space="0" w:color="000000"/>
            </w:tcBorders>
            <w:vAlign w:val="center"/>
          </w:tcPr>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对烟花爆竹零售经营者存放的烟花爆竹数量超过零售许可证载明范围的处罚</w:t>
            </w:r>
          </w:p>
        </w:tc>
        <w:tc>
          <w:tcPr>
            <w:tcW w:w="1020" w:type="dxa"/>
            <w:tcBorders>
              <w:top w:val="single" w:sz="4" w:space="0" w:color="000000"/>
              <w:left w:val="single" w:sz="4" w:space="0" w:color="000000"/>
              <w:right w:val="single" w:sz="4" w:space="0" w:color="000000"/>
            </w:tcBorders>
            <w:vAlign w:val="center"/>
          </w:tcPr>
          <w:p w:rsidR="00A17855" w:rsidRPr="00A17855" w:rsidRDefault="00A17855" w:rsidP="00A17855">
            <w:pPr>
              <w:widowControl/>
              <w:jc w:val="center"/>
              <w:textAlignment w:val="center"/>
              <w:rPr>
                <w:rFonts w:ascii="Times New Roman" w:eastAsia="宋体" w:hAnsi="Times New Roman" w:cs="Times New Roman"/>
                <w:color w:val="000000"/>
                <w:sz w:val="20"/>
                <w:szCs w:val="20"/>
              </w:rPr>
            </w:pPr>
            <w:r w:rsidRPr="00A17855">
              <w:rPr>
                <w:rFonts w:ascii="Times New Roman" w:eastAsia="宋体" w:hAnsi="宋体" w:cs="Times New Roman"/>
                <w:color w:val="000000"/>
                <w:kern w:val="0"/>
                <w:sz w:val="20"/>
                <w:szCs w:val="20"/>
                <w:lang w:bidi="ar"/>
              </w:rPr>
              <w:t>行政处罚</w:t>
            </w:r>
          </w:p>
        </w:tc>
        <w:tc>
          <w:tcPr>
            <w:tcW w:w="3043" w:type="dxa"/>
            <w:tcBorders>
              <w:top w:val="single" w:sz="4" w:space="0" w:color="000000"/>
              <w:left w:val="single" w:sz="4" w:space="0" w:color="000000"/>
              <w:right w:val="single" w:sz="4" w:space="0" w:color="000000"/>
            </w:tcBorders>
            <w:vAlign w:val="center"/>
          </w:tcPr>
          <w:p w:rsidR="00A17855" w:rsidRPr="00A17855" w:rsidRDefault="00A17855" w:rsidP="00A17855">
            <w:pPr>
              <w:widowControl/>
              <w:textAlignment w:val="top"/>
              <w:rPr>
                <w:rFonts w:ascii="Times New Roman" w:eastAsia="宋体" w:hAnsi="宋体" w:cs="Times New Roman"/>
                <w:color w:val="000000"/>
                <w:kern w:val="0"/>
                <w:sz w:val="20"/>
                <w:szCs w:val="20"/>
                <w:lang w:bidi="ar"/>
              </w:rPr>
            </w:pPr>
            <w:r w:rsidRPr="00A17855">
              <w:rPr>
                <w:rFonts w:ascii="Times New Roman" w:eastAsia="宋体" w:hAnsi="宋体" w:cs="Times New Roman"/>
                <w:color w:val="000000"/>
                <w:kern w:val="0"/>
                <w:sz w:val="20"/>
                <w:szCs w:val="20"/>
                <w:lang w:bidi="ar"/>
              </w:rPr>
              <w:t>《烟花爆竹经营许可实施办法》</w:t>
            </w:r>
          </w:p>
          <w:p w:rsidR="00A17855" w:rsidRPr="00A17855" w:rsidRDefault="00A17855" w:rsidP="00A17855">
            <w:pPr>
              <w:widowControl/>
              <w:textAlignment w:val="top"/>
              <w:rPr>
                <w:rFonts w:ascii="Times New Roman" w:eastAsia="宋体" w:hAnsi="Times New Roman" w:cs="Times New Roman"/>
                <w:color w:val="000000"/>
                <w:sz w:val="20"/>
                <w:szCs w:val="20"/>
              </w:rPr>
            </w:pPr>
            <w:r w:rsidRPr="00A17855">
              <w:rPr>
                <w:rFonts w:ascii="Times New Roman" w:eastAsia="宋体" w:hAnsi="Times New Roman" w:cs="Times New Roman"/>
                <w:color w:val="000000"/>
                <w:kern w:val="0"/>
                <w:sz w:val="20"/>
                <w:szCs w:val="20"/>
                <w:lang w:bidi="ar"/>
              </w:rPr>
              <w:t xml:space="preserve"> </w:t>
            </w:r>
            <w:r w:rsidRPr="00A17855">
              <w:rPr>
                <w:rFonts w:ascii="Times New Roman" w:eastAsia="宋体" w:hAnsi="宋体" w:cs="Times New Roman"/>
                <w:color w:val="000000"/>
                <w:kern w:val="0"/>
                <w:sz w:val="20"/>
                <w:szCs w:val="20"/>
                <w:lang w:bidi="ar"/>
              </w:rPr>
              <w:t>《烟花爆竹生产经营安全规定》</w:t>
            </w:r>
          </w:p>
        </w:tc>
        <w:tc>
          <w:tcPr>
            <w:tcW w:w="1160" w:type="dxa"/>
            <w:tcBorders>
              <w:top w:val="single" w:sz="4" w:space="0" w:color="000000"/>
              <w:left w:val="single" w:sz="4" w:space="0" w:color="000000"/>
            </w:tcBorders>
            <w:noWrap/>
            <w:vAlign w:val="center"/>
          </w:tcPr>
          <w:p w:rsidR="00A17855" w:rsidRPr="00A17855" w:rsidRDefault="00A17855" w:rsidP="00A17855">
            <w:pPr>
              <w:jc w:val="center"/>
              <w:rPr>
                <w:rFonts w:ascii="Times New Roman" w:eastAsia="宋体" w:hAnsi="Times New Roman" w:cs="Times New Roman"/>
                <w:color w:val="000000"/>
                <w:sz w:val="20"/>
                <w:szCs w:val="20"/>
              </w:rPr>
            </w:pPr>
            <w:r w:rsidRPr="00A17855">
              <w:rPr>
                <w:rFonts w:ascii="Times New Roman" w:eastAsia="宋体" w:hAnsi="Times New Roman" w:cs="Times New Roman"/>
                <w:color w:val="000000"/>
                <w:sz w:val="20"/>
                <w:szCs w:val="20"/>
              </w:rPr>
              <w:t>*</w:t>
            </w:r>
          </w:p>
        </w:tc>
      </w:tr>
    </w:tbl>
    <w:p w:rsidR="00A17855" w:rsidRPr="00A17855" w:rsidRDefault="00A17855" w:rsidP="00A17855">
      <w:pPr>
        <w:rPr>
          <w:rFonts w:ascii="宋体" w:eastAsia="宋体" w:hAnsi="宋体" w:cs="宋体" w:hint="eastAsia"/>
          <w:sz w:val="20"/>
          <w:szCs w:val="20"/>
        </w:rPr>
      </w:pPr>
      <w:r w:rsidRPr="00A17855">
        <w:rPr>
          <w:rFonts w:ascii="宋体" w:eastAsia="宋体" w:hAnsi="宋体" w:cs="宋体" w:hint="eastAsia"/>
          <w:sz w:val="20"/>
          <w:szCs w:val="20"/>
        </w:rPr>
        <w:t>注：</w:t>
      </w:r>
      <w:r w:rsidRPr="00A17855">
        <w:rPr>
          <w:rFonts w:ascii="Times New Roman" w:eastAsia="宋体" w:hAnsi="Times New Roman" w:cs="Times New Roman"/>
          <w:sz w:val="20"/>
          <w:szCs w:val="20"/>
        </w:rPr>
        <w:t>1</w:t>
      </w:r>
      <w:r w:rsidRPr="00A17855">
        <w:rPr>
          <w:rFonts w:ascii="宋体" w:eastAsia="宋体" w:hAnsi="宋体" w:cs="宋体" w:hint="eastAsia"/>
          <w:sz w:val="20"/>
          <w:szCs w:val="20"/>
        </w:rPr>
        <w:t>.“*”为《乡镇（街道）经济社会管理权限指导目录》清单外事项。</w:t>
      </w:r>
    </w:p>
    <w:p w:rsidR="00A17855" w:rsidRPr="00A17855" w:rsidRDefault="00A17855" w:rsidP="00A17855">
      <w:pPr>
        <w:widowControl/>
        <w:ind w:firstLineChars="200" w:firstLine="400"/>
        <w:jc w:val="left"/>
        <w:textAlignment w:val="top"/>
        <w:rPr>
          <w:rFonts w:ascii="宋体" w:eastAsia="宋体" w:hAnsi="宋体" w:cs="宋体" w:hint="eastAsia"/>
          <w:color w:val="000000"/>
          <w:kern w:val="0"/>
          <w:sz w:val="20"/>
          <w:szCs w:val="20"/>
          <w:lang w:bidi="ar"/>
        </w:rPr>
      </w:pPr>
      <w:r w:rsidRPr="00A17855">
        <w:rPr>
          <w:rFonts w:ascii="Times New Roman" w:eastAsia="宋体" w:hAnsi="Times New Roman" w:cs="Times New Roman"/>
          <w:color w:val="000000"/>
          <w:kern w:val="0"/>
          <w:sz w:val="20"/>
          <w:szCs w:val="20"/>
          <w:lang w:bidi="ar"/>
        </w:rPr>
        <w:t>2</w:t>
      </w:r>
      <w:r w:rsidRPr="00A17855">
        <w:rPr>
          <w:rFonts w:ascii="宋体" w:eastAsia="宋体" w:hAnsi="宋体" w:cs="宋体" w:hint="eastAsia"/>
          <w:color w:val="000000"/>
          <w:kern w:val="0"/>
          <w:sz w:val="20"/>
          <w:szCs w:val="20"/>
          <w:lang w:bidi="ar"/>
        </w:rPr>
        <w:t>.第</w:t>
      </w:r>
      <w:r w:rsidRPr="00A17855">
        <w:rPr>
          <w:rFonts w:ascii="Times New Roman" w:eastAsia="宋体" w:hAnsi="Times New Roman" w:cs="Times New Roman" w:hint="eastAsia"/>
          <w:color w:val="000000"/>
          <w:sz w:val="20"/>
          <w:szCs w:val="20"/>
        </w:rPr>
        <w:t>84</w:t>
      </w:r>
      <w:r w:rsidRPr="00A17855">
        <w:rPr>
          <w:rFonts w:ascii="宋体" w:eastAsia="宋体" w:hAnsi="宋体" w:cs="宋体" w:hint="eastAsia"/>
          <w:color w:val="000000"/>
          <w:kern w:val="0"/>
          <w:sz w:val="20"/>
          <w:szCs w:val="20"/>
          <w:lang w:bidi="ar"/>
        </w:rPr>
        <w:t>项包括区综合行政执法局根据《无证无照经营查处办法》第二条、第十三条规定行使的“对挤街占道、无固定门店、在街道或者居民区随意摆摊设点或者走街串巷流动经营，未依法向工商行政管理部门登记注册并领取营业执照的处罚”。</w:t>
      </w:r>
    </w:p>
    <w:p w:rsidR="002721C6" w:rsidRPr="00A17855" w:rsidRDefault="002721C6"/>
    <w:sectPr w:rsidR="002721C6" w:rsidRPr="00A17855">
      <w:headerReference w:type="even" r:id="rId4"/>
      <w:headerReference w:type="default" r:id="rId5"/>
      <w:footerReference w:type="even" r:id="rId6"/>
      <w:footerReference w:type="default" r:id="rId7"/>
      <w:headerReference w:type="first" r:id="rId8"/>
      <w:footerReference w:type="first" r:id="rId9"/>
      <w:pgSz w:w="16838" w:h="11906" w:orient="landscape"/>
      <w:pgMar w:top="1531" w:right="1985" w:bottom="1531" w:left="1985"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178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0000" w:rsidRDefault="00A178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17855">
    <w:pPr>
      <w:pStyle w:val="a3"/>
      <w:framePr w:w="1701" w:wrap="around" w:vAnchor="text" w:hAnchor="margin" w:xAlign="center" w:y="1"/>
      <w:jc w:val="center"/>
      <w:rPr>
        <w:rStyle w:val="a5"/>
        <w:rFonts w:ascii="宋体" w:hAnsi="宋体" w:hint="eastAsia"/>
        <w:sz w:val="28"/>
        <w:szCs w:val="28"/>
      </w:rPr>
    </w:pPr>
    <w:r>
      <w:rPr>
        <w:rStyle w:val="a5"/>
        <w:rFonts w:ascii="宋体" w:hAnsi="宋体" w:hint="eastAsia"/>
        <w:sz w:val="28"/>
        <w:szCs w:val="28"/>
      </w:rPr>
      <w:t>—</w:t>
    </w: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noProof/>
        <w:sz w:val="28"/>
        <w:szCs w:val="28"/>
      </w:rPr>
      <w:t>2</w:t>
    </w:r>
    <w:r>
      <w:rPr>
        <w:rStyle w:val="a5"/>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000000" w:rsidRDefault="00A1785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17855">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178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1785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178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55"/>
    <w:rsid w:val="002721C6"/>
    <w:rsid w:val="00A1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E92FB-E488-42E6-B43F-FA403BB7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17855"/>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17855"/>
    <w:rPr>
      <w:sz w:val="18"/>
      <w:szCs w:val="18"/>
    </w:rPr>
  </w:style>
  <w:style w:type="paragraph" w:styleId="a4">
    <w:name w:val="header"/>
    <w:basedOn w:val="a"/>
    <w:link w:val="Char0"/>
    <w:uiPriority w:val="99"/>
    <w:semiHidden/>
    <w:unhideWhenUsed/>
    <w:rsid w:val="00A178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17855"/>
    <w:rPr>
      <w:sz w:val="18"/>
      <w:szCs w:val="18"/>
    </w:rPr>
  </w:style>
  <w:style w:type="character" w:styleId="a5">
    <w:name w:val="page number"/>
    <w:basedOn w:val="a0"/>
    <w:rsid w:val="00A1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1289</Words>
  <Characters>7353</Characters>
  <Application>Microsoft Office Word</Application>
  <DocSecurity>0</DocSecurity>
  <Lines>61</Lines>
  <Paragraphs>17</Paragraphs>
  <ScaleCrop>false</ScaleCrop>
  <Company>Sky123.Org</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常州市钟楼区人民政府办公室</dc:creator>
  <cp:keywords/>
  <dc:description/>
  <cp:lastModifiedBy>常州市钟楼区人民政府办公室</cp:lastModifiedBy>
  <cp:revision>1</cp:revision>
  <dcterms:created xsi:type="dcterms:W3CDTF">2021-12-09T09:06:00Z</dcterms:created>
  <dcterms:modified xsi:type="dcterms:W3CDTF">2021-12-09T09:07:00Z</dcterms:modified>
</cp:coreProperties>
</file>