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eastAsia="方正仿宋_GBK"/>
          <w:b/>
          <w:bCs/>
          <w:szCs w:val="32"/>
        </w:rPr>
      </w:pPr>
      <w:bookmarkStart w:id="0" w:name="_Hlk55475937"/>
    </w:p>
    <w:p>
      <w:pPr>
        <w:spacing w:line="700" w:lineRule="exact"/>
        <w:ind w:firstLine="0" w:firstLineChars="0"/>
        <w:jc w:val="center"/>
        <w:rPr>
          <w:rFonts w:eastAsia="方正仿宋_GBK"/>
          <w:b/>
          <w:bCs/>
          <w:szCs w:val="32"/>
        </w:rPr>
      </w:pPr>
    </w:p>
    <w:p>
      <w:pPr>
        <w:spacing w:line="700" w:lineRule="exact"/>
        <w:ind w:firstLine="0" w:firstLineChars="0"/>
        <w:jc w:val="center"/>
        <w:rPr>
          <w:rFonts w:eastAsia="方正仿宋_GBK"/>
          <w:b/>
          <w:bCs/>
          <w:szCs w:val="32"/>
        </w:rPr>
      </w:pPr>
    </w:p>
    <w:p>
      <w:pPr>
        <w:spacing w:line="700" w:lineRule="exact"/>
        <w:ind w:firstLine="0" w:firstLineChars="0"/>
        <w:jc w:val="center"/>
        <w:rPr>
          <w:rFonts w:eastAsia="方正仿宋_GBK"/>
          <w:b/>
          <w:bCs/>
          <w:szCs w:val="32"/>
        </w:rPr>
      </w:pPr>
    </w:p>
    <w:p>
      <w:pPr>
        <w:spacing w:line="700" w:lineRule="exact"/>
        <w:ind w:firstLine="0" w:firstLineChars="0"/>
        <w:jc w:val="center"/>
        <w:rPr>
          <w:rFonts w:eastAsia="方正小标宋简体"/>
          <w:sz w:val="44"/>
          <w:szCs w:val="44"/>
        </w:rPr>
      </w:pPr>
      <w:r>
        <w:rPr>
          <w:rFonts w:hAnsi="方正小标宋简体" w:eastAsia="方正小标宋简体"/>
          <w:sz w:val="44"/>
          <w:szCs w:val="44"/>
        </w:rPr>
        <w:t>常州市钟楼区国民经济和社会发展第十四个</w:t>
      </w:r>
    </w:p>
    <w:p>
      <w:pPr>
        <w:spacing w:line="700" w:lineRule="exact"/>
        <w:ind w:firstLine="0" w:firstLineChars="0"/>
        <w:jc w:val="center"/>
        <w:rPr>
          <w:rFonts w:eastAsia="方正小标宋简体"/>
          <w:sz w:val="44"/>
          <w:szCs w:val="44"/>
        </w:rPr>
      </w:pPr>
      <w:r>
        <w:rPr>
          <w:rFonts w:hAnsi="方正小标宋简体" w:eastAsia="方正小标宋简体"/>
          <w:sz w:val="44"/>
          <w:szCs w:val="44"/>
        </w:rPr>
        <w:t>五年规划和二〇三五年远景目标纲要</w:t>
      </w: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rPr>
      </w:pPr>
    </w:p>
    <w:p>
      <w:pPr>
        <w:ind w:firstLine="0" w:firstLineChars="0"/>
        <w:jc w:val="center"/>
        <w:rPr>
          <w:rFonts w:eastAsia="方正仿宋_GBK"/>
          <w:szCs w:val="32"/>
          <w:lang w:val="zh-CN"/>
        </w:rPr>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361" w:gutter="0"/>
          <w:pgNumType w:start="1"/>
          <w:cols w:space="720" w:num="1"/>
          <w:docGrid w:type="linesAndChars" w:linePitch="408" w:charSpace="0"/>
        </w:sectPr>
      </w:pPr>
    </w:p>
    <w:p>
      <w:pPr>
        <w:pStyle w:val="40"/>
        <w:spacing w:before="0" w:beforeLines="0" w:after="156" w:afterLines="50" w:line="560" w:lineRule="exact"/>
        <w:jc w:val="center"/>
        <w:rPr>
          <w:rFonts w:ascii="Times New Roman" w:hAnsi="Times New Roman" w:eastAsia="仿宋_GB2312"/>
          <w:b/>
          <w:bCs/>
          <w:color w:val="auto"/>
          <w:sz w:val="36"/>
          <w:szCs w:val="36"/>
        </w:rPr>
      </w:pPr>
      <w:r>
        <w:rPr>
          <w:rFonts w:ascii="Times New Roman" w:hAnsi="仿宋_GB2312" w:eastAsia="仿宋_GB2312"/>
          <w:b/>
          <w:bCs/>
          <w:color w:val="auto"/>
          <w:sz w:val="36"/>
          <w:szCs w:val="36"/>
          <w:lang w:val="zh-CN"/>
        </w:rPr>
        <w:t>目</w:t>
      </w:r>
      <w:r>
        <w:rPr>
          <w:rFonts w:ascii="Times New Roman" w:hAnsi="Times New Roman" w:eastAsia="仿宋_GB2312"/>
          <w:b/>
          <w:bCs/>
          <w:color w:val="auto"/>
          <w:sz w:val="36"/>
          <w:szCs w:val="36"/>
          <w:lang w:val="zh-CN"/>
        </w:rPr>
        <w:t xml:space="preserve"> </w:t>
      </w:r>
      <w:r>
        <w:rPr>
          <w:rFonts w:ascii="Times New Roman" w:hAnsi="仿宋_GB2312" w:eastAsia="仿宋_GB2312"/>
          <w:b/>
          <w:bCs/>
          <w:color w:val="auto"/>
          <w:sz w:val="36"/>
          <w:szCs w:val="36"/>
          <w:lang w:val="zh-CN"/>
        </w:rPr>
        <w:t>录</w:t>
      </w:r>
    </w:p>
    <w:p>
      <w:pPr>
        <w:pStyle w:val="11"/>
        <w:tabs>
          <w:tab w:val="right" w:leader="dot" w:pos="8306"/>
          <w:tab w:val="clear" w:pos="8296"/>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TOC \o "1-3" \h \z \u </w:instrText>
      </w:r>
      <w:r>
        <w:rPr>
          <w:rFonts w:ascii="Times New Roman" w:hAnsi="Times New Roman" w:eastAsia="仿宋_GB2312"/>
          <w:sz w:val="32"/>
          <w:szCs w:val="32"/>
        </w:rPr>
        <w:fldChar w:fldCharType="separate"/>
      </w:r>
      <w:r>
        <w:fldChar w:fldCharType="begin"/>
      </w:r>
      <w:r>
        <w:instrText xml:space="preserve"> HYPERLINK \l "_Toc2975" </w:instrText>
      </w:r>
      <w:r>
        <w:fldChar w:fldCharType="separate"/>
      </w:r>
      <w:r>
        <w:rPr>
          <w:rFonts w:ascii="Times New Roman" w:hAnsi="仿宋_GB2312" w:eastAsia="仿宋_GB2312"/>
          <w:sz w:val="32"/>
          <w:szCs w:val="32"/>
        </w:rPr>
        <w:t>第一篇</w:t>
      </w:r>
      <w:r>
        <w:rPr>
          <w:rFonts w:ascii="Times New Roman" w:hAnsi="Times New Roman" w:eastAsia="仿宋_GB2312"/>
          <w:sz w:val="32"/>
          <w:szCs w:val="32"/>
        </w:rPr>
        <w:t xml:space="preserve"> </w:t>
      </w:r>
      <w:r>
        <w:rPr>
          <w:rFonts w:ascii="Times New Roman" w:hAnsi="仿宋_GB2312" w:eastAsia="仿宋_GB2312"/>
          <w:sz w:val="32"/>
          <w:szCs w:val="32"/>
        </w:rPr>
        <w:t>全面开启社会主义现代化建设新征程</w:t>
      </w:r>
      <w:r>
        <w:rPr>
          <w:rFonts w:hint="eastAsia" w:ascii="Times New Roman" w:hAnsi="仿宋_GB2312"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7</w:t>
      </w:r>
      <w:r>
        <w:rPr>
          <w:rFonts w:ascii="Times New Roman" w:hAnsi="Times New Roman" w:eastAsia="仿宋_GB2312"/>
          <w:sz w:val="32"/>
          <w:szCs w:val="32"/>
        </w:rPr>
        <w:fldChar w:fldCharType="end"/>
      </w:r>
    </w:p>
    <w:p>
      <w:pPr>
        <w:pStyle w:val="13"/>
        <w:tabs>
          <w:tab w:val="right" w:leader="dot" w:pos="8306"/>
        </w:tabs>
        <w:rPr>
          <w:rFonts w:ascii="Times New Roman" w:hAnsi="Times New Roman" w:eastAsia="仿宋_GB2312"/>
          <w:sz w:val="32"/>
          <w:szCs w:val="32"/>
        </w:rPr>
      </w:pPr>
      <w:r>
        <w:fldChar w:fldCharType="begin"/>
      </w:r>
      <w:r>
        <w:instrText xml:space="preserve"> HYPERLINK \l "_Toc7563" </w:instrText>
      </w:r>
      <w:r>
        <w:fldChar w:fldCharType="separate"/>
      </w:r>
      <w:r>
        <w:rPr>
          <w:rFonts w:ascii="Times New Roman" w:hAnsi="仿宋_GB2312" w:eastAsia="仿宋_GB2312"/>
          <w:sz w:val="32"/>
          <w:szCs w:val="32"/>
        </w:rPr>
        <w:t>第一章</w:t>
      </w:r>
      <w:r>
        <w:rPr>
          <w:rFonts w:ascii="Times New Roman" w:hAnsi="Times New Roman" w:eastAsia="仿宋_GB2312"/>
          <w:sz w:val="32"/>
          <w:szCs w:val="32"/>
        </w:rPr>
        <w:t xml:space="preserve"> </w:t>
      </w:r>
      <w:r>
        <w:rPr>
          <w:rFonts w:ascii="Times New Roman" w:hAnsi="仿宋_GB2312" w:eastAsia="仿宋_GB2312"/>
          <w:sz w:val="32"/>
          <w:szCs w:val="32"/>
        </w:rPr>
        <w:t>发展基础</w:t>
      </w:r>
      <w:r>
        <w:rPr>
          <w:rFonts w:ascii="Times New Roman" w:hAnsi="Times New Roman" w:eastAsia="仿宋_GB2312"/>
          <w:sz w:val="32"/>
          <w:szCs w:val="32"/>
        </w:rPr>
        <w:t>……………………………………………7</w:t>
      </w:r>
      <w:r>
        <w:rPr>
          <w:rFonts w:ascii="Times New Roman" w:hAnsi="Times New Roman" w:eastAsia="仿宋_GB2312"/>
          <w:sz w:val="32"/>
          <w:szCs w:val="32"/>
        </w:rPr>
        <w:fldChar w:fldCharType="end"/>
      </w:r>
    </w:p>
    <w:p>
      <w:pPr>
        <w:pStyle w:val="13"/>
        <w:tabs>
          <w:tab w:val="right" w:leader="dot" w:pos="8306"/>
        </w:tabs>
        <w:jc w:val="both"/>
        <w:rPr>
          <w:rFonts w:ascii="Times New Roman" w:hAnsi="Times New Roman" w:eastAsia="仿宋_GB2312"/>
          <w:sz w:val="32"/>
          <w:szCs w:val="32"/>
        </w:rPr>
      </w:pPr>
      <w:r>
        <w:fldChar w:fldCharType="begin"/>
      </w:r>
      <w:r>
        <w:instrText xml:space="preserve"> HYPERLINK \l "_Toc3379" </w:instrText>
      </w:r>
      <w:r>
        <w:fldChar w:fldCharType="separate"/>
      </w:r>
      <w:r>
        <w:rPr>
          <w:rFonts w:ascii="Times New Roman" w:hAnsi="仿宋_GB2312" w:eastAsia="仿宋_GB2312"/>
          <w:sz w:val="32"/>
          <w:szCs w:val="32"/>
        </w:rPr>
        <w:t>第二章</w:t>
      </w:r>
      <w:r>
        <w:rPr>
          <w:rFonts w:ascii="Times New Roman" w:hAnsi="Times New Roman" w:eastAsia="仿宋_GB2312"/>
          <w:sz w:val="32"/>
          <w:szCs w:val="32"/>
        </w:rPr>
        <w:t xml:space="preserve"> </w:t>
      </w:r>
      <w:r>
        <w:rPr>
          <w:rFonts w:ascii="Times New Roman" w:hAnsi="仿宋_GB2312" w:eastAsia="仿宋_GB2312"/>
          <w:sz w:val="32"/>
          <w:szCs w:val="32"/>
        </w:rPr>
        <w:t>发展环境</w:t>
      </w:r>
      <w:r>
        <w:rPr>
          <w:rFonts w:ascii="Times New Roman" w:hAnsi="Times New Roman" w:eastAsia="仿宋_GB2312"/>
          <w:sz w:val="32"/>
          <w:szCs w:val="32"/>
        </w:rPr>
        <w:tab/>
      </w:r>
      <w:r>
        <w:rPr>
          <w:rFonts w:ascii="Times New Roman" w:hAnsi="Times New Roman" w:eastAsia="仿宋_GB2312"/>
          <w:sz w:val="32"/>
          <w:szCs w:val="32"/>
        </w:rPr>
        <w:t>1</w:t>
      </w:r>
      <w:r>
        <w:rPr>
          <w:rFonts w:ascii="Times New Roman" w:hAnsi="Times New Roman" w:eastAsia="仿宋_GB2312"/>
          <w:sz w:val="32"/>
          <w:szCs w:val="32"/>
        </w:rPr>
        <w:fldChar w:fldCharType="end"/>
      </w:r>
      <w:r>
        <w:rPr>
          <w:rFonts w:ascii="Times New Roman" w:hAnsi="Times New Roman" w:eastAsia="仿宋_GB2312"/>
          <w:bCs/>
          <w:sz w:val="32"/>
          <w:szCs w:val="32"/>
        </w:rPr>
        <w:t>2</w:t>
      </w:r>
    </w:p>
    <w:p>
      <w:pPr>
        <w:pStyle w:val="13"/>
        <w:tabs>
          <w:tab w:val="right" w:leader="dot" w:pos="8306"/>
        </w:tabs>
        <w:jc w:val="both"/>
        <w:rPr>
          <w:rFonts w:ascii="Times New Roman" w:hAnsi="Times New Roman" w:eastAsia="仿宋_GB2312"/>
          <w:sz w:val="32"/>
          <w:szCs w:val="32"/>
        </w:rPr>
      </w:pPr>
      <w:r>
        <w:fldChar w:fldCharType="begin"/>
      </w:r>
      <w:r>
        <w:instrText xml:space="preserve"> HYPERLINK \l "_Toc6179" </w:instrText>
      </w:r>
      <w:r>
        <w:fldChar w:fldCharType="separate"/>
      </w:r>
      <w:r>
        <w:rPr>
          <w:rFonts w:ascii="Times New Roman" w:hAnsi="仿宋_GB2312" w:eastAsia="仿宋_GB2312"/>
          <w:sz w:val="32"/>
          <w:szCs w:val="32"/>
        </w:rPr>
        <w:t>第三章</w:t>
      </w:r>
      <w:r>
        <w:rPr>
          <w:rFonts w:ascii="Times New Roman" w:hAnsi="Times New Roman" w:eastAsia="仿宋_GB2312"/>
          <w:sz w:val="32"/>
          <w:szCs w:val="32"/>
        </w:rPr>
        <w:t xml:space="preserve"> </w:t>
      </w:r>
      <w:r>
        <w:rPr>
          <w:rFonts w:ascii="Times New Roman" w:hAnsi="仿宋_GB2312" w:eastAsia="仿宋_GB2312"/>
          <w:sz w:val="32"/>
          <w:szCs w:val="32"/>
        </w:rPr>
        <w:t>总体要求</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_Toc6179 </w:instrText>
      </w:r>
      <w:r>
        <w:rPr>
          <w:rFonts w:ascii="Times New Roman" w:hAnsi="Times New Roman" w:eastAsia="仿宋_GB2312"/>
          <w:sz w:val="32"/>
          <w:szCs w:val="32"/>
        </w:rPr>
        <w:fldChar w:fldCharType="separate"/>
      </w:r>
      <w:r>
        <w:rPr>
          <w:rFonts w:ascii="Times New Roman" w:hAnsi="Times New Roman" w:eastAsia="仿宋_GB2312"/>
          <w:sz w:val="32"/>
          <w:szCs w:val="32"/>
        </w:rPr>
        <w:t>16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"_Toc19208"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指导思想</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_Toc19208 </w:instrText>
      </w:r>
      <w:r>
        <w:rPr>
          <w:rFonts w:ascii="Times New Roman" w:hAnsi="Times New Roman" w:eastAsia="仿宋_GB2312"/>
          <w:sz w:val="32"/>
          <w:szCs w:val="32"/>
        </w:rPr>
        <w:fldChar w:fldCharType="separate"/>
      </w:r>
      <w:r>
        <w:rPr>
          <w:rFonts w:ascii="Times New Roman" w:hAnsi="Times New Roman" w:eastAsia="仿宋_GB2312"/>
          <w:sz w:val="32"/>
          <w:szCs w:val="32"/>
        </w:rPr>
        <w:t>16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"_Toc21229"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二〇三五年远景目标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_Toc21229 </w:instrText>
      </w:r>
      <w:r>
        <w:rPr>
          <w:rFonts w:ascii="Times New Roman" w:hAnsi="Times New Roman" w:eastAsia="仿宋_GB2312"/>
          <w:sz w:val="32"/>
          <w:szCs w:val="32"/>
        </w:rPr>
        <w:fldChar w:fldCharType="separate"/>
      </w:r>
      <w:r>
        <w:rPr>
          <w:rFonts w:ascii="Times New Roman" w:hAnsi="Times New Roman" w:eastAsia="仿宋_GB2312"/>
          <w:sz w:val="32"/>
          <w:szCs w:val="32"/>
        </w:rPr>
        <w:t>18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"_Toc18027"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空间格局</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_Toc18027 </w:instrText>
      </w:r>
      <w:r>
        <w:rPr>
          <w:rFonts w:ascii="Times New Roman" w:hAnsi="Times New Roman" w:eastAsia="仿宋_GB2312"/>
          <w:sz w:val="32"/>
          <w:szCs w:val="32"/>
        </w:rPr>
        <w:fldChar w:fldCharType="separate"/>
      </w:r>
      <w:r>
        <w:rPr>
          <w:rFonts w:ascii="Times New Roman" w:hAnsi="Times New Roman" w:eastAsia="仿宋_GB2312"/>
          <w:sz w:val="32"/>
          <w:szCs w:val="32"/>
        </w:rPr>
        <w:t>19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"_Toc17308" </w:instrText>
      </w:r>
      <w:r>
        <w:fldChar w:fldCharType="separate"/>
      </w:r>
      <w:r>
        <w:rPr>
          <w:rFonts w:ascii="Times New Roman" w:hAnsi="仿宋_GB2312" w:eastAsia="仿宋_GB2312"/>
          <w:sz w:val="32"/>
          <w:szCs w:val="32"/>
        </w:rPr>
        <w:t>第四节</w:t>
      </w:r>
      <w:r>
        <w:rPr>
          <w:rFonts w:ascii="Times New Roman" w:hAnsi="Times New Roman" w:eastAsia="仿宋_GB2312"/>
          <w:sz w:val="32"/>
          <w:szCs w:val="32"/>
        </w:rPr>
        <w:t xml:space="preserve"> “</w:t>
      </w:r>
      <w:r>
        <w:rPr>
          <w:rFonts w:ascii="Times New Roman" w:hAnsi="仿宋_GB2312" w:eastAsia="仿宋_GB2312"/>
          <w:sz w:val="32"/>
          <w:szCs w:val="32"/>
        </w:rPr>
        <w:t>十四五</w:t>
      </w:r>
      <w:r>
        <w:rPr>
          <w:rFonts w:ascii="Times New Roman" w:hAnsi="Times New Roman" w:eastAsia="仿宋_GB2312"/>
          <w:sz w:val="32"/>
          <w:szCs w:val="32"/>
        </w:rPr>
        <w:t>”</w:t>
      </w:r>
      <w:r>
        <w:rPr>
          <w:rFonts w:ascii="Times New Roman" w:hAnsi="仿宋_GB2312" w:eastAsia="仿宋_GB2312"/>
          <w:sz w:val="32"/>
          <w:szCs w:val="32"/>
        </w:rPr>
        <w:t>经济社会发展目标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_Toc17308 </w:instrText>
      </w:r>
      <w:r>
        <w:rPr>
          <w:rFonts w:ascii="Times New Roman" w:hAnsi="Times New Roman" w:eastAsia="仿宋_GB2312"/>
          <w:sz w:val="32"/>
          <w:szCs w:val="32"/>
        </w:rPr>
        <w:fldChar w:fldCharType="separate"/>
      </w:r>
      <w:r>
        <w:rPr>
          <w:rFonts w:ascii="Times New Roman" w:hAnsi="Times New Roman" w:eastAsia="仿宋_GB2312"/>
          <w:sz w:val="32"/>
          <w:szCs w:val="32"/>
        </w:rPr>
        <w:t>20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1"/>
        <w:tabs>
          <w:tab w:val="right" w:leader="dot" w:pos="8306"/>
          <w:tab w:val="clear" w:pos="8296"/>
        </w:tabs>
        <w:jc w:val="both"/>
        <w:rPr>
          <w:rFonts w:hint="eastAsia" w:ascii="Times New Roman" w:hAnsi="Times New Roman" w:eastAsia="仿宋_GB2312"/>
          <w:sz w:val="32"/>
          <w:szCs w:val="32"/>
        </w:rPr>
      </w:pPr>
      <w:r>
        <w:fldChar w:fldCharType="begin"/>
      </w:r>
      <w:r>
        <w:instrText xml:space="preserve"> HYPERLINK \l "_Toc6522" </w:instrText>
      </w:r>
      <w:r>
        <w:fldChar w:fldCharType="separate"/>
      </w:r>
      <w:r>
        <w:rPr>
          <w:rFonts w:ascii="Times New Roman" w:hAnsi="仿宋_GB2312" w:eastAsia="仿宋_GB2312"/>
          <w:sz w:val="32"/>
          <w:szCs w:val="32"/>
        </w:rPr>
        <w:t>第二篇</w:t>
      </w:r>
      <w:r>
        <w:rPr>
          <w:rFonts w:ascii="Times New Roman" w:hAnsi="Times New Roman" w:eastAsia="仿宋_GB2312"/>
          <w:sz w:val="32"/>
          <w:szCs w:val="32"/>
        </w:rPr>
        <w:t xml:space="preserve"> </w:t>
      </w:r>
      <w:r>
        <w:rPr>
          <w:rFonts w:ascii="Times New Roman" w:hAnsi="仿宋_GB2312" w:eastAsia="仿宋_GB2312"/>
          <w:sz w:val="32"/>
          <w:szCs w:val="32"/>
        </w:rPr>
        <w:t>奋力书写</w:t>
      </w:r>
      <w:r>
        <w:rPr>
          <w:rFonts w:ascii="Times New Roman" w:hAnsi="Times New Roman" w:eastAsia="仿宋_GB2312"/>
          <w:sz w:val="32"/>
          <w:szCs w:val="32"/>
        </w:rPr>
        <w:t>“</w:t>
      </w:r>
      <w:r>
        <w:rPr>
          <w:rFonts w:hint="eastAsia" w:ascii="Times New Roman" w:hAnsi="Times New Roman" w:eastAsia="仿宋_GB2312"/>
          <w:spacing w:val="1"/>
          <w:w w:val="72"/>
          <w:kern w:val="0"/>
          <w:sz w:val="32"/>
          <w:szCs w:val="32"/>
          <w:fitText w:val="3268" w:id="1919379038"/>
        </w:rPr>
        <w:t>争当表率、争做示范、走在前列</w:t>
      </w:r>
      <w:r>
        <w:rPr>
          <w:rFonts w:ascii="Times New Roman" w:hAnsi="Times New Roman" w:eastAsia="仿宋_GB2312"/>
          <w:sz w:val="32"/>
          <w:szCs w:val="32"/>
        </w:rPr>
        <w:t>”</w:t>
      </w:r>
      <w:r>
        <w:rPr>
          <w:rFonts w:ascii="Times New Roman" w:hAnsi="仿宋_GB2312" w:eastAsia="仿宋_GB2312"/>
          <w:sz w:val="32"/>
          <w:szCs w:val="32"/>
        </w:rPr>
        <w:t>钟楼新答卷</w:t>
      </w:r>
      <w:r>
        <w:rPr>
          <w:rFonts w:ascii="Times New Roman" w:hAnsi="Times New Roman" w:eastAsia="仿宋_GB2312"/>
          <w:sz w:val="32"/>
          <w:szCs w:val="32"/>
        </w:rPr>
        <w:tab/>
      </w:r>
      <w:r>
        <w:rPr>
          <w:rFonts w:ascii="Times New Roman" w:hAnsi="Times New Roman" w:eastAsia="仿宋_GB2312"/>
          <w:sz w:val="32"/>
          <w:szCs w:val="32"/>
        </w:rPr>
        <w:t>2</w:t>
      </w:r>
      <w:r>
        <w:rPr>
          <w:rFonts w:ascii="Times New Roman" w:hAnsi="Times New Roman" w:eastAsia="仿宋_GB2312"/>
          <w:sz w:val="32"/>
          <w:szCs w:val="32"/>
        </w:rPr>
        <w:fldChar w:fldCharType="end"/>
      </w:r>
      <w:r>
        <w:rPr>
          <w:rFonts w:hint="eastAsia" w:ascii="Times New Roman" w:hAnsi="Times New Roman" w:eastAsia="仿宋_GB2312"/>
          <w:sz w:val="32"/>
          <w:szCs w:val="32"/>
        </w:rPr>
        <w:t>5</w:t>
      </w:r>
    </w:p>
    <w:p>
      <w:pPr>
        <w:pStyle w:val="13"/>
        <w:tabs>
          <w:tab w:val="right" w:leader="dot" w:pos="8306"/>
        </w:tabs>
        <w:jc w:val="both"/>
        <w:rPr>
          <w:rFonts w:hint="eastAsia" w:ascii="Times New Roman" w:hAnsi="Times New Roman" w:eastAsia="仿宋_GB2312"/>
          <w:sz w:val="32"/>
          <w:szCs w:val="32"/>
        </w:rPr>
      </w:pPr>
      <w:r>
        <w:fldChar w:fldCharType="begin"/>
      </w:r>
      <w:r>
        <w:instrText xml:space="preserve"> HYPERLINK \l "_Toc29245" </w:instrText>
      </w:r>
      <w:r>
        <w:fldChar w:fldCharType="separate"/>
      </w:r>
      <w:r>
        <w:rPr>
          <w:rFonts w:ascii="Times New Roman" w:hAnsi="仿宋_GB2312" w:eastAsia="仿宋_GB2312"/>
          <w:sz w:val="32"/>
          <w:szCs w:val="32"/>
        </w:rPr>
        <w:t>第四章</w:t>
      </w:r>
      <w:r>
        <w:rPr>
          <w:rFonts w:ascii="Times New Roman" w:hAnsi="Times New Roman" w:eastAsia="仿宋_GB2312"/>
          <w:sz w:val="32"/>
          <w:szCs w:val="32"/>
        </w:rPr>
        <w:t xml:space="preserve"> </w:t>
      </w:r>
      <w:r>
        <w:rPr>
          <w:rFonts w:ascii="Times New Roman" w:hAnsi="仿宋_GB2312" w:eastAsia="仿宋_GB2312"/>
          <w:sz w:val="32"/>
          <w:szCs w:val="32"/>
        </w:rPr>
        <w:t>坚持科技创新核心地位</w:t>
      </w:r>
      <w:r>
        <w:rPr>
          <w:rFonts w:ascii="Times New Roman" w:hAnsi="Times New Roman" w:eastAsia="仿宋_GB2312"/>
          <w:sz w:val="32"/>
          <w:szCs w:val="32"/>
        </w:rPr>
        <w:tab/>
      </w:r>
      <w:r>
        <w:rPr>
          <w:rFonts w:ascii="Times New Roman" w:hAnsi="Times New Roman" w:eastAsia="仿宋_GB2312"/>
          <w:sz w:val="32"/>
          <w:szCs w:val="32"/>
        </w:rPr>
        <w:t>2</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bookmarkStart w:id="73" w:name="_GoBack"/>
      <w:bookmarkEnd w:id="73"/>
    </w:p>
    <w:p>
      <w:pPr>
        <w:pStyle w:val="9"/>
        <w:tabs>
          <w:tab w:val="right" w:leader="dot" w:pos="8306"/>
        </w:tabs>
        <w:jc w:val="both"/>
        <w:rPr>
          <w:rFonts w:hint="eastAsia" w:ascii="Times New Roman" w:hAnsi="Times New Roman" w:eastAsia="仿宋_GB2312"/>
          <w:sz w:val="32"/>
          <w:szCs w:val="32"/>
        </w:rPr>
      </w:pPr>
      <w:r>
        <w:fldChar w:fldCharType="begin"/>
      </w:r>
      <w:r>
        <w:instrText xml:space="preserve"> HYPERLINK \l "_Toc20685"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提升产业技术创新能力</w:t>
      </w:r>
      <w:r>
        <w:rPr>
          <w:rFonts w:ascii="Times New Roman" w:hAnsi="Times New Roman" w:eastAsia="仿宋_GB2312"/>
          <w:sz w:val="32"/>
          <w:szCs w:val="32"/>
        </w:rPr>
        <w:tab/>
      </w:r>
      <w:r>
        <w:rPr>
          <w:rFonts w:ascii="Times New Roman" w:hAnsi="Times New Roman" w:eastAsia="仿宋_GB2312"/>
          <w:sz w:val="32"/>
          <w:szCs w:val="32"/>
        </w:rPr>
        <w:t>2</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"_Toc21189"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营造一流创新创业生态</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_Toc21189 </w:instrText>
      </w:r>
      <w:r>
        <w:rPr>
          <w:rFonts w:ascii="Times New Roman" w:hAnsi="Times New Roman" w:eastAsia="仿宋_GB2312"/>
          <w:sz w:val="32"/>
          <w:szCs w:val="32"/>
        </w:rPr>
        <w:fldChar w:fldCharType="separate"/>
      </w:r>
      <w:r>
        <w:rPr>
          <w:rFonts w:ascii="Times New Roman" w:hAnsi="Times New Roman" w:eastAsia="仿宋_GB2312"/>
          <w:sz w:val="32"/>
          <w:szCs w:val="32"/>
        </w:rPr>
        <w:t>27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"_Toc11095"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强化高质量发展人才支撑</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_Toc11095 </w:instrText>
      </w:r>
      <w:r>
        <w:rPr>
          <w:rFonts w:ascii="Times New Roman" w:hAnsi="Times New Roman" w:eastAsia="仿宋_GB2312"/>
          <w:sz w:val="32"/>
          <w:szCs w:val="32"/>
        </w:rPr>
        <w:fldChar w:fldCharType="separate"/>
      </w:r>
      <w:r>
        <w:rPr>
          <w:rFonts w:ascii="Times New Roman" w:hAnsi="Times New Roman" w:eastAsia="仿宋_GB2312"/>
          <w:sz w:val="32"/>
          <w:szCs w:val="32"/>
        </w:rPr>
        <w:t>30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3"/>
        <w:tabs>
          <w:tab w:val="right" w:leader="dot" w:pos="8306"/>
        </w:tabs>
        <w:jc w:val="both"/>
        <w:rPr>
          <w:rFonts w:hint="eastAsia" w:ascii="Times New Roman" w:hAnsi="Times New Roman" w:eastAsia="仿宋_GB2312"/>
          <w:sz w:val="32"/>
          <w:szCs w:val="32"/>
        </w:rPr>
      </w:pPr>
      <w:r>
        <w:fldChar w:fldCharType="begin"/>
      </w:r>
      <w:r>
        <w:instrText xml:space="preserve"> HYPERLINK \l "_Toc8160" </w:instrText>
      </w:r>
      <w:r>
        <w:fldChar w:fldCharType="separate"/>
      </w:r>
      <w:r>
        <w:rPr>
          <w:rFonts w:ascii="Times New Roman" w:hAnsi="仿宋_GB2312" w:eastAsia="仿宋_GB2312"/>
          <w:sz w:val="32"/>
          <w:szCs w:val="32"/>
        </w:rPr>
        <w:t>第五章</w:t>
      </w:r>
      <w:r>
        <w:rPr>
          <w:rFonts w:ascii="Times New Roman" w:hAnsi="Times New Roman" w:eastAsia="仿宋_GB2312"/>
          <w:sz w:val="32"/>
          <w:szCs w:val="32"/>
        </w:rPr>
        <w:t xml:space="preserve"> </w:t>
      </w:r>
      <w:r>
        <w:rPr>
          <w:rFonts w:ascii="Times New Roman" w:hAnsi="仿宋_GB2312" w:eastAsia="仿宋_GB2312"/>
          <w:sz w:val="32"/>
          <w:szCs w:val="32"/>
        </w:rPr>
        <w:t>打造都市智造高地</w:t>
      </w:r>
      <w:r>
        <w:rPr>
          <w:rFonts w:ascii="Times New Roman" w:hAnsi="Times New Roman" w:eastAsia="仿宋_GB2312"/>
          <w:sz w:val="32"/>
          <w:szCs w:val="32"/>
        </w:rPr>
        <w:tab/>
      </w:r>
      <w:r>
        <w:rPr>
          <w:rFonts w:ascii="Times New Roman" w:hAnsi="Times New Roman" w:eastAsia="仿宋_GB2312"/>
          <w:sz w:val="32"/>
          <w:szCs w:val="32"/>
        </w:rPr>
        <w:t>3</w:t>
      </w:r>
      <w:r>
        <w:rPr>
          <w:rFonts w:ascii="Times New Roman" w:hAnsi="Times New Roman" w:eastAsia="仿宋_GB2312"/>
          <w:sz w:val="32"/>
          <w:szCs w:val="32"/>
        </w:rPr>
        <w:fldChar w:fldCharType="end"/>
      </w:r>
      <w:r>
        <w:rPr>
          <w:rFonts w:hint="eastAsia" w:ascii="Times New Roman" w:hAnsi="Times New Roman" w:eastAsia="仿宋_GB2312"/>
          <w:bCs/>
          <w:sz w:val="32"/>
          <w:szCs w:val="32"/>
        </w:rPr>
        <w:t>2</w:t>
      </w:r>
    </w:p>
    <w:p>
      <w:pPr>
        <w:pStyle w:val="9"/>
        <w:tabs>
          <w:tab w:val="right" w:leader="dot" w:pos="8306"/>
        </w:tabs>
        <w:jc w:val="both"/>
        <w:rPr>
          <w:rFonts w:hint="eastAsia" w:ascii="Times New Roman" w:hAnsi="Times New Roman" w:eastAsia="仿宋_GB2312"/>
          <w:sz w:val="32"/>
          <w:szCs w:val="32"/>
        </w:rPr>
      </w:pPr>
      <w:r>
        <w:fldChar w:fldCharType="begin"/>
      </w:r>
      <w:r>
        <w:instrText xml:space="preserve"> HYPERLINK \l "_Toc14965"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培育壮大高质量特色制造业</w:t>
      </w:r>
      <w:r>
        <w:rPr>
          <w:rFonts w:ascii="Times New Roman" w:hAnsi="Times New Roman" w:eastAsia="仿宋_GB2312"/>
          <w:sz w:val="32"/>
          <w:szCs w:val="32"/>
        </w:rPr>
        <w:tab/>
      </w:r>
      <w:r>
        <w:rPr>
          <w:rFonts w:ascii="Times New Roman" w:hAnsi="Times New Roman" w:eastAsia="仿宋_GB2312"/>
          <w:sz w:val="32"/>
          <w:szCs w:val="32"/>
        </w:rPr>
        <w:t>3</w:t>
      </w:r>
      <w:r>
        <w:rPr>
          <w:rFonts w:ascii="Times New Roman" w:hAnsi="Times New Roman" w:eastAsia="仿宋_GB2312"/>
          <w:sz w:val="32"/>
          <w:szCs w:val="32"/>
        </w:rPr>
        <w:fldChar w:fldCharType="end"/>
      </w:r>
      <w:r>
        <w:rPr>
          <w:rFonts w:hint="eastAsia" w:ascii="Times New Roman" w:hAnsi="Times New Roman" w:eastAsia="仿宋_GB2312"/>
          <w:bCs/>
          <w:sz w:val="32"/>
          <w:szCs w:val="32"/>
        </w:rPr>
        <w:t>2</w:t>
      </w:r>
    </w:p>
    <w:p>
      <w:pPr>
        <w:pStyle w:val="9"/>
        <w:tabs>
          <w:tab w:val="right" w:leader="dot" w:pos="8306"/>
        </w:tabs>
        <w:jc w:val="both"/>
        <w:rPr>
          <w:rFonts w:hint="eastAsia" w:ascii="Times New Roman" w:hAnsi="Times New Roman" w:eastAsia="仿宋_GB2312"/>
          <w:sz w:val="32"/>
          <w:szCs w:val="32"/>
        </w:rPr>
      </w:pPr>
      <w:r>
        <w:fldChar w:fldCharType="begin"/>
      </w:r>
      <w:r>
        <w:instrText xml:space="preserve"> HYPERLINK \l "_Toc26968"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加快推动两业深度融合</w:t>
      </w:r>
      <w:r>
        <w:rPr>
          <w:rFonts w:ascii="Times New Roman" w:hAnsi="Times New Roman" w:eastAsia="仿宋_GB2312"/>
          <w:sz w:val="32"/>
          <w:szCs w:val="32"/>
        </w:rPr>
        <w:tab/>
      </w:r>
      <w:r>
        <w:rPr>
          <w:rFonts w:ascii="Times New Roman" w:hAnsi="Times New Roman" w:eastAsia="仿宋_GB2312"/>
          <w:sz w:val="32"/>
          <w:szCs w:val="32"/>
        </w:rPr>
        <w:t>3</w:t>
      </w:r>
      <w:r>
        <w:rPr>
          <w:rFonts w:ascii="Times New Roman" w:hAnsi="Times New Roman" w:eastAsia="仿宋_GB2312"/>
          <w:sz w:val="32"/>
          <w:szCs w:val="32"/>
        </w:rPr>
        <w:fldChar w:fldCharType="end"/>
      </w:r>
      <w:r>
        <w:rPr>
          <w:rFonts w:hint="eastAsia" w:ascii="Times New Roman" w:hAnsi="Times New Roman" w:eastAsia="仿宋_GB2312"/>
          <w:bCs/>
          <w:sz w:val="32"/>
          <w:szCs w:val="32"/>
        </w:rPr>
        <w:t>4</w:t>
      </w:r>
    </w:p>
    <w:p>
      <w:pPr>
        <w:pStyle w:val="9"/>
        <w:tabs>
          <w:tab w:val="right" w:leader="dot" w:pos="8306"/>
        </w:tabs>
        <w:jc w:val="both"/>
        <w:rPr>
          <w:rFonts w:hint="eastAsia" w:ascii="Times New Roman" w:hAnsi="Times New Roman" w:eastAsia="仿宋_GB2312"/>
          <w:sz w:val="32"/>
          <w:szCs w:val="32"/>
        </w:rPr>
      </w:pPr>
      <w:r>
        <w:fldChar w:fldCharType="begin"/>
      </w:r>
      <w:r>
        <w:instrText xml:space="preserve"> HYPERLINK \l "_Toc27454"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提升产业园区载体能级</w:t>
      </w:r>
      <w:r>
        <w:rPr>
          <w:rFonts w:ascii="Times New Roman" w:hAnsi="Times New Roman" w:eastAsia="仿宋_GB2312"/>
          <w:sz w:val="32"/>
          <w:szCs w:val="32"/>
        </w:rPr>
        <w:tab/>
      </w:r>
      <w:r>
        <w:rPr>
          <w:rFonts w:ascii="Times New Roman" w:hAnsi="Times New Roman" w:eastAsia="仿宋_GB2312"/>
          <w:sz w:val="32"/>
          <w:szCs w:val="32"/>
        </w:rPr>
        <w:t>3</w:t>
      </w:r>
      <w:r>
        <w:rPr>
          <w:rFonts w:ascii="Times New Roman" w:hAnsi="Times New Roman" w:eastAsia="仿宋_GB2312"/>
          <w:sz w:val="32"/>
          <w:szCs w:val="32"/>
        </w:rPr>
        <w:fldChar w:fldCharType="end"/>
      </w:r>
      <w:r>
        <w:rPr>
          <w:rFonts w:hint="eastAsia" w:ascii="Times New Roman" w:hAnsi="Times New Roman" w:eastAsia="仿宋_GB2312"/>
          <w:bCs/>
          <w:sz w:val="32"/>
          <w:szCs w:val="32"/>
        </w:rPr>
        <w:t>6</w:t>
      </w:r>
    </w:p>
    <w:p>
      <w:pPr>
        <w:pStyle w:val="13"/>
        <w:tabs>
          <w:tab w:val="right" w:leader="dot" w:pos="8306"/>
        </w:tabs>
        <w:jc w:val="both"/>
        <w:rPr>
          <w:rFonts w:ascii="Times New Roman" w:hAnsi="Times New Roman" w:eastAsia="仿宋_GB2312"/>
          <w:sz w:val="32"/>
          <w:szCs w:val="32"/>
        </w:rPr>
      </w:pPr>
      <w:r>
        <w:fldChar w:fldCharType="begin"/>
      </w:r>
      <w:r>
        <w:instrText xml:space="preserve"> HYPERLINK \l "_Toc23180" </w:instrText>
      </w:r>
      <w:r>
        <w:fldChar w:fldCharType="separate"/>
      </w:r>
      <w:r>
        <w:rPr>
          <w:rFonts w:ascii="Times New Roman" w:hAnsi="仿宋_GB2312" w:eastAsia="仿宋_GB2312"/>
          <w:sz w:val="32"/>
          <w:szCs w:val="32"/>
        </w:rPr>
        <w:t>第六章</w:t>
      </w:r>
      <w:r>
        <w:rPr>
          <w:rFonts w:ascii="Times New Roman" w:hAnsi="Times New Roman" w:eastAsia="仿宋_GB2312"/>
          <w:sz w:val="32"/>
          <w:szCs w:val="32"/>
        </w:rPr>
        <w:t xml:space="preserve"> </w:t>
      </w:r>
      <w:r>
        <w:rPr>
          <w:rFonts w:ascii="Times New Roman" w:hAnsi="仿宋_GB2312" w:eastAsia="仿宋_GB2312"/>
          <w:sz w:val="32"/>
          <w:szCs w:val="32"/>
        </w:rPr>
        <w:t>打造数字经济示范区</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_Toc23180 </w:instrText>
      </w:r>
      <w:r>
        <w:rPr>
          <w:rFonts w:ascii="Times New Roman" w:hAnsi="Times New Roman" w:eastAsia="仿宋_GB2312"/>
          <w:sz w:val="32"/>
          <w:szCs w:val="32"/>
        </w:rPr>
        <w:fldChar w:fldCharType="separate"/>
      </w:r>
      <w:r>
        <w:rPr>
          <w:rFonts w:ascii="Times New Roman" w:hAnsi="Times New Roman" w:eastAsia="仿宋_GB2312"/>
          <w:sz w:val="32"/>
          <w:szCs w:val="32"/>
        </w:rPr>
        <w:t>37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"_Toc2964"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推动数字产业化发展</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_Toc2964 </w:instrText>
      </w:r>
      <w:r>
        <w:rPr>
          <w:rFonts w:ascii="Times New Roman" w:hAnsi="Times New Roman" w:eastAsia="仿宋_GB2312"/>
          <w:sz w:val="32"/>
          <w:szCs w:val="32"/>
        </w:rPr>
        <w:fldChar w:fldCharType="separate"/>
      </w:r>
      <w:r>
        <w:rPr>
          <w:rFonts w:ascii="Times New Roman" w:hAnsi="Times New Roman" w:eastAsia="仿宋_GB2312"/>
          <w:sz w:val="32"/>
          <w:szCs w:val="32"/>
        </w:rPr>
        <w:t>38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"_Toc8657"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推动产业数字化转型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_Toc8657 </w:instrText>
      </w:r>
      <w:r>
        <w:rPr>
          <w:rFonts w:ascii="Times New Roman" w:hAnsi="Times New Roman" w:eastAsia="仿宋_GB2312"/>
          <w:sz w:val="32"/>
          <w:szCs w:val="32"/>
        </w:rPr>
        <w:fldChar w:fldCharType="separate"/>
      </w:r>
      <w:r>
        <w:rPr>
          <w:rFonts w:ascii="Times New Roman" w:hAnsi="Times New Roman" w:eastAsia="仿宋_GB2312"/>
          <w:sz w:val="32"/>
          <w:szCs w:val="32"/>
        </w:rPr>
        <w:t>39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ascii="Times New Roman" w:hAnsi="Times New Roman" w:eastAsia="仿宋_GB2312"/>
          <w:sz w:val="32"/>
          <w:szCs w:val="32"/>
        </w:rPr>
      </w:pPr>
      <w:r>
        <w:fldChar w:fldCharType="begin"/>
      </w:r>
      <w:r>
        <w:instrText xml:space="preserve"> HYPERLINK \l "_Toc12427"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加快数字化城市建设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_Toc12427 </w:instrText>
      </w:r>
      <w:r>
        <w:rPr>
          <w:rFonts w:ascii="Times New Roman" w:hAnsi="Times New Roman" w:eastAsia="仿宋_GB2312"/>
          <w:sz w:val="32"/>
          <w:szCs w:val="32"/>
        </w:rPr>
        <w:fldChar w:fldCharType="separate"/>
      </w:r>
      <w:r>
        <w:rPr>
          <w:rFonts w:ascii="Times New Roman" w:hAnsi="Times New Roman" w:eastAsia="仿宋_GB2312"/>
          <w:sz w:val="32"/>
          <w:szCs w:val="32"/>
        </w:rPr>
        <w:t>40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3"/>
        <w:tabs>
          <w:tab w:val="right" w:leader="dot" w:pos="8306"/>
        </w:tabs>
        <w:jc w:val="both"/>
        <w:rPr>
          <w:rFonts w:ascii="Times New Roman" w:hAnsi="Times New Roman" w:eastAsia="仿宋_GB2312"/>
          <w:sz w:val="32"/>
          <w:szCs w:val="32"/>
        </w:rPr>
      </w:pPr>
      <w:r>
        <w:fldChar w:fldCharType="begin"/>
      </w:r>
      <w:r>
        <w:instrText xml:space="preserve"> HYPERLINK \l "_Toc26552" </w:instrText>
      </w:r>
      <w:r>
        <w:fldChar w:fldCharType="separate"/>
      </w:r>
      <w:r>
        <w:rPr>
          <w:rFonts w:ascii="Times New Roman" w:hAnsi="仿宋_GB2312" w:eastAsia="仿宋_GB2312"/>
          <w:sz w:val="32"/>
          <w:szCs w:val="32"/>
        </w:rPr>
        <w:t>第七章</w:t>
      </w:r>
      <w:r>
        <w:rPr>
          <w:rFonts w:ascii="Times New Roman" w:hAnsi="Times New Roman" w:eastAsia="仿宋_GB2312"/>
          <w:sz w:val="32"/>
          <w:szCs w:val="32"/>
        </w:rPr>
        <w:t xml:space="preserve"> </w:t>
      </w:r>
      <w:r>
        <w:rPr>
          <w:rFonts w:ascii="Times New Roman" w:hAnsi="仿宋_GB2312" w:eastAsia="仿宋_GB2312"/>
          <w:sz w:val="32"/>
          <w:szCs w:val="32"/>
        </w:rPr>
        <w:t>构筑中轴枢纽新支点</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_Toc26552 </w:instrText>
      </w:r>
      <w:r>
        <w:rPr>
          <w:rFonts w:ascii="Times New Roman" w:hAnsi="Times New Roman" w:eastAsia="仿宋_GB2312"/>
          <w:sz w:val="32"/>
          <w:szCs w:val="32"/>
        </w:rPr>
        <w:fldChar w:fldCharType="separate"/>
      </w:r>
      <w:r>
        <w:rPr>
          <w:rFonts w:ascii="Times New Roman" w:hAnsi="Times New Roman" w:eastAsia="仿宋_GB2312"/>
          <w:sz w:val="32"/>
          <w:szCs w:val="32"/>
        </w:rPr>
        <w:t>40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ascii="Times New Roman" w:hAnsi="Times New Roman" w:eastAsia="仿宋_GB2312"/>
          <w:sz w:val="32"/>
          <w:szCs w:val="32"/>
        </w:rPr>
      </w:pPr>
      <w:r>
        <w:fldChar w:fldCharType="begin"/>
      </w:r>
      <w:r>
        <w:instrText xml:space="preserve"> HYPERLINK \l "_Toc20758"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推动多层次交通互通互联</w:t>
      </w:r>
      <w:r>
        <w:rPr>
          <w:rFonts w:ascii="Times New Roman" w:hAnsi="Times New Roman" w:eastAsia="仿宋_GB2312"/>
          <w:sz w:val="32"/>
          <w:szCs w:val="32"/>
        </w:rPr>
        <w:t>………………………</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_Toc20758 </w:instrText>
      </w:r>
      <w:r>
        <w:rPr>
          <w:rFonts w:ascii="Times New Roman" w:hAnsi="Times New Roman" w:eastAsia="仿宋_GB2312"/>
          <w:sz w:val="32"/>
          <w:szCs w:val="32"/>
        </w:rPr>
        <w:fldChar w:fldCharType="separate"/>
      </w:r>
      <w:r>
        <w:rPr>
          <w:rFonts w:ascii="Times New Roman" w:hAnsi="Times New Roman" w:eastAsia="仿宋_GB2312"/>
          <w:sz w:val="32"/>
          <w:szCs w:val="32"/>
        </w:rPr>
        <w:t>40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jc w:val="both"/>
        <w:rPr>
          <w:rFonts w:hint="eastAsia" w:ascii="Times New Roman" w:hAnsi="Times New Roman" w:eastAsia="仿宋_GB2312"/>
          <w:sz w:val="32"/>
          <w:szCs w:val="32"/>
        </w:rPr>
      </w:pPr>
      <w:r>
        <w:fldChar w:fldCharType="begin"/>
      </w:r>
      <w:r>
        <w:instrText xml:space="preserve"> HYPERLINK \l "_Toc32128"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打造长三角现代物流中心</w:t>
      </w:r>
      <w:r>
        <w:rPr>
          <w:rFonts w:ascii="Times New Roman" w:hAnsi="Times New Roman" w:eastAsia="仿宋_GB2312"/>
          <w:sz w:val="32"/>
          <w:szCs w:val="32"/>
        </w:rPr>
        <w:tab/>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hint="eastAsia" w:ascii="Times New Roman" w:hAnsi="Times New Roman" w:eastAsia="仿宋_GB2312"/>
          <w:bCs/>
          <w:sz w:val="32"/>
          <w:szCs w:val="32"/>
        </w:rPr>
        <w:t>2</w:t>
      </w:r>
    </w:p>
    <w:p>
      <w:pPr>
        <w:pStyle w:val="9"/>
        <w:tabs>
          <w:tab w:val="right" w:leader="dot" w:pos="8306"/>
        </w:tabs>
        <w:jc w:val="both"/>
        <w:rPr>
          <w:rFonts w:hint="eastAsia" w:ascii="Times New Roman" w:hAnsi="Times New Roman" w:eastAsia="仿宋_GB2312"/>
          <w:sz w:val="32"/>
          <w:szCs w:val="32"/>
        </w:rPr>
      </w:pPr>
      <w:r>
        <w:fldChar w:fldCharType="begin"/>
      </w:r>
      <w:r>
        <w:instrText xml:space="preserve"> HYPERLINK \l "_Toc16161"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融入长三角高质量一体化发展</w:t>
      </w:r>
      <w:r>
        <w:rPr>
          <w:rFonts w:ascii="Times New Roman" w:hAnsi="Times New Roman" w:eastAsia="仿宋_GB2312"/>
          <w:sz w:val="32"/>
          <w:szCs w:val="32"/>
        </w:rPr>
        <w:tab/>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hint="eastAsia" w:ascii="Times New Roman" w:hAnsi="Times New Roman" w:eastAsia="仿宋_GB2312"/>
          <w:bCs/>
          <w:sz w:val="32"/>
          <w:szCs w:val="32"/>
        </w:rPr>
        <w:t>3</w:t>
      </w:r>
    </w:p>
    <w:p>
      <w:pPr>
        <w:pStyle w:val="13"/>
        <w:tabs>
          <w:tab w:val="right" w:leader="dot" w:pos="8306"/>
        </w:tabs>
        <w:jc w:val="both"/>
        <w:rPr>
          <w:rFonts w:hint="eastAsia" w:ascii="Times New Roman" w:hAnsi="Times New Roman" w:eastAsia="仿宋_GB2312"/>
          <w:sz w:val="32"/>
          <w:szCs w:val="32"/>
        </w:rPr>
      </w:pPr>
      <w:r>
        <w:fldChar w:fldCharType="begin"/>
      </w:r>
      <w:r>
        <w:instrText xml:space="preserve"> HYPERLINK \l "_Toc25680" </w:instrText>
      </w:r>
      <w:r>
        <w:fldChar w:fldCharType="separate"/>
      </w:r>
      <w:r>
        <w:rPr>
          <w:rFonts w:ascii="Times New Roman" w:hAnsi="仿宋_GB2312" w:eastAsia="仿宋_GB2312"/>
          <w:sz w:val="32"/>
          <w:szCs w:val="32"/>
        </w:rPr>
        <w:t>第八章</w:t>
      </w:r>
      <w:r>
        <w:rPr>
          <w:rFonts w:ascii="Times New Roman" w:hAnsi="Times New Roman" w:eastAsia="仿宋_GB2312"/>
          <w:sz w:val="32"/>
          <w:szCs w:val="32"/>
        </w:rPr>
        <w:t xml:space="preserve"> </w:t>
      </w:r>
      <w:r>
        <w:rPr>
          <w:rFonts w:ascii="Times New Roman" w:hAnsi="仿宋_GB2312" w:eastAsia="仿宋_GB2312"/>
          <w:sz w:val="32"/>
          <w:szCs w:val="32"/>
        </w:rPr>
        <w:t>主动融入国内国际双循环</w:t>
      </w:r>
      <w:r>
        <w:rPr>
          <w:rFonts w:ascii="Times New Roman" w:hAnsi="Times New Roman" w:eastAsia="仿宋_GB2312"/>
          <w:sz w:val="32"/>
          <w:szCs w:val="32"/>
        </w:rPr>
        <w:tab/>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"_Toc14978"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多维度发力国内循环</w:t>
      </w:r>
      <w:r>
        <w:rPr>
          <w:rFonts w:ascii="Times New Roman" w:hAnsi="Times New Roman" w:eastAsia="仿宋_GB2312"/>
          <w:sz w:val="32"/>
          <w:szCs w:val="32"/>
        </w:rPr>
        <w:tab/>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"_Toc6877"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多方位参与国际循环</w:t>
      </w:r>
      <w:r>
        <w:rPr>
          <w:rFonts w:ascii="Times New Roman" w:hAnsi="Times New Roman" w:eastAsia="仿宋_GB2312"/>
          <w:sz w:val="32"/>
          <w:szCs w:val="32"/>
        </w:rPr>
        <w:tab/>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hint="eastAsia" w:ascii="Times New Roman" w:hAnsi="Times New Roman" w:eastAsia="仿宋_GB2312"/>
          <w:bCs/>
          <w:sz w:val="32"/>
          <w:szCs w:val="32"/>
        </w:rPr>
        <w:t>7</w:t>
      </w:r>
    </w:p>
    <w:p>
      <w:pPr>
        <w:pStyle w:val="13"/>
        <w:tabs>
          <w:tab w:val="right" w:leader="dot" w:pos="8306"/>
        </w:tabs>
        <w:rPr>
          <w:rFonts w:ascii="Times New Roman" w:hAnsi="Times New Roman" w:eastAsia="仿宋_GB2312"/>
          <w:sz w:val="32"/>
          <w:szCs w:val="32"/>
        </w:rPr>
      </w:pPr>
      <w:r>
        <w:fldChar w:fldCharType="begin"/>
      </w:r>
      <w:r>
        <w:instrText xml:space="preserve"> HYPERLINK \l "_Toc29799" </w:instrText>
      </w:r>
      <w:r>
        <w:fldChar w:fldCharType="separate"/>
      </w:r>
      <w:r>
        <w:rPr>
          <w:rFonts w:ascii="Times New Roman" w:hAnsi="仿宋_GB2312" w:eastAsia="仿宋_GB2312"/>
          <w:sz w:val="32"/>
          <w:szCs w:val="32"/>
        </w:rPr>
        <w:t>第九章</w:t>
      </w:r>
      <w:r>
        <w:rPr>
          <w:rFonts w:ascii="Times New Roman" w:hAnsi="Times New Roman" w:eastAsia="仿宋_GB2312"/>
          <w:sz w:val="32"/>
          <w:szCs w:val="32"/>
        </w:rPr>
        <w:t xml:space="preserve"> </w:t>
      </w:r>
      <w:r>
        <w:rPr>
          <w:rFonts w:ascii="Times New Roman" w:hAnsi="仿宋_GB2312" w:eastAsia="仿宋_GB2312"/>
          <w:sz w:val="32"/>
          <w:szCs w:val="32"/>
        </w:rPr>
        <w:t>打造运河文创名区</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_Toc29799 </w:instrText>
      </w:r>
      <w:r>
        <w:rPr>
          <w:rFonts w:ascii="Times New Roman" w:hAnsi="Times New Roman" w:eastAsia="仿宋_GB2312"/>
          <w:sz w:val="32"/>
          <w:szCs w:val="32"/>
        </w:rPr>
        <w:fldChar w:fldCharType="separate"/>
      </w:r>
      <w:r>
        <w:rPr>
          <w:rFonts w:ascii="Times New Roman" w:hAnsi="Times New Roman" w:eastAsia="仿宋_GB2312"/>
          <w:sz w:val="32"/>
          <w:szCs w:val="32"/>
        </w:rPr>
        <w:t>49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ascii="Times New Roman" w:hAnsi="Times New Roman" w:eastAsia="仿宋_GB2312"/>
          <w:sz w:val="32"/>
          <w:szCs w:val="32"/>
        </w:rPr>
      </w:pPr>
      <w:r>
        <w:fldChar w:fldCharType="begin"/>
      </w:r>
      <w:r>
        <w:instrText xml:space="preserve"> HYPERLINK \l "_Toc19884"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推进大运河文化带建设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_Toc19884 </w:instrText>
      </w:r>
      <w:r>
        <w:rPr>
          <w:rFonts w:ascii="Times New Roman" w:hAnsi="Times New Roman" w:eastAsia="仿宋_GB2312"/>
          <w:sz w:val="32"/>
          <w:szCs w:val="32"/>
        </w:rPr>
        <w:fldChar w:fldCharType="separate"/>
      </w:r>
      <w:r>
        <w:rPr>
          <w:rFonts w:ascii="Times New Roman" w:hAnsi="Times New Roman" w:eastAsia="仿宋_GB2312"/>
          <w:sz w:val="32"/>
          <w:szCs w:val="32"/>
        </w:rPr>
        <w:t>49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"_Toc20258"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深化文旅融合发展</w:t>
      </w:r>
      <w:r>
        <w:rPr>
          <w:rFonts w:ascii="Times New Roman" w:hAnsi="Times New Roman" w:eastAsia="仿宋_GB2312"/>
          <w:sz w:val="32"/>
          <w:szCs w:val="32"/>
        </w:rPr>
        <w:tab/>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hint="eastAsia" w:ascii="Times New Roman" w:hAnsi="Times New Roman" w:eastAsia="仿宋_GB2312"/>
          <w:bCs/>
          <w:sz w:val="32"/>
          <w:szCs w:val="32"/>
        </w:rPr>
        <w:t>2</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"_Toc9755"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推动商圈繁荣振兴</w:t>
      </w:r>
      <w:r>
        <w:rPr>
          <w:rFonts w:ascii="Times New Roman" w:hAnsi="Times New Roman" w:eastAsia="仿宋_GB2312"/>
          <w:sz w:val="32"/>
          <w:szCs w:val="32"/>
        </w:rPr>
        <w:tab/>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"_Toc17808" </w:instrText>
      </w:r>
      <w:r>
        <w:fldChar w:fldCharType="separate"/>
      </w:r>
      <w:r>
        <w:rPr>
          <w:rFonts w:ascii="Times New Roman" w:hAnsi="仿宋_GB2312" w:eastAsia="仿宋_GB2312"/>
          <w:sz w:val="32"/>
          <w:szCs w:val="32"/>
        </w:rPr>
        <w:t>第四节</w:t>
      </w:r>
      <w:r>
        <w:rPr>
          <w:rFonts w:ascii="Times New Roman" w:hAnsi="Times New Roman" w:eastAsia="仿宋_GB2312"/>
          <w:sz w:val="32"/>
          <w:szCs w:val="32"/>
        </w:rPr>
        <w:t xml:space="preserve"> </w:t>
      </w:r>
      <w:r>
        <w:rPr>
          <w:rFonts w:ascii="Times New Roman" w:hAnsi="仿宋_GB2312" w:eastAsia="仿宋_GB2312"/>
          <w:sz w:val="32"/>
          <w:szCs w:val="32"/>
        </w:rPr>
        <w:t>大力发展楼宇经济</w:t>
      </w:r>
      <w:r>
        <w:rPr>
          <w:rFonts w:ascii="Times New Roman" w:hAnsi="Times New Roman" w:eastAsia="仿宋_GB2312"/>
          <w:sz w:val="32"/>
          <w:szCs w:val="32"/>
        </w:rPr>
        <w:tab/>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hint="eastAsia" w:ascii="Times New Roman" w:hAnsi="Times New Roman" w:eastAsia="仿宋_GB2312"/>
          <w:bCs/>
          <w:sz w:val="32"/>
          <w:szCs w:val="32"/>
        </w:rPr>
        <w:t>6</w:t>
      </w:r>
    </w:p>
    <w:p>
      <w:pPr>
        <w:pStyle w:val="13"/>
        <w:tabs>
          <w:tab w:val="right" w:leader="dot" w:pos="8306"/>
        </w:tabs>
        <w:rPr>
          <w:rFonts w:hint="eastAsia" w:ascii="Times New Roman" w:hAnsi="Times New Roman" w:eastAsia="仿宋_GB2312"/>
          <w:sz w:val="32"/>
          <w:szCs w:val="32"/>
        </w:rPr>
      </w:pPr>
      <w:r>
        <w:fldChar w:fldCharType="begin"/>
      </w:r>
      <w:r>
        <w:instrText xml:space="preserve"> HYPERLINK \l "_Toc5827" </w:instrText>
      </w:r>
      <w:r>
        <w:fldChar w:fldCharType="separate"/>
      </w:r>
      <w:r>
        <w:rPr>
          <w:rFonts w:ascii="Times New Roman" w:hAnsi="仿宋_GB2312" w:eastAsia="仿宋_GB2312"/>
          <w:sz w:val="32"/>
          <w:szCs w:val="32"/>
        </w:rPr>
        <w:t>第十章</w:t>
      </w:r>
      <w:r>
        <w:rPr>
          <w:rFonts w:ascii="Times New Roman" w:hAnsi="Times New Roman" w:eastAsia="仿宋_GB2312"/>
          <w:sz w:val="32"/>
          <w:szCs w:val="32"/>
        </w:rPr>
        <w:t xml:space="preserve"> </w:t>
      </w:r>
      <w:r>
        <w:rPr>
          <w:rFonts w:ascii="Times New Roman" w:hAnsi="仿宋_GB2312" w:eastAsia="仿宋_GB2312"/>
          <w:sz w:val="32"/>
          <w:szCs w:val="32"/>
        </w:rPr>
        <w:t>提升人民生活品质</w:t>
      </w:r>
      <w:r>
        <w:rPr>
          <w:rFonts w:ascii="Times New Roman" w:hAnsi="Times New Roman" w:eastAsia="仿宋_GB2312"/>
          <w:sz w:val="32"/>
          <w:szCs w:val="32"/>
        </w:rPr>
        <w:tab/>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hint="eastAsia" w:ascii="Times New Roman" w:hAnsi="Times New Roman" w:eastAsia="仿宋_GB2312"/>
          <w:bCs/>
          <w:sz w:val="32"/>
          <w:szCs w:val="32"/>
        </w:rPr>
        <w:t>8</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"_Toc32357"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实现更高质量更充分就业</w:t>
      </w:r>
      <w:r>
        <w:rPr>
          <w:rFonts w:ascii="Times New Roman" w:hAnsi="Times New Roman" w:eastAsia="仿宋_GB2312"/>
          <w:sz w:val="32"/>
          <w:szCs w:val="32"/>
        </w:rPr>
        <w:tab/>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hint="eastAsia" w:ascii="Times New Roman" w:hAnsi="Times New Roman" w:eastAsia="仿宋_GB2312"/>
          <w:bCs/>
          <w:sz w:val="32"/>
          <w:szCs w:val="32"/>
        </w:rPr>
        <w:t>8</w:t>
      </w:r>
    </w:p>
    <w:p>
      <w:pPr>
        <w:pStyle w:val="9"/>
        <w:tabs>
          <w:tab w:val="right" w:leader="dot" w:pos="8306"/>
        </w:tabs>
        <w:rPr>
          <w:rFonts w:ascii="Times New Roman" w:hAnsi="Times New Roman" w:eastAsia="仿宋_GB2312"/>
          <w:sz w:val="32"/>
          <w:szCs w:val="32"/>
        </w:rPr>
      </w:pPr>
      <w:r>
        <w:fldChar w:fldCharType="begin"/>
      </w:r>
      <w:r>
        <w:instrText xml:space="preserve"> HYPERLINK \l "_Toc14336"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构建更优质更均衡现代教育</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_Toc14336 </w:instrText>
      </w:r>
      <w:r>
        <w:rPr>
          <w:rFonts w:ascii="Times New Roman" w:hAnsi="Times New Roman" w:eastAsia="仿宋_GB2312"/>
          <w:sz w:val="32"/>
          <w:szCs w:val="32"/>
        </w:rPr>
        <w:fldChar w:fldCharType="separate"/>
      </w:r>
      <w:r>
        <w:rPr>
          <w:rFonts w:ascii="Times New Roman" w:hAnsi="Times New Roman" w:eastAsia="仿宋_GB2312"/>
          <w:sz w:val="32"/>
          <w:szCs w:val="32"/>
        </w:rPr>
        <w:t>59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ascii="Times New Roman" w:hAnsi="Times New Roman" w:eastAsia="仿宋_GB2312"/>
          <w:sz w:val="32"/>
          <w:szCs w:val="32"/>
        </w:rPr>
      </w:pPr>
      <w:r>
        <w:fldChar w:fldCharType="begin"/>
      </w:r>
      <w:r>
        <w:instrText xml:space="preserve"> HYPERLINK \l "_Toc29472"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推进健康钟楼建设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_Toc29472 </w:instrText>
      </w:r>
      <w:r>
        <w:rPr>
          <w:rFonts w:ascii="Times New Roman" w:hAnsi="Times New Roman" w:eastAsia="仿宋_GB2312"/>
          <w:sz w:val="32"/>
          <w:szCs w:val="32"/>
        </w:rPr>
        <w:fldChar w:fldCharType="separate"/>
      </w:r>
      <w:r>
        <w:rPr>
          <w:rFonts w:ascii="Times New Roman" w:hAnsi="Times New Roman" w:eastAsia="仿宋_GB2312"/>
          <w:sz w:val="32"/>
          <w:szCs w:val="32"/>
        </w:rPr>
        <w:t>60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"_Toc7580" </w:instrText>
      </w:r>
      <w:r>
        <w:fldChar w:fldCharType="separate"/>
      </w:r>
      <w:r>
        <w:rPr>
          <w:rFonts w:ascii="Times New Roman" w:hAnsi="仿宋_GB2312" w:eastAsia="仿宋_GB2312"/>
          <w:sz w:val="32"/>
          <w:szCs w:val="32"/>
        </w:rPr>
        <w:t>第四节</w:t>
      </w:r>
      <w:r>
        <w:rPr>
          <w:rFonts w:ascii="Times New Roman" w:hAnsi="Times New Roman" w:eastAsia="仿宋_GB2312"/>
          <w:sz w:val="32"/>
          <w:szCs w:val="32"/>
        </w:rPr>
        <w:t xml:space="preserve"> </w:t>
      </w:r>
      <w:r>
        <w:rPr>
          <w:rFonts w:ascii="Times New Roman" w:hAnsi="仿宋_GB2312" w:eastAsia="仿宋_GB2312"/>
          <w:sz w:val="32"/>
          <w:szCs w:val="32"/>
        </w:rPr>
        <w:t>全力推进文体事业</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ascii="Times New Roman" w:hAnsi="Times New Roman" w:eastAsia="仿宋_GB2312"/>
          <w:bCs/>
          <w:sz w:val="32"/>
          <w:szCs w:val="32"/>
        </w:rPr>
        <w:t>6</w:t>
      </w:r>
      <w:r>
        <w:rPr>
          <w:rFonts w:hint="eastAsia" w:ascii="Times New Roman" w:hAnsi="Times New Roman" w:eastAsia="仿宋_GB2312"/>
          <w:bCs/>
          <w:sz w:val="32"/>
          <w:szCs w:val="32"/>
        </w:rPr>
        <w:t>2</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"_Toc3969" </w:instrText>
      </w:r>
      <w:r>
        <w:fldChar w:fldCharType="separate"/>
      </w:r>
      <w:r>
        <w:rPr>
          <w:rFonts w:ascii="Times New Roman" w:hAnsi="仿宋_GB2312" w:eastAsia="仿宋_GB2312"/>
          <w:sz w:val="32"/>
          <w:szCs w:val="32"/>
        </w:rPr>
        <w:t>第五节</w:t>
      </w:r>
      <w:r>
        <w:rPr>
          <w:rFonts w:ascii="Times New Roman" w:hAnsi="Times New Roman" w:eastAsia="仿宋_GB2312"/>
          <w:sz w:val="32"/>
          <w:szCs w:val="32"/>
        </w:rPr>
        <w:t xml:space="preserve"> </w:t>
      </w:r>
      <w:r>
        <w:rPr>
          <w:rFonts w:ascii="Times New Roman" w:hAnsi="仿宋_GB2312" w:eastAsia="仿宋_GB2312"/>
          <w:sz w:val="32"/>
          <w:szCs w:val="32"/>
        </w:rPr>
        <w:t>努力提升社会保障水平</w:t>
      </w:r>
      <w:r>
        <w:rPr>
          <w:rFonts w:ascii="Times New Roman" w:hAnsi="Times New Roman" w:eastAsia="仿宋_GB2312"/>
          <w:sz w:val="32"/>
          <w:szCs w:val="32"/>
        </w:rPr>
        <w:tab/>
      </w:r>
      <w:r>
        <w:rPr>
          <w:rFonts w:ascii="Times New Roman" w:hAnsi="Times New Roman" w:eastAsia="仿宋_GB2312"/>
          <w:sz w:val="32"/>
          <w:szCs w:val="32"/>
        </w:rPr>
        <w:t>6</w:t>
      </w:r>
      <w:r>
        <w:rPr>
          <w:rFonts w:ascii="Times New Roman" w:hAnsi="Times New Roman" w:eastAsia="仿宋_GB2312"/>
          <w:sz w:val="32"/>
          <w:szCs w:val="32"/>
        </w:rPr>
        <w:fldChar w:fldCharType="end"/>
      </w:r>
      <w:r>
        <w:rPr>
          <w:rFonts w:hint="eastAsia" w:ascii="Times New Roman" w:hAnsi="Times New Roman" w:eastAsia="仿宋_GB2312"/>
          <w:bCs/>
          <w:sz w:val="32"/>
          <w:szCs w:val="32"/>
        </w:rPr>
        <w:t>3</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"_Toc5875" </w:instrText>
      </w:r>
      <w:r>
        <w:fldChar w:fldCharType="separate"/>
      </w:r>
      <w:r>
        <w:rPr>
          <w:rFonts w:ascii="Times New Roman" w:hAnsi="仿宋_GB2312" w:eastAsia="仿宋_GB2312"/>
          <w:sz w:val="32"/>
          <w:szCs w:val="32"/>
        </w:rPr>
        <w:t>第六节</w:t>
      </w:r>
      <w:r>
        <w:rPr>
          <w:rFonts w:ascii="Times New Roman" w:hAnsi="Times New Roman" w:eastAsia="仿宋_GB2312"/>
          <w:sz w:val="32"/>
          <w:szCs w:val="32"/>
        </w:rPr>
        <w:t xml:space="preserve"> </w:t>
      </w:r>
      <w:r>
        <w:rPr>
          <w:rFonts w:ascii="Times New Roman" w:hAnsi="仿宋_GB2312" w:eastAsia="仿宋_GB2312"/>
          <w:sz w:val="32"/>
          <w:szCs w:val="32"/>
        </w:rPr>
        <w:t>促进人口长期均衡发展</w:t>
      </w:r>
      <w:r>
        <w:rPr>
          <w:rFonts w:ascii="Times New Roman" w:hAnsi="Times New Roman" w:eastAsia="仿宋_GB2312"/>
          <w:sz w:val="32"/>
          <w:szCs w:val="32"/>
        </w:rPr>
        <w:tab/>
      </w:r>
      <w:r>
        <w:rPr>
          <w:rFonts w:ascii="Times New Roman" w:hAnsi="Times New Roman" w:eastAsia="仿宋_GB2312"/>
          <w:sz w:val="32"/>
          <w:szCs w:val="32"/>
        </w:rPr>
        <w:t>6</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p>
    <w:p>
      <w:pPr>
        <w:pStyle w:val="13"/>
        <w:tabs>
          <w:tab w:val="right" w:leader="dot" w:pos="8306"/>
        </w:tabs>
        <w:rPr>
          <w:rFonts w:hint="eastAsia" w:ascii="Times New Roman" w:hAnsi="Times New Roman" w:eastAsia="仿宋_GB2312"/>
          <w:sz w:val="32"/>
          <w:szCs w:val="32"/>
        </w:rPr>
      </w:pPr>
      <w:r>
        <w:fldChar w:fldCharType="begin"/>
      </w:r>
      <w:r>
        <w:instrText xml:space="preserve"> HYPERLINK \l "_Toc5547" </w:instrText>
      </w:r>
      <w:r>
        <w:fldChar w:fldCharType="separate"/>
      </w:r>
      <w:r>
        <w:rPr>
          <w:rFonts w:ascii="Times New Roman" w:hAnsi="仿宋_GB2312" w:eastAsia="仿宋_GB2312"/>
          <w:sz w:val="32"/>
          <w:szCs w:val="32"/>
        </w:rPr>
        <w:t>第十一章</w:t>
      </w:r>
      <w:r>
        <w:rPr>
          <w:rFonts w:ascii="Times New Roman" w:hAnsi="Times New Roman" w:eastAsia="仿宋_GB2312"/>
          <w:sz w:val="32"/>
          <w:szCs w:val="32"/>
        </w:rPr>
        <w:t xml:space="preserve"> </w:t>
      </w:r>
      <w:r>
        <w:rPr>
          <w:rFonts w:ascii="Times New Roman" w:hAnsi="仿宋_GB2312" w:eastAsia="仿宋_GB2312"/>
          <w:sz w:val="32"/>
          <w:szCs w:val="32"/>
        </w:rPr>
        <w:t>建设生态宜居家园</w:t>
      </w:r>
      <w:r>
        <w:rPr>
          <w:rFonts w:ascii="Times New Roman" w:hAnsi="Times New Roman" w:eastAsia="仿宋_GB2312"/>
          <w:sz w:val="32"/>
          <w:szCs w:val="32"/>
        </w:rPr>
        <w:tab/>
      </w:r>
      <w:r>
        <w:rPr>
          <w:rFonts w:ascii="Times New Roman" w:hAnsi="Times New Roman" w:eastAsia="仿宋_GB2312"/>
          <w:sz w:val="32"/>
          <w:szCs w:val="32"/>
        </w:rPr>
        <w:t>6</w:t>
      </w:r>
      <w:r>
        <w:rPr>
          <w:rFonts w:ascii="Times New Roman" w:hAnsi="Times New Roman" w:eastAsia="仿宋_GB2312"/>
          <w:sz w:val="32"/>
          <w:szCs w:val="32"/>
        </w:rPr>
        <w:fldChar w:fldCharType="end"/>
      </w:r>
      <w:r>
        <w:rPr>
          <w:rFonts w:hint="eastAsia" w:ascii="Times New Roman" w:hAnsi="Times New Roman" w:eastAsia="仿宋_GB2312"/>
          <w:bCs/>
          <w:sz w:val="32"/>
          <w:szCs w:val="32"/>
        </w:rPr>
        <w:t>7</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"_Toc5382"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筑牢美丽钟楼生态基底</w:t>
      </w:r>
      <w:r>
        <w:rPr>
          <w:rFonts w:ascii="Times New Roman" w:hAnsi="Times New Roman" w:eastAsia="仿宋_GB2312"/>
          <w:sz w:val="32"/>
          <w:szCs w:val="32"/>
        </w:rPr>
        <w:tab/>
      </w:r>
      <w:r>
        <w:rPr>
          <w:rFonts w:ascii="Times New Roman" w:hAnsi="Times New Roman" w:eastAsia="仿宋_GB2312"/>
          <w:sz w:val="32"/>
          <w:szCs w:val="32"/>
        </w:rPr>
        <w:t>6</w:t>
      </w:r>
      <w:r>
        <w:rPr>
          <w:rFonts w:ascii="Times New Roman" w:hAnsi="Times New Roman" w:eastAsia="仿宋_GB2312"/>
          <w:sz w:val="32"/>
          <w:szCs w:val="32"/>
        </w:rPr>
        <w:fldChar w:fldCharType="end"/>
      </w:r>
      <w:r>
        <w:rPr>
          <w:rFonts w:hint="eastAsia" w:ascii="Times New Roman" w:hAnsi="Times New Roman" w:eastAsia="仿宋_GB2312"/>
          <w:bCs/>
          <w:sz w:val="32"/>
          <w:szCs w:val="32"/>
        </w:rPr>
        <w:t>7</w:t>
      </w:r>
    </w:p>
    <w:p>
      <w:pPr>
        <w:pStyle w:val="9"/>
        <w:tabs>
          <w:tab w:val="right" w:leader="dot" w:pos="8306"/>
        </w:tabs>
        <w:rPr>
          <w:rFonts w:ascii="Times New Roman" w:hAnsi="Times New Roman" w:eastAsia="仿宋_GB2312"/>
          <w:sz w:val="32"/>
          <w:szCs w:val="32"/>
        </w:rPr>
      </w:pPr>
      <w:r>
        <w:fldChar w:fldCharType="begin"/>
      </w:r>
      <w:r>
        <w:instrText xml:space="preserve"> HYPERLINK \l "_Toc13404"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加快城市更新进程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_Toc13404 </w:instrText>
      </w:r>
      <w:r>
        <w:rPr>
          <w:rFonts w:ascii="Times New Roman" w:hAnsi="Times New Roman" w:eastAsia="仿宋_GB2312"/>
          <w:sz w:val="32"/>
          <w:szCs w:val="32"/>
        </w:rPr>
        <w:fldChar w:fldCharType="separate"/>
      </w:r>
      <w:r>
        <w:rPr>
          <w:rFonts w:ascii="Times New Roman" w:hAnsi="Times New Roman" w:eastAsia="仿宋_GB2312"/>
          <w:sz w:val="32"/>
          <w:szCs w:val="32"/>
        </w:rPr>
        <w:t>70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"_Toc3671"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提升城市管理水平</w:t>
      </w:r>
      <w:r>
        <w:rPr>
          <w:rFonts w:ascii="Times New Roman" w:hAnsi="Times New Roman" w:eastAsia="仿宋_GB2312"/>
          <w:sz w:val="32"/>
          <w:szCs w:val="32"/>
        </w:rPr>
        <w:tab/>
      </w:r>
      <w:r>
        <w:rPr>
          <w:rFonts w:ascii="Times New Roman" w:hAnsi="Times New Roman" w:eastAsia="仿宋_GB2312"/>
          <w:sz w:val="32"/>
          <w:szCs w:val="32"/>
        </w:rPr>
        <w:t>7</w:t>
      </w:r>
      <w:r>
        <w:rPr>
          <w:rFonts w:ascii="Times New Roman" w:hAnsi="Times New Roman" w:eastAsia="仿宋_GB2312"/>
          <w:sz w:val="32"/>
          <w:szCs w:val="32"/>
        </w:rPr>
        <w:fldChar w:fldCharType="end"/>
      </w:r>
      <w:r>
        <w:rPr>
          <w:rFonts w:hint="eastAsia" w:ascii="Times New Roman" w:hAnsi="Times New Roman" w:eastAsia="仿宋_GB2312"/>
          <w:bCs/>
          <w:sz w:val="32"/>
          <w:szCs w:val="32"/>
        </w:rPr>
        <w:t>3</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"_Toc26592" </w:instrText>
      </w:r>
      <w:r>
        <w:fldChar w:fldCharType="separate"/>
      </w:r>
      <w:r>
        <w:rPr>
          <w:rFonts w:ascii="Times New Roman" w:hAnsi="仿宋_GB2312" w:eastAsia="仿宋_GB2312"/>
          <w:sz w:val="32"/>
          <w:szCs w:val="32"/>
        </w:rPr>
        <w:t>第四节</w:t>
      </w:r>
      <w:r>
        <w:rPr>
          <w:rFonts w:ascii="Times New Roman" w:hAnsi="Times New Roman" w:eastAsia="仿宋_GB2312"/>
          <w:sz w:val="32"/>
          <w:szCs w:val="32"/>
        </w:rPr>
        <w:t xml:space="preserve"> </w:t>
      </w:r>
      <w:r>
        <w:rPr>
          <w:rFonts w:ascii="Times New Roman" w:hAnsi="仿宋_GB2312" w:eastAsia="仿宋_GB2312"/>
          <w:sz w:val="32"/>
          <w:szCs w:val="32"/>
        </w:rPr>
        <w:t>推进城乡融合发展</w:t>
      </w:r>
      <w:r>
        <w:rPr>
          <w:rFonts w:ascii="Times New Roman" w:hAnsi="Times New Roman" w:eastAsia="仿宋_GB2312"/>
          <w:sz w:val="32"/>
          <w:szCs w:val="32"/>
        </w:rPr>
        <w:tab/>
      </w:r>
      <w:r>
        <w:rPr>
          <w:rFonts w:ascii="Times New Roman" w:hAnsi="Times New Roman" w:eastAsia="仿宋_GB2312"/>
          <w:sz w:val="32"/>
          <w:szCs w:val="32"/>
        </w:rPr>
        <w:t>7</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p>
    <w:p>
      <w:pPr>
        <w:pStyle w:val="13"/>
        <w:tabs>
          <w:tab w:val="right" w:leader="dot" w:pos="8306"/>
        </w:tabs>
        <w:rPr>
          <w:rFonts w:hint="eastAsia" w:ascii="Times New Roman" w:hAnsi="Times New Roman" w:eastAsia="仿宋_GB2312"/>
          <w:sz w:val="32"/>
          <w:szCs w:val="32"/>
        </w:rPr>
      </w:pPr>
      <w:r>
        <w:fldChar w:fldCharType="begin"/>
      </w:r>
      <w:r>
        <w:instrText xml:space="preserve"> HYPERLINK \l "_Toc13961" </w:instrText>
      </w:r>
      <w:r>
        <w:fldChar w:fldCharType="separate"/>
      </w:r>
      <w:r>
        <w:rPr>
          <w:rFonts w:ascii="Times New Roman" w:hAnsi="仿宋_GB2312" w:eastAsia="仿宋_GB2312"/>
          <w:sz w:val="32"/>
          <w:szCs w:val="32"/>
        </w:rPr>
        <w:t>第十二章</w:t>
      </w:r>
      <w:r>
        <w:rPr>
          <w:rFonts w:ascii="Times New Roman" w:hAnsi="Times New Roman" w:eastAsia="仿宋_GB2312"/>
          <w:sz w:val="32"/>
          <w:szCs w:val="32"/>
        </w:rPr>
        <w:t xml:space="preserve"> </w:t>
      </w:r>
      <w:r>
        <w:rPr>
          <w:rFonts w:ascii="Times New Roman" w:hAnsi="仿宋_GB2312" w:eastAsia="仿宋_GB2312"/>
          <w:sz w:val="32"/>
          <w:szCs w:val="32"/>
        </w:rPr>
        <w:t>持续深化改革攻坚</w:t>
      </w:r>
      <w:r>
        <w:rPr>
          <w:rFonts w:ascii="Times New Roman" w:hAnsi="Times New Roman" w:eastAsia="仿宋_GB2312"/>
          <w:sz w:val="32"/>
          <w:szCs w:val="32"/>
        </w:rPr>
        <w:tab/>
      </w:r>
      <w:r>
        <w:rPr>
          <w:rFonts w:ascii="Times New Roman" w:hAnsi="Times New Roman" w:eastAsia="仿宋_GB2312"/>
          <w:sz w:val="32"/>
          <w:szCs w:val="32"/>
        </w:rPr>
        <w:t>7</w:t>
      </w:r>
      <w:r>
        <w:rPr>
          <w:rFonts w:ascii="Times New Roman" w:hAnsi="Times New Roman" w:eastAsia="仿宋_GB2312"/>
          <w:sz w:val="32"/>
          <w:szCs w:val="32"/>
        </w:rPr>
        <w:fldChar w:fldCharType="end"/>
      </w:r>
      <w:r>
        <w:rPr>
          <w:rFonts w:hint="eastAsia" w:ascii="Times New Roman" w:hAnsi="Times New Roman" w:eastAsia="仿宋_GB2312"/>
          <w:bCs/>
          <w:sz w:val="32"/>
          <w:szCs w:val="32"/>
        </w:rPr>
        <w:t>7</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"_Toc17325"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打造一流营商环境</w:t>
      </w:r>
      <w:r>
        <w:rPr>
          <w:rFonts w:ascii="Times New Roman" w:hAnsi="Times New Roman" w:eastAsia="仿宋_GB2312"/>
          <w:sz w:val="32"/>
          <w:szCs w:val="32"/>
        </w:rPr>
        <w:tab/>
      </w:r>
      <w:r>
        <w:rPr>
          <w:rFonts w:ascii="Times New Roman" w:hAnsi="Times New Roman" w:eastAsia="仿宋_GB2312"/>
          <w:sz w:val="32"/>
          <w:szCs w:val="32"/>
        </w:rPr>
        <w:t>7</w:t>
      </w:r>
      <w:r>
        <w:rPr>
          <w:rFonts w:ascii="Times New Roman" w:hAnsi="Times New Roman" w:eastAsia="仿宋_GB2312"/>
          <w:sz w:val="32"/>
          <w:szCs w:val="32"/>
        </w:rPr>
        <w:fldChar w:fldCharType="end"/>
      </w:r>
      <w:r>
        <w:rPr>
          <w:rFonts w:hint="eastAsia" w:ascii="Times New Roman" w:hAnsi="Times New Roman" w:eastAsia="仿宋_GB2312"/>
          <w:bCs/>
          <w:sz w:val="32"/>
          <w:szCs w:val="32"/>
        </w:rPr>
        <w:t>7</w:t>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"_Toc20503"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加快转变政府职能</w:t>
      </w:r>
      <w:r>
        <w:rPr>
          <w:rFonts w:ascii="Times New Roman" w:hAnsi="Times New Roman" w:eastAsia="仿宋_GB2312"/>
          <w:sz w:val="32"/>
          <w:szCs w:val="32"/>
        </w:rPr>
        <w:tab/>
      </w:r>
      <w:r>
        <w:rPr>
          <w:rFonts w:ascii="Times New Roman" w:hAnsi="Times New Roman" w:eastAsia="仿宋_GB2312"/>
          <w:sz w:val="32"/>
          <w:szCs w:val="32"/>
        </w:rPr>
        <w:t>7</w:t>
      </w:r>
      <w:r>
        <w:rPr>
          <w:rFonts w:ascii="Times New Roman" w:hAnsi="Times New Roman" w:eastAsia="仿宋_GB2312"/>
          <w:sz w:val="32"/>
          <w:szCs w:val="32"/>
        </w:rPr>
        <w:fldChar w:fldCharType="end"/>
      </w:r>
      <w:r>
        <w:rPr>
          <w:rFonts w:hint="eastAsia" w:ascii="Times New Roman" w:hAnsi="Times New Roman" w:eastAsia="仿宋_GB2312"/>
          <w:bCs/>
          <w:sz w:val="32"/>
          <w:szCs w:val="32"/>
        </w:rPr>
        <w:t>9</w:t>
      </w:r>
    </w:p>
    <w:p>
      <w:pPr>
        <w:pStyle w:val="13"/>
        <w:tabs>
          <w:tab w:val="right" w:leader="dot" w:pos="8306"/>
        </w:tabs>
        <w:rPr>
          <w:rFonts w:ascii="Times New Roman" w:hAnsi="Times New Roman" w:eastAsia="仿宋_GB2312"/>
          <w:sz w:val="32"/>
          <w:szCs w:val="32"/>
        </w:rPr>
      </w:pPr>
      <w:r>
        <w:fldChar w:fldCharType="begin"/>
      </w:r>
      <w:r>
        <w:instrText xml:space="preserve"> HYPERLINK \l "_Toc29127" </w:instrText>
      </w:r>
      <w:r>
        <w:fldChar w:fldCharType="separate"/>
      </w:r>
      <w:r>
        <w:rPr>
          <w:rFonts w:ascii="Times New Roman" w:hAnsi="仿宋_GB2312" w:eastAsia="仿宋_GB2312"/>
          <w:sz w:val="32"/>
          <w:szCs w:val="32"/>
        </w:rPr>
        <w:t>第十三章</w:t>
      </w:r>
      <w:r>
        <w:rPr>
          <w:rFonts w:ascii="Times New Roman" w:hAnsi="Times New Roman" w:eastAsia="仿宋_GB2312"/>
          <w:sz w:val="32"/>
          <w:szCs w:val="32"/>
        </w:rPr>
        <w:t xml:space="preserve"> </w:t>
      </w:r>
      <w:r>
        <w:rPr>
          <w:rFonts w:ascii="Times New Roman" w:hAnsi="仿宋_GB2312" w:eastAsia="仿宋_GB2312"/>
          <w:sz w:val="32"/>
          <w:szCs w:val="32"/>
        </w:rPr>
        <w:t>高水平推进区域治理现代化</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_Toc29127 </w:instrText>
      </w:r>
      <w:r>
        <w:rPr>
          <w:rFonts w:ascii="Times New Roman" w:hAnsi="Times New Roman" w:eastAsia="仿宋_GB2312"/>
          <w:sz w:val="32"/>
          <w:szCs w:val="32"/>
        </w:rPr>
        <w:fldChar w:fldCharType="separate"/>
      </w:r>
      <w:r>
        <w:rPr>
          <w:rFonts w:ascii="Times New Roman" w:hAnsi="Times New Roman" w:eastAsia="仿宋_GB2312"/>
          <w:sz w:val="32"/>
          <w:szCs w:val="32"/>
        </w:rPr>
        <w:t>80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ascii="Times New Roman" w:hAnsi="Times New Roman" w:eastAsia="仿宋_GB2312"/>
          <w:sz w:val="32"/>
          <w:szCs w:val="32"/>
        </w:rPr>
      </w:pPr>
      <w:r>
        <w:fldChar w:fldCharType="begin"/>
      </w:r>
      <w:r>
        <w:instrText xml:space="preserve"> HYPERLINK \l "_Toc20636" </w:instrText>
      </w:r>
      <w:r>
        <w:fldChar w:fldCharType="separate"/>
      </w:r>
      <w:r>
        <w:rPr>
          <w:rFonts w:ascii="Times New Roman" w:hAnsi="仿宋_GB2312" w:eastAsia="仿宋_GB2312"/>
          <w:sz w:val="32"/>
          <w:szCs w:val="32"/>
        </w:rPr>
        <w:t>第一节</w:t>
      </w:r>
      <w:r>
        <w:rPr>
          <w:rFonts w:ascii="Times New Roman" w:hAnsi="Times New Roman" w:eastAsia="仿宋_GB2312"/>
          <w:sz w:val="32"/>
          <w:szCs w:val="32"/>
        </w:rPr>
        <w:t xml:space="preserve"> </w:t>
      </w:r>
      <w:r>
        <w:rPr>
          <w:rFonts w:ascii="Times New Roman" w:hAnsi="仿宋_GB2312" w:eastAsia="仿宋_GB2312"/>
          <w:sz w:val="32"/>
          <w:szCs w:val="32"/>
        </w:rPr>
        <w:t>建设法治钟楼</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_Toc20636 </w:instrText>
      </w:r>
      <w:r>
        <w:rPr>
          <w:rFonts w:ascii="Times New Roman" w:hAnsi="Times New Roman" w:eastAsia="仿宋_GB2312"/>
          <w:sz w:val="32"/>
          <w:szCs w:val="32"/>
        </w:rPr>
        <w:fldChar w:fldCharType="separate"/>
      </w:r>
      <w:r>
        <w:rPr>
          <w:rFonts w:ascii="Times New Roman" w:hAnsi="Times New Roman" w:eastAsia="仿宋_GB2312"/>
          <w:sz w:val="32"/>
          <w:szCs w:val="32"/>
        </w:rPr>
        <w:t>80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ascii="Times New Roman" w:hAnsi="Times New Roman" w:eastAsia="仿宋_GB2312"/>
          <w:sz w:val="32"/>
          <w:szCs w:val="32"/>
        </w:rPr>
      </w:pPr>
      <w:r>
        <w:fldChar w:fldCharType="begin"/>
      </w:r>
      <w:r>
        <w:instrText xml:space="preserve"> HYPERLINK \l "_Toc24158" </w:instrText>
      </w:r>
      <w:r>
        <w:fldChar w:fldCharType="separate"/>
      </w:r>
      <w:r>
        <w:rPr>
          <w:rFonts w:ascii="Times New Roman" w:hAnsi="仿宋_GB2312" w:eastAsia="仿宋_GB2312"/>
          <w:sz w:val="32"/>
          <w:szCs w:val="32"/>
        </w:rPr>
        <w:t>第二节</w:t>
      </w:r>
      <w:r>
        <w:rPr>
          <w:rFonts w:ascii="Times New Roman" w:hAnsi="Times New Roman" w:eastAsia="仿宋_GB2312"/>
          <w:sz w:val="32"/>
          <w:szCs w:val="32"/>
        </w:rPr>
        <w:t xml:space="preserve"> </w:t>
      </w:r>
      <w:r>
        <w:rPr>
          <w:rFonts w:ascii="Times New Roman" w:hAnsi="仿宋_GB2312" w:eastAsia="仿宋_GB2312"/>
          <w:sz w:val="32"/>
          <w:szCs w:val="32"/>
        </w:rPr>
        <w:t>打造全域文明建设先行区</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_Toc24158 </w:instrText>
      </w:r>
      <w:r>
        <w:rPr>
          <w:rFonts w:ascii="Times New Roman" w:hAnsi="Times New Roman" w:eastAsia="仿宋_GB2312"/>
          <w:sz w:val="32"/>
          <w:szCs w:val="32"/>
        </w:rPr>
        <w:fldChar w:fldCharType="separate"/>
      </w:r>
      <w:r>
        <w:rPr>
          <w:rFonts w:ascii="Times New Roman" w:hAnsi="Times New Roman" w:eastAsia="仿宋_GB2312"/>
          <w:sz w:val="32"/>
          <w:szCs w:val="32"/>
        </w:rPr>
        <w:t>81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ascii="Times New Roman" w:hAnsi="Times New Roman" w:eastAsia="仿宋_GB2312"/>
          <w:sz w:val="32"/>
          <w:szCs w:val="32"/>
        </w:rPr>
      </w:pPr>
      <w:r>
        <w:fldChar w:fldCharType="begin"/>
      </w:r>
      <w:r>
        <w:instrText xml:space="preserve"> HYPERLINK \l "_Toc5250" </w:instrText>
      </w:r>
      <w:r>
        <w:fldChar w:fldCharType="separate"/>
      </w:r>
      <w:r>
        <w:rPr>
          <w:rFonts w:ascii="Times New Roman" w:hAnsi="仿宋_GB2312" w:eastAsia="仿宋_GB2312"/>
          <w:sz w:val="32"/>
          <w:szCs w:val="32"/>
        </w:rPr>
        <w:t>第三节</w:t>
      </w:r>
      <w:r>
        <w:rPr>
          <w:rFonts w:ascii="Times New Roman" w:hAnsi="Times New Roman" w:eastAsia="仿宋_GB2312"/>
          <w:sz w:val="32"/>
          <w:szCs w:val="32"/>
        </w:rPr>
        <w:t xml:space="preserve"> </w:t>
      </w:r>
      <w:r>
        <w:rPr>
          <w:rFonts w:ascii="Times New Roman" w:hAnsi="仿宋_GB2312" w:eastAsia="仿宋_GB2312"/>
          <w:sz w:val="32"/>
          <w:szCs w:val="32"/>
        </w:rPr>
        <w:t>建成苏南城区治理引领区</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_Toc5250 </w:instrText>
      </w:r>
      <w:r>
        <w:rPr>
          <w:rFonts w:ascii="Times New Roman" w:hAnsi="Times New Roman" w:eastAsia="仿宋_GB2312"/>
          <w:sz w:val="32"/>
          <w:szCs w:val="32"/>
        </w:rPr>
        <w:fldChar w:fldCharType="separate"/>
      </w:r>
      <w:r>
        <w:rPr>
          <w:rFonts w:ascii="Times New Roman" w:hAnsi="Times New Roman" w:eastAsia="仿宋_GB2312"/>
          <w:sz w:val="32"/>
          <w:szCs w:val="32"/>
        </w:rPr>
        <w:t>83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9"/>
        <w:tabs>
          <w:tab w:val="right" w:leader="dot" w:pos="8306"/>
        </w:tabs>
        <w:rPr>
          <w:rFonts w:hint="eastAsia" w:ascii="Times New Roman" w:hAnsi="Times New Roman" w:eastAsia="仿宋_GB2312"/>
          <w:sz w:val="32"/>
          <w:szCs w:val="32"/>
        </w:rPr>
      </w:pPr>
      <w:r>
        <w:fldChar w:fldCharType="begin"/>
      </w:r>
      <w:r>
        <w:instrText xml:space="preserve"> HYPERLINK \l "_Toc31047" </w:instrText>
      </w:r>
      <w:r>
        <w:fldChar w:fldCharType="separate"/>
      </w:r>
      <w:r>
        <w:rPr>
          <w:rFonts w:ascii="Times New Roman" w:hAnsi="仿宋_GB2312" w:eastAsia="仿宋_GB2312"/>
          <w:sz w:val="32"/>
          <w:szCs w:val="32"/>
        </w:rPr>
        <w:t>第四节</w:t>
      </w:r>
      <w:r>
        <w:rPr>
          <w:rFonts w:ascii="Times New Roman" w:hAnsi="Times New Roman" w:eastAsia="仿宋_GB2312"/>
          <w:sz w:val="32"/>
          <w:szCs w:val="32"/>
        </w:rPr>
        <w:t xml:space="preserve"> </w:t>
      </w:r>
      <w:r>
        <w:rPr>
          <w:rFonts w:ascii="Times New Roman" w:hAnsi="仿宋_GB2312" w:eastAsia="仿宋_GB2312"/>
          <w:sz w:val="32"/>
          <w:szCs w:val="32"/>
        </w:rPr>
        <w:t>打造安全发展示范城区</w:t>
      </w:r>
      <w:r>
        <w:rPr>
          <w:rFonts w:ascii="Times New Roman" w:hAnsi="Times New Roman" w:eastAsia="仿宋_GB2312"/>
          <w:sz w:val="32"/>
          <w:szCs w:val="32"/>
        </w:rPr>
        <w:tab/>
      </w:r>
      <w:r>
        <w:rPr>
          <w:rFonts w:ascii="Times New Roman" w:hAnsi="Times New Roman" w:eastAsia="仿宋_GB2312"/>
          <w:sz w:val="32"/>
          <w:szCs w:val="32"/>
        </w:rPr>
        <w:t>8</w:t>
      </w:r>
      <w:r>
        <w:rPr>
          <w:rFonts w:ascii="Times New Roman" w:hAnsi="Times New Roman" w:eastAsia="仿宋_GB2312"/>
          <w:sz w:val="32"/>
          <w:szCs w:val="32"/>
        </w:rPr>
        <w:fldChar w:fldCharType="end"/>
      </w:r>
      <w:r>
        <w:rPr>
          <w:rFonts w:hint="eastAsia" w:ascii="Times New Roman" w:hAnsi="Times New Roman" w:eastAsia="仿宋_GB2312"/>
          <w:bCs/>
          <w:sz w:val="32"/>
          <w:szCs w:val="32"/>
        </w:rPr>
        <w:t>5</w:t>
      </w:r>
    </w:p>
    <w:p>
      <w:pPr>
        <w:pStyle w:val="11"/>
        <w:tabs>
          <w:tab w:val="right" w:leader="dot" w:pos="8306"/>
          <w:tab w:val="clear" w:pos="8296"/>
        </w:tabs>
        <w:rPr>
          <w:rFonts w:hint="eastAsia" w:ascii="Times New Roman" w:hAnsi="Times New Roman" w:eastAsia="仿宋_GB2312"/>
          <w:sz w:val="32"/>
          <w:szCs w:val="32"/>
        </w:rPr>
      </w:pPr>
      <w:r>
        <w:fldChar w:fldCharType="begin"/>
      </w:r>
      <w:r>
        <w:instrText xml:space="preserve"> HYPERLINK \l "_Toc1304" </w:instrText>
      </w:r>
      <w:r>
        <w:fldChar w:fldCharType="separate"/>
      </w:r>
      <w:r>
        <w:rPr>
          <w:rFonts w:ascii="Times New Roman" w:hAnsi="仿宋_GB2312" w:eastAsia="仿宋_GB2312"/>
          <w:sz w:val="32"/>
          <w:szCs w:val="32"/>
        </w:rPr>
        <w:t>第三篇</w:t>
      </w:r>
      <w:r>
        <w:rPr>
          <w:rFonts w:ascii="Times New Roman" w:hAnsi="Times New Roman" w:eastAsia="仿宋_GB2312"/>
          <w:sz w:val="32"/>
          <w:szCs w:val="32"/>
        </w:rPr>
        <w:t xml:space="preserve"> </w:t>
      </w:r>
      <w:r>
        <w:rPr>
          <w:rFonts w:ascii="Times New Roman" w:hAnsi="仿宋_GB2312" w:eastAsia="仿宋_GB2312"/>
          <w:sz w:val="32"/>
          <w:szCs w:val="32"/>
        </w:rPr>
        <w:t>凝心聚力构建高质量发展新优势</w:t>
      </w:r>
      <w:r>
        <w:rPr>
          <w:rFonts w:ascii="Times New Roman" w:hAnsi="Times New Roman" w:eastAsia="仿宋_GB2312"/>
          <w:sz w:val="32"/>
          <w:szCs w:val="32"/>
        </w:rPr>
        <w:tab/>
      </w:r>
      <w:r>
        <w:rPr>
          <w:rFonts w:ascii="Times New Roman" w:hAnsi="Times New Roman" w:eastAsia="仿宋_GB2312"/>
          <w:sz w:val="32"/>
          <w:szCs w:val="32"/>
        </w:rPr>
        <w:t>8</w:t>
      </w:r>
      <w:r>
        <w:rPr>
          <w:rFonts w:ascii="Times New Roman" w:hAnsi="Times New Roman" w:eastAsia="仿宋_GB2312"/>
          <w:sz w:val="32"/>
          <w:szCs w:val="32"/>
        </w:rPr>
        <w:fldChar w:fldCharType="end"/>
      </w:r>
      <w:r>
        <w:rPr>
          <w:rFonts w:hint="eastAsia" w:ascii="Times New Roman" w:hAnsi="Times New Roman" w:eastAsia="仿宋_GB2312"/>
          <w:sz w:val="32"/>
          <w:szCs w:val="32"/>
        </w:rPr>
        <w:t>7</w:t>
      </w:r>
    </w:p>
    <w:p>
      <w:pPr>
        <w:pStyle w:val="13"/>
        <w:tabs>
          <w:tab w:val="right" w:leader="dot" w:pos="8306"/>
        </w:tabs>
        <w:rPr>
          <w:rFonts w:hint="eastAsia" w:ascii="Times New Roman" w:hAnsi="Times New Roman" w:eastAsia="仿宋_GB2312"/>
          <w:sz w:val="32"/>
          <w:szCs w:val="32"/>
        </w:rPr>
      </w:pPr>
      <w:r>
        <w:fldChar w:fldCharType="begin"/>
      </w:r>
      <w:r>
        <w:instrText xml:space="preserve"> HYPERLINK \l "_Toc1078" </w:instrText>
      </w:r>
      <w:r>
        <w:fldChar w:fldCharType="separate"/>
      </w:r>
      <w:r>
        <w:rPr>
          <w:rFonts w:ascii="Times New Roman" w:hAnsi="仿宋_GB2312" w:eastAsia="仿宋_GB2312"/>
          <w:sz w:val="32"/>
          <w:szCs w:val="32"/>
        </w:rPr>
        <w:t>第十四章</w:t>
      </w:r>
      <w:r>
        <w:rPr>
          <w:rFonts w:ascii="Times New Roman" w:hAnsi="Times New Roman" w:eastAsia="仿宋_GB2312"/>
          <w:sz w:val="32"/>
          <w:szCs w:val="32"/>
        </w:rPr>
        <w:t xml:space="preserve">  </w:t>
      </w:r>
      <w:r>
        <w:rPr>
          <w:rFonts w:ascii="Times New Roman" w:hAnsi="仿宋_GB2312" w:eastAsia="仿宋_GB2312"/>
          <w:sz w:val="32"/>
          <w:szCs w:val="32"/>
        </w:rPr>
        <w:t>坚持和加强党的全面领导</w:t>
      </w:r>
      <w:r>
        <w:rPr>
          <w:rFonts w:ascii="Times New Roman" w:hAnsi="Times New Roman" w:eastAsia="仿宋_GB2312"/>
          <w:sz w:val="32"/>
          <w:szCs w:val="32"/>
        </w:rPr>
        <w:tab/>
      </w:r>
      <w:r>
        <w:rPr>
          <w:rFonts w:ascii="Times New Roman" w:hAnsi="Times New Roman" w:eastAsia="仿宋_GB2312"/>
          <w:sz w:val="32"/>
          <w:szCs w:val="32"/>
        </w:rPr>
        <w:t>8</w:t>
      </w:r>
      <w:r>
        <w:rPr>
          <w:rFonts w:ascii="Times New Roman" w:hAnsi="Times New Roman" w:eastAsia="仿宋_GB2312"/>
          <w:sz w:val="32"/>
          <w:szCs w:val="32"/>
        </w:rPr>
        <w:fldChar w:fldCharType="end"/>
      </w:r>
      <w:r>
        <w:rPr>
          <w:rFonts w:hint="eastAsia" w:ascii="Times New Roman" w:hAnsi="Times New Roman" w:eastAsia="仿宋_GB2312"/>
          <w:bCs/>
          <w:sz w:val="32"/>
          <w:szCs w:val="32"/>
        </w:rPr>
        <w:t>7</w:t>
      </w:r>
    </w:p>
    <w:p>
      <w:pPr>
        <w:pStyle w:val="13"/>
        <w:tabs>
          <w:tab w:val="right" w:leader="dot" w:pos="8306"/>
        </w:tabs>
        <w:rPr>
          <w:rFonts w:ascii="Times New Roman" w:hAnsi="Times New Roman" w:eastAsia="仿宋_GB2312"/>
          <w:sz w:val="32"/>
          <w:szCs w:val="32"/>
        </w:rPr>
      </w:pPr>
      <w:r>
        <w:fldChar w:fldCharType="begin"/>
      </w:r>
      <w:r>
        <w:instrText xml:space="preserve"> HYPERLINK \l "_Toc27738" </w:instrText>
      </w:r>
      <w:r>
        <w:fldChar w:fldCharType="separate"/>
      </w:r>
      <w:r>
        <w:rPr>
          <w:rFonts w:ascii="Times New Roman" w:hAnsi="仿宋_GB2312" w:eastAsia="仿宋_GB2312"/>
          <w:sz w:val="32"/>
          <w:szCs w:val="32"/>
        </w:rPr>
        <w:t>第十五章</w:t>
      </w:r>
      <w:r>
        <w:rPr>
          <w:rFonts w:ascii="Times New Roman" w:hAnsi="Times New Roman" w:eastAsia="仿宋_GB2312"/>
          <w:sz w:val="32"/>
          <w:szCs w:val="32"/>
        </w:rPr>
        <w:t xml:space="preserve">  </w:t>
      </w:r>
      <w:r>
        <w:rPr>
          <w:rFonts w:ascii="Times New Roman" w:hAnsi="仿宋_GB2312" w:eastAsia="仿宋_GB2312"/>
          <w:sz w:val="32"/>
          <w:szCs w:val="32"/>
        </w:rPr>
        <w:t>保障规划实施</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_Toc27738 </w:instrText>
      </w:r>
      <w:r>
        <w:rPr>
          <w:rFonts w:ascii="Times New Roman" w:hAnsi="Times New Roman" w:eastAsia="仿宋_GB2312"/>
          <w:sz w:val="32"/>
          <w:szCs w:val="32"/>
        </w:rPr>
        <w:fldChar w:fldCharType="separate"/>
      </w:r>
      <w:r>
        <w:rPr>
          <w:rFonts w:ascii="Times New Roman" w:hAnsi="Times New Roman" w:eastAsia="仿宋_GB2312"/>
          <w:sz w:val="32"/>
          <w:szCs w:val="32"/>
        </w:rPr>
        <w:t>88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3"/>
        <w:tabs>
          <w:tab w:val="right" w:leader="dot" w:pos="8306"/>
        </w:tabs>
        <w:rPr>
          <w:rFonts w:ascii="Times New Roman" w:hAnsi="Times New Roman"/>
        </w:rPr>
      </w:pPr>
      <w:r>
        <w:fldChar w:fldCharType="begin"/>
      </w:r>
      <w:r>
        <w:instrText xml:space="preserve"> HYPERLINK \l "_Toc23531" </w:instrText>
      </w:r>
      <w:r>
        <w:fldChar w:fldCharType="separate"/>
      </w:r>
      <w:r>
        <w:rPr>
          <w:rFonts w:ascii="Times New Roman" w:hAnsi="仿宋_GB2312" w:eastAsia="仿宋_GB2312"/>
          <w:sz w:val="32"/>
          <w:szCs w:val="32"/>
        </w:rPr>
        <w:t>第十六章</w:t>
      </w:r>
      <w:r>
        <w:rPr>
          <w:rFonts w:ascii="Times New Roman" w:hAnsi="Times New Roman" w:eastAsia="仿宋_GB2312"/>
          <w:sz w:val="32"/>
          <w:szCs w:val="32"/>
        </w:rPr>
        <w:t xml:space="preserve">  </w:t>
      </w:r>
      <w:r>
        <w:rPr>
          <w:rFonts w:ascii="Times New Roman" w:hAnsi="仿宋_GB2312" w:eastAsia="仿宋_GB2312"/>
          <w:sz w:val="32"/>
          <w:szCs w:val="32"/>
        </w:rPr>
        <w:t>凝聚社会力量</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_Toc23531 </w:instrText>
      </w:r>
      <w:r>
        <w:rPr>
          <w:rFonts w:ascii="Times New Roman" w:hAnsi="Times New Roman" w:eastAsia="仿宋_GB2312"/>
          <w:sz w:val="32"/>
          <w:szCs w:val="32"/>
        </w:rPr>
        <w:fldChar w:fldCharType="separate"/>
      </w:r>
      <w:r>
        <w:rPr>
          <w:rFonts w:ascii="Times New Roman" w:hAnsi="Times New Roman" w:eastAsia="仿宋_GB2312"/>
          <w:sz w:val="32"/>
          <w:szCs w:val="32"/>
        </w:rPr>
        <w:t>89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spacing w:line="560" w:lineRule="exact"/>
        <w:ind w:firstLine="640"/>
        <w:jc w:val="distribute"/>
        <w:rPr>
          <w:szCs w:val="32"/>
        </w:rPr>
      </w:pPr>
      <w:r>
        <w:rPr>
          <w:bCs/>
          <w:szCs w:val="32"/>
          <w:lang w:val="zh-CN"/>
        </w:rPr>
        <w:fldChar w:fldCharType="end"/>
      </w:r>
    </w:p>
    <w:p>
      <w:pPr>
        <w:ind w:firstLine="640"/>
        <w:rPr>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2098" w:right="1531" w:bottom="1985" w:left="1531" w:header="851" w:footer="1361" w:gutter="0"/>
          <w:pgNumType w:start="4"/>
          <w:cols w:space="720" w:num="1"/>
          <w:docGrid w:type="linesAndChars" w:linePitch="312" w:charSpace="0"/>
        </w:sectPr>
      </w:pPr>
    </w:p>
    <w:p>
      <w:pPr>
        <w:ind w:firstLine="640"/>
        <w:rPr>
          <w:rFonts w:eastAsia="方正仿宋_GBK"/>
          <w:szCs w:val="32"/>
        </w:rPr>
      </w:pPr>
      <w:r>
        <w:rPr>
          <w:szCs w:val="32"/>
        </w:rPr>
        <w:t>“</w:t>
      </w:r>
      <w:r>
        <w:rPr>
          <w:rFonts w:hAnsi="仿宋_GB2312"/>
          <w:szCs w:val="32"/>
        </w:rPr>
        <w:t>十四五</w:t>
      </w:r>
      <w:r>
        <w:rPr>
          <w:szCs w:val="32"/>
        </w:rPr>
        <w:t>”</w:t>
      </w:r>
      <w:r>
        <w:rPr>
          <w:rFonts w:hAnsi="仿宋_GB2312"/>
          <w:szCs w:val="32"/>
        </w:rPr>
        <w:t>时期既是钟楼由高水平全面建成小康社会向基本实现社会主义现代化迈进的起步阶段，又是落实</w:t>
      </w:r>
      <w:r>
        <w:rPr>
          <w:szCs w:val="32"/>
        </w:rPr>
        <w:t>“</w:t>
      </w:r>
      <w:r>
        <w:rPr>
          <w:rFonts w:hint="eastAsia"/>
          <w:szCs w:val="32"/>
        </w:rPr>
        <w:t>争当表率、争做示范、走在前列</w:t>
      </w:r>
      <w:r>
        <w:rPr>
          <w:szCs w:val="32"/>
        </w:rPr>
        <w:t>”</w:t>
      </w:r>
      <w:r>
        <w:rPr>
          <w:rFonts w:hAnsi="仿宋_GB2312"/>
          <w:szCs w:val="32"/>
        </w:rPr>
        <w:t>要求的重要阶段，更是推动实现</w:t>
      </w:r>
      <w:r>
        <w:rPr>
          <w:szCs w:val="32"/>
        </w:rPr>
        <w:t>“</w:t>
      </w:r>
      <w:r>
        <w:rPr>
          <w:rFonts w:hAnsi="仿宋_GB2312"/>
          <w:szCs w:val="32"/>
        </w:rPr>
        <w:t>中轴枢纽支点、都市智造高地、运河文创名区、生态宜居家园</w:t>
      </w:r>
      <w:r>
        <w:rPr>
          <w:szCs w:val="32"/>
        </w:rPr>
        <w:t>”</w:t>
      </w:r>
      <w:r>
        <w:rPr>
          <w:rFonts w:hAnsi="仿宋_GB2312"/>
          <w:szCs w:val="32"/>
        </w:rPr>
        <w:t>发展目标的关键阶段。面对国内外发展环境的深刻变化，必须将钟楼放到世界经济的大格局中审视，必须放到长三角一体化区域协同发展进程中考量，必须放到常州</w:t>
      </w:r>
      <w:r>
        <w:rPr>
          <w:szCs w:val="32"/>
        </w:rPr>
        <w:t>“</w:t>
      </w:r>
      <w:r>
        <w:rPr>
          <w:rFonts w:hAnsi="仿宋_GB2312"/>
          <w:szCs w:val="32"/>
        </w:rPr>
        <w:t>国际化智造名城、长三角中轴枢纽</w:t>
      </w:r>
      <w:r>
        <w:rPr>
          <w:szCs w:val="32"/>
        </w:rPr>
        <w:t>”</w:t>
      </w:r>
      <w:r>
        <w:rPr>
          <w:rFonts w:hAnsi="仿宋_GB2312"/>
          <w:szCs w:val="32"/>
        </w:rPr>
        <w:t>建设目标中谋划，着力在改革创新、推动高质量发展上争当表率</w:t>
      </w:r>
      <w:r>
        <w:rPr>
          <w:szCs w:val="32"/>
        </w:rPr>
        <w:t>,</w:t>
      </w:r>
      <w:r>
        <w:rPr>
          <w:rFonts w:hAnsi="仿宋_GB2312"/>
          <w:szCs w:val="32"/>
        </w:rPr>
        <w:t>在服务全国构建新发展格局上争做示范</w:t>
      </w:r>
      <w:r>
        <w:rPr>
          <w:szCs w:val="32"/>
        </w:rPr>
        <w:t>,</w:t>
      </w:r>
      <w:r>
        <w:rPr>
          <w:rFonts w:hAnsi="仿宋_GB2312"/>
          <w:szCs w:val="32"/>
        </w:rPr>
        <w:t>在率先实现社会主义现代化上走在前列。</w:t>
      </w:r>
    </w:p>
    <w:bookmarkEnd w:id="0"/>
    <w:p>
      <w:pPr>
        <w:pStyle w:val="4"/>
        <w:spacing w:before="624" w:after="312"/>
        <w:rPr>
          <w:rFonts w:eastAsia="方正小标宋简体"/>
          <w:b w:val="0"/>
          <w:bCs w:val="0"/>
          <w:sz w:val="44"/>
        </w:rPr>
      </w:pPr>
      <w:bookmarkStart w:id="1" w:name="_Toc2975"/>
      <w:bookmarkStart w:id="2" w:name="_Hlk58435568"/>
      <w:r>
        <w:rPr>
          <w:rFonts w:hAnsi="方正小标宋简体" w:eastAsia="方正小标宋简体"/>
          <w:b w:val="0"/>
          <w:bCs w:val="0"/>
          <w:sz w:val="44"/>
        </w:rPr>
        <w:t>第一篇</w:t>
      </w:r>
      <w:r>
        <w:rPr>
          <w:rFonts w:eastAsia="方正小标宋简体"/>
          <w:b w:val="0"/>
          <w:bCs w:val="0"/>
          <w:sz w:val="44"/>
        </w:rPr>
        <w:t xml:space="preserve"> </w:t>
      </w:r>
      <w:r>
        <w:rPr>
          <w:rFonts w:hAnsi="方正小标宋简体" w:eastAsia="方正小标宋简体"/>
          <w:b w:val="0"/>
          <w:bCs w:val="0"/>
          <w:sz w:val="44"/>
        </w:rPr>
        <w:t>全面开启社会主义现代化建设新征程</w:t>
      </w:r>
      <w:bookmarkEnd w:id="1"/>
      <w:r>
        <w:rPr>
          <w:rFonts w:eastAsia="方正小标宋简体"/>
          <w:b w:val="0"/>
          <w:bCs w:val="0"/>
          <w:sz w:val="44"/>
        </w:rPr>
        <w:tab/>
      </w:r>
    </w:p>
    <w:p>
      <w:pPr>
        <w:pStyle w:val="5"/>
        <w:spacing w:before="312" w:after="156"/>
        <w:rPr>
          <w:rFonts w:ascii="Times New Roman" w:hAnsi="Times New Roman" w:eastAsia="黑体"/>
        </w:rPr>
      </w:pPr>
      <w:bookmarkStart w:id="3" w:name="_Toc7563"/>
      <w:r>
        <w:rPr>
          <w:rFonts w:ascii="Times New Roman" w:hAnsi="黑体" w:eastAsia="黑体"/>
        </w:rPr>
        <w:t>第一章</w:t>
      </w:r>
      <w:r>
        <w:rPr>
          <w:rFonts w:ascii="Times New Roman" w:hAnsi="Times New Roman" w:eastAsia="黑体"/>
        </w:rPr>
        <w:t xml:space="preserve"> </w:t>
      </w:r>
      <w:r>
        <w:rPr>
          <w:rFonts w:ascii="Times New Roman" w:hAnsi="黑体" w:eastAsia="黑体"/>
        </w:rPr>
        <w:t>发展基础</w:t>
      </w:r>
      <w:bookmarkEnd w:id="3"/>
    </w:p>
    <w:p>
      <w:pPr>
        <w:ind w:firstLine="640"/>
      </w:pPr>
      <w:r>
        <w:t>“十三五”时期，面对错综复杂的宏观环境和艰巨繁重的改革发展任务，全区上下按照中央和省市决策部署，围绕“经济强、百姓富、环境美、社会文明程度高”的总目标，以“创新发展、转型升级”为主线，践行“勇争一流、耻为二手”的常州精神，深化“攻坚克难、苦干实干”钟楼实践，书写“强富美高”新钟楼的时代篇章，即将高水平全面建成小康社会。</w:t>
      </w:r>
    </w:p>
    <w:p>
      <w:pPr>
        <w:ind w:firstLine="643"/>
      </w:pPr>
      <w:r>
        <w:rPr>
          <w:b/>
          <w:bCs/>
          <w:szCs w:val="28"/>
        </w:rPr>
        <w:t>“经济强”的成就更显著。</w:t>
      </w:r>
      <w:r>
        <w:t>全区地区生产总值预计达到740亿元，是“十二五”期末的1.36倍。一般公共财政预算收入迈上新台阶，预计完成50.7亿元，是“十二五”期末的1.41倍。</w:t>
      </w:r>
      <w:r>
        <w:rPr>
          <w:rFonts w:hAnsi="仿宋_GB2312"/>
        </w:rPr>
        <w:t>工业开票销售收入超过</w:t>
      </w:r>
      <w:r>
        <w:t>600</w:t>
      </w:r>
      <w:r>
        <w:rPr>
          <w:rFonts w:hAnsi="仿宋_GB2312"/>
        </w:rPr>
        <w:t>亿元，超出</w:t>
      </w:r>
      <w:r>
        <w:t>“</w:t>
      </w:r>
      <w:r>
        <w:rPr>
          <w:rFonts w:hAnsi="仿宋_GB2312"/>
        </w:rPr>
        <w:t>十二五</w:t>
      </w:r>
      <w:r>
        <w:t>”</w:t>
      </w:r>
      <w:r>
        <w:rPr>
          <w:rFonts w:hAnsi="仿宋_GB2312"/>
        </w:rPr>
        <w:t>期末</w:t>
      </w:r>
      <w:r>
        <w:t>100</w:t>
      </w:r>
      <w:r>
        <w:rPr>
          <w:rFonts w:hAnsi="仿宋_GB2312"/>
        </w:rPr>
        <w:t>多亿元。三次产业结构预计由</w:t>
      </w:r>
      <w:r>
        <w:t>0.5:35.5:64</w:t>
      </w:r>
      <w:r>
        <w:rPr>
          <w:rFonts w:hAnsi="仿宋_GB2312"/>
        </w:rPr>
        <w:t>优化为</w:t>
      </w:r>
      <w:r>
        <w:t>0.4:31.0:68.6</w:t>
      </w:r>
      <w:r>
        <w:rPr>
          <w:rFonts w:hAnsi="仿宋_GB2312"/>
        </w:rPr>
        <w:t>。累计到账外资预计完成</w:t>
      </w:r>
      <w:r>
        <w:t>9.23</w:t>
      </w:r>
      <w:r>
        <w:rPr>
          <w:rFonts w:hAnsi="仿宋_GB2312"/>
        </w:rPr>
        <w:t>亿美元，外贸进出口</w:t>
      </w:r>
      <w:r>
        <w:t>886</w:t>
      </w:r>
      <w:r>
        <w:rPr>
          <w:rFonts w:hAnsi="仿宋_GB2312"/>
        </w:rPr>
        <w:t>亿元，社会消费品零售总额超</w:t>
      </w:r>
      <w:r>
        <w:t>1800</w:t>
      </w:r>
      <w:r>
        <w:rPr>
          <w:rFonts w:hAnsi="仿宋_GB2312"/>
        </w:rPr>
        <w:t>亿元。国家智能制造系统集成体验验证中心、国家健康医疗大数据（东部）中心两大国家级平台相继落地。新一代信息技术、新材料、智能装备制造等主导产业保持强劲发展，工业五星级企业实现零的突破，拥有细分行业</w:t>
      </w:r>
      <w:r>
        <w:t>“</w:t>
      </w:r>
      <w:r>
        <w:rPr>
          <w:rFonts w:hAnsi="仿宋_GB2312"/>
        </w:rPr>
        <w:t>小巨人</w:t>
      </w:r>
      <w:r>
        <w:t>”</w:t>
      </w:r>
      <w:r>
        <w:rPr>
          <w:rFonts w:hAnsi="仿宋_GB2312"/>
        </w:rPr>
        <w:t>超</w:t>
      </w:r>
      <w:r>
        <w:t>50</w:t>
      </w:r>
      <w:r>
        <w:rPr>
          <w:rFonts w:hAnsi="仿宋_GB2312"/>
        </w:rPr>
        <w:t>家。持续开展重大项目主题年活动，</w:t>
      </w:r>
      <w:r>
        <w:t>280</w:t>
      </w:r>
      <w:r>
        <w:rPr>
          <w:rFonts w:hAnsi="仿宋_GB2312"/>
        </w:rPr>
        <w:t>个产业类重点项目累计完成投资</w:t>
      </w:r>
      <w:r>
        <w:t>242.4</w:t>
      </w:r>
      <w:r>
        <w:rPr>
          <w:rFonts w:hAnsi="仿宋_GB2312"/>
        </w:rPr>
        <w:t>亿元。新增高新技术企业</w:t>
      </w:r>
      <w:r>
        <w:t>76</w:t>
      </w:r>
      <w:r>
        <w:rPr>
          <w:rFonts w:hAnsi="仿宋_GB2312"/>
        </w:rPr>
        <w:t>家，新增省级以上</w:t>
      </w:r>
      <w:r>
        <w:t>“</w:t>
      </w:r>
      <w:r>
        <w:rPr>
          <w:rFonts w:hAnsi="仿宋_GB2312"/>
        </w:rPr>
        <w:t>一室两站三中心</w:t>
      </w:r>
      <w:r>
        <w:t>”11</w:t>
      </w:r>
      <w:r>
        <w:rPr>
          <w:rFonts w:hAnsi="仿宋_GB2312"/>
        </w:rPr>
        <w:t>个、省级以上双创载体</w:t>
      </w:r>
      <w:r>
        <w:t>18</w:t>
      </w:r>
      <w:r>
        <w:rPr>
          <w:rFonts w:hAnsi="仿宋_GB2312"/>
        </w:rPr>
        <w:t>个（其中国家级</w:t>
      </w:r>
      <w:r>
        <w:t>5</w:t>
      </w:r>
      <w:r>
        <w:rPr>
          <w:rFonts w:hAnsi="仿宋_GB2312"/>
        </w:rPr>
        <w:t>个），获得国家科技进步二等奖</w:t>
      </w:r>
      <w:r>
        <w:t>2</w:t>
      </w:r>
      <w:r>
        <w:rPr>
          <w:rFonts w:hAnsi="仿宋_GB2312"/>
        </w:rPr>
        <w:t>个，国</w:t>
      </w:r>
      <w:r>
        <w:t>家科技发明二等奖1个，新增高技能人才5185人，引进高层次人才1144人、专业技术人才15387人，全域创成省双创示范基地，跻身全国创新百强区72位。新增上市企业4家、新三板挂牌企业10家。凌家塘市场、邹区灯具城交易额稳居全国前列，成功举办两届中国（邹区）照明博览会。钟楼经济开发区获评省级大数据产业园，邹区镇入选中国综合实力千强镇，并成功获批常州市钟楼区高新技术产业园。</w:t>
      </w:r>
    </w:p>
    <w:p>
      <w:pPr>
        <w:ind w:firstLine="643"/>
      </w:pPr>
      <w:r>
        <w:rPr>
          <w:b/>
          <w:bCs/>
          <w:szCs w:val="28"/>
        </w:rPr>
        <w:t>“百姓富”的成效更明显。</w:t>
      </w:r>
      <w:r>
        <w:t>不断提升保障和改善民生水平，80.7%的财政支出投向民生领域。“十三五”期间，累计新增城镇就业9.4万人，城镇居民收入逼近6万元，是“十二五”期末的1.5倍，设立“资产强村富民”帮扶基金，424户（701人）建档立卡低收入人口实现增收脱贫。养老、医疗、失业三大保险综合覆盖率达到98%以上。新五中、教科院附中、钟楼外国语学校等优质学校陆续投用，新建、改扩建学校24所，创成全国义务教育基本均衡区。引进常州妇幼保健院、常州一院钟楼院区等综合性医院，异地新建社区卫生服务中心3家。新增养老床位859个，</w:t>
      </w:r>
      <w:r>
        <w:rPr>
          <w:szCs w:val="32"/>
        </w:rPr>
        <w:t>建成中芬养老护理人才培养基地，率先建成全市首个中央厨房，标准化居家养老服务中心（站）实现全覆盖。</w:t>
      </w:r>
      <w:r>
        <w:t>改造整治提升20个棚户区、14个老旧小区，建设安置房65.24万平方米。</w:t>
      </w:r>
    </w:p>
    <w:p>
      <w:pPr>
        <w:ind w:firstLine="643"/>
      </w:pPr>
      <w:r>
        <w:rPr>
          <w:b/>
          <w:bCs/>
          <w:szCs w:val="28"/>
        </w:rPr>
        <w:t>“环境美”的成色更鲜明。</w:t>
      </w:r>
      <w:r>
        <w:t>五年来，累计新增绿地208.6公顷，治理黑臭水体10条，PM</w:t>
      </w:r>
      <w:r>
        <w:rPr>
          <w:vertAlign w:val="subscript"/>
        </w:rPr>
        <w:t>2.5</w:t>
      </w:r>
      <w:r>
        <w:t>下降40%，空气优良天数比率提升至77%，单位GDP能耗下降16%以上。关停化工企业47家，清理“散乱污”企业（作坊）525家。建设污水管网58.8公里，新增污水处理能力1万吨/天，生活垃圾分类投放设施覆盖率和生活垃圾无害化处理实现100%。土地节约集约利用水平不断提高，获评江苏省国土资源节约集约利用模范区。星港大道西延、机场路快速化改造等重大基础设施建成投用，飞龙西路、勤运桥、西仓桥等建成通车，“十三五”期间新增道路里程60公里。完成水利工程投资3亿元，城市内涝问题基本得到根治。大运河文化带钟楼段亮点纷呈，“大运河文创节”成为新的品牌，殷村创成江苏殷村职教特色小镇、安基村入选江苏省特色田园乡村。</w:t>
      </w:r>
    </w:p>
    <w:p>
      <w:pPr>
        <w:ind w:firstLine="643"/>
      </w:pPr>
      <w:r>
        <w:rPr>
          <w:b/>
          <w:bCs/>
          <w:szCs w:val="28"/>
        </w:rPr>
        <w:t>“社会文明程度高”的成果更丰硕。</w:t>
      </w:r>
      <w:r>
        <w:t>建成新时代文明实践中心（所、站）19个，打造“幸福钟楼”“非遗嘉年华”等文化惠民品牌和“学习书香下午茶”等思想文化载体，创作出舞蹈《永远的青年》、音乐剧《运河乡愁》等文艺精品。五年来，共提供各类惠民文艺演出9000余场、展演近300场次，惠及群众约200万人次，钟楼区图书馆建成并实现全区图书馆通借通还。发行《新钟楼·常州日报》专版，挂牌常州广播电视台钟楼融媒体记者站，形成全媒体宣传矩阵，讲述钟楼好故事，传递钟楼好声音。电影《桂香街》、《盛宣怀》、《秋之白华》等一批文艺作品取材取景钟楼。持续巩固发展道德讲堂全国典型，“以道德讲堂小支点，助推社会治理创新大格局”工作经验在全省交流，最美基层干部许巧珍、残奥冠军周聪等一批先进典型竞相涌现，“7+”工作法被评为全国城市基层党建优秀案例。民族团结进步工作成效显著，永红街道获评全国民族团结进步示范单位。社区治理取得新成效，</w:t>
      </w:r>
      <w:r>
        <w:rPr>
          <w:szCs w:val="32"/>
        </w:rPr>
        <w:t>“全科社工”服务模式全面推行，“一居一品”“政社互动”“三社联动”深化推进</w:t>
      </w:r>
      <w:r>
        <w:t>。基层综合性服务中心实现全覆盖，连续获评省平安区、双拥模范区。</w:t>
      </w:r>
    </w:p>
    <w:p>
      <w:pPr>
        <w:ind w:firstLine="0" w:firstLineChars="0"/>
        <w:jc w:val="center"/>
        <w:rPr>
          <w:b/>
          <w:bCs/>
          <w:sz w:val="28"/>
          <w:szCs w:val="22"/>
        </w:rPr>
      </w:pPr>
      <w:r>
        <w:rPr>
          <w:b/>
          <w:bCs/>
          <w:sz w:val="28"/>
          <w:szCs w:val="22"/>
        </w:rPr>
        <w:t>钟楼区“十三五”期间主要指标完成情况表</w:t>
      </w:r>
    </w:p>
    <w:tbl>
      <w:tblPr>
        <w:tblStyle w:val="16"/>
        <w:tblW w:w="503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603"/>
        <w:gridCol w:w="1031"/>
        <w:gridCol w:w="1838"/>
        <w:gridCol w:w="860"/>
        <w:gridCol w:w="1274"/>
        <w:gridCol w:w="147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334" w:type="pct"/>
            <w:tcMar>
              <w:left w:w="0" w:type="dxa"/>
              <w:right w:w="0"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类别</w:t>
            </w:r>
          </w:p>
        </w:tc>
        <w:tc>
          <w:tcPr>
            <w:tcW w:w="338" w:type="pct"/>
            <w:tcMar>
              <w:left w:w="0" w:type="dxa"/>
              <w:right w:w="0"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序号</w:t>
            </w:r>
          </w:p>
        </w:tc>
        <w:tc>
          <w:tcPr>
            <w:tcW w:w="1608" w:type="pct"/>
            <w:gridSpan w:val="2"/>
            <w:tcMar>
              <w:left w:w="0" w:type="dxa"/>
              <w:right w:w="0"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指标</w:t>
            </w:r>
          </w:p>
        </w:tc>
        <w:tc>
          <w:tcPr>
            <w:tcW w:w="482" w:type="pct"/>
            <w:tcMar>
              <w:left w:w="0" w:type="dxa"/>
              <w:right w:w="0"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单位</w:t>
            </w:r>
          </w:p>
        </w:tc>
        <w:tc>
          <w:tcPr>
            <w:tcW w:w="714" w:type="pct"/>
            <w:tcMar>
              <w:left w:w="0" w:type="dxa"/>
              <w:right w:w="0" w:type="dxa"/>
            </w:tcMar>
            <w:vAlign w:val="center"/>
          </w:tcPr>
          <w:p>
            <w:pPr>
              <w:snapToGrid/>
              <w:spacing w:line="300" w:lineRule="exact"/>
              <w:ind w:firstLine="0" w:firstLineChars="0"/>
              <w:jc w:val="center"/>
              <w:rPr>
                <w:rFonts w:eastAsia="宋体"/>
                <w:b/>
                <w:bCs/>
                <w:snapToGrid w:val="0"/>
                <w:kern w:val="0"/>
                <w:sz w:val="21"/>
                <w:szCs w:val="21"/>
              </w:rPr>
            </w:pPr>
            <w:r>
              <w:rPr>
                <w:rFonts w:hAnsi="宋体" w:eastAsia="宋体"/>
                <w:b/>
                <w:bCs/>
                <w:snapToGrid w:val="0"/>
                <w:kern w:val="0"/>
                <w:sz w:val="21"/>
                <w:szCs w:val="21"/>
              </w:rPr>
              <w:t>指标</w:t>
            </w:r>
          </w:p>
          <w:p>
            <w:pPr>
              <w:snapToGrid/>
              <w:spacing w:line="300" w:lineRule="exact"/>
              <w:ind w:firstLine="0" w:firstLineChars="0"/>
              <w:jc w:val="center"/>
              <w:rPr>
                <w:rFonts w:eastAsia="宋体"/>
                <w:b/>
                <w:bCs/>
                <w:sz w:val="21"/>
                <w:szCs w:val="21"/>
              </w:rPr>
            </w:pPr>
            <w:r>
              <w:rPr>
                <w:rFonts w:hAnsi="宋体" w:eastAsia="宋体"/>
                <w:b/>
                <w:bCs/>
                <w:snapToGrid w:val="0"/>
                <w:kern w:val="0"/>
                <w:sz w:val="21"/>
                <w:szCs w:val="21"/>
              </w:rPr>
              <w:t>属性</w:t>
            </w:r>
          </w:p>
        </w:tc>
        <w:tc>
          <w:tcPr>
            <w:tcW w:w="824" w:type="pct"/>
            <w:tcMar>
              <w:left w:w="0" w:type="dxa"/>
              <w:right w:w="0" w:type="dxa"/>
            </w:tcMar>
            <w:vAlign w:val="center"/>
          </w:tcPr>
          <w:p>
            <w:pPr>
              <w:snapToGrid/>
              <w:spacing w:line="300" w:lineRule="exact"/>
              <w:ind w:left="-160" w:leftChars="-50" w:right="-160" w:rightChars="-50" w:firstLine="0" w:firstLineChars="0"/>
              <w:jc w:val="center"/>
              <w:rPr>
                <w:rFonts w:eastAsia="宋体"/>
                <w:b/>
                <w:bCs/>
                <w:sz w:val="21"/>
                <w:szCs w:val="21"/>
              </w:rPr>
            </w:pPr>
            <w:r>
              <w:rPr>
                <w:rFonts w:eastAsia="宋体"/>
                <w:b/>
                <w:bCs/>
                <w:sz w:val="21"/>
                <w:szCs w:val="21"/>
              </w:rPr>
              <w:t>2020</w:t>
            </w:r>
            <w:r>
              <w:rPr>
                <w:rFonts w:hAnsi="宋体" w:eastAsia="宋体"/>
                <w:b/>
                <w:bCs/>
                <w:sz w:val="21"/>
                <w:szCs w:val="21"/>
              </w:rPr>
              <w:t>年</w:t>
            </w:r>
          </w:p>
          <w:p>
            <w:pPr>
              <w:snapToGrid/>
              <w:spacing w:line="300" w:lineRule="exact"/>
              <w:ind w:left="-160" w:leftChars="-50" w:right="-160" w:rightChars="-50" w:firstLine="0" w:firstLineChars="0"/>
              <w:jc w:val="center"/>
              <w:rPr>
                <w:rFonts w:eastAsia="宋体"/>
                <w:b/>
                <w:bCs/>
                <w:sz w:val="21"/>
                <w:szCs w:val="21"/>
              </w:rPr>
            </w:pPr>
            <w:r>
              <w:rPr>
                <w:rFonts w:hAnsi="宋体" w:eastAsia="宋体"/>
                <w:b/>
                <w:bCs/>
                <w:sz w:val="21"/>
                <w:szCs w:val="21"/>
              </w:rPr>
              <w:t>目标</w:t>
            </w:r>
          </w:p>
        </w:tc>
        <w:tc>
          <w:tcPr>
            <w:tcW w:w="696" w:type="pct"/>
            <w:tcMar>
              <w:left w:w="0" w:type="dxa"/>
              <w:right w:w="0" w:type="dxa"/>
            </w:tcMar>
            <w:vAlign w:val="center"/>
          </w:tcPr>
          <w:p>
            <w:pPr>
              <w:adjustRightInd w:val="0"/>
              <w:spacing w:line="240" w:lineRule="atLeast"/>
              <w:ind w:firstLine="0" w:firstLineChars="0"/>
              <w:jc w:val="center"/>
              <w:textAlignment w:val="center"/>
              <w:rPr>
                <w:rFonts w:eastAsia="宋体"/>
                <w:b/>
                <w:bCs/>
                <w:snapToGrid w:val="0"/>
                <w:kern w:val="0"/>
                <w:sz w:val="21"/>
                <w:szCs w:val="21"/>
              </w:rPr>
            </w:pPr>
            <w:r>
              <w:rPr>
                <w:rFonts w:hAnsi="宋体" w:eastAsia="宋体"/>
                <w:b/>
                <w:bCs/>
                <w:snapToGrid w:val="0"/>
                <w:kern w:val="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经</w:t>
            </w:r>
          </w:p>
          <w:p>
            <w:pPr>
              <w:snapToGrid/>
              <w:spacing w:line="300" w:lineRule="exact"/>
              <w:ind w:firstLine="0" w:firstLineChars="0"/>
              <w:jc w:val="center"/>
              <w:rPr>
                <w:rFonts w:eastAsia="宋体"/>
                <w:sz w:val="21"/>
                <w:szCs w:val="21"/>
              </w:rPr>
            </w:pPr>
            <w:r>
              <w:rPr>
                <w:rFonts w:hAnsi="宋体" w:eastAsia="宋体"/>
                <w:sz w:val="21"/>
                <w:szCs w:val="21"/>
              </w:rPr>
              <w:t>济</w:t>
            </w:r>
          </w:p>
          <w:p>
            <w:pPr>
              <w:snapToGrid/>
              <w:spacing w:line="300" w:lineRule="exact"/>
              <w:ind w:firstLine="0" w:firstLineChars="0"/>
              <w:jc w:val="center"/>
              <w:rPr>
                <w:rFonts w:eastAsia="宋体"/>
                <w:sz w:val="21"/>
                <w:szCs w:val="21"/>
              </w:rPr>
            </w:pPr>
            <w:r>
              <w:rPr>
                <w:rFonts w:hAnsi="宋体" w:eastAsia="宋体"/>
                <w:sz w:val="21"/>
                <w:szCs w:val="21"/>
              </w:rPr>
              <w:t>转</w:t>
            </w:r>
          </w:p>
          <w:p>
            <w:pPr>
              <w:snapToGrid/>
              <w:spacing w:line="300" w:lineRule="exact"/>
              <w:ind w:firstLine="0" w:firstLineChars="0"/>
              <w:jc w:val="center"/>
              <w:rPr>
                <w:rFonts w:eastAsia="宋体"/>
                <w:sz w:val="21"/>
                <w:szCs w:val="21"/>
              </w:rPr>
            </w:pPr>
            <w:r>
              <w:rPr>
                <w:rFonts w:hAnsi="宋体" w:eastAsia="宋体"/>
                <w:sz w:val="21"/>
                <w:szCs w:val="21"/>
              </w:rPr>
              <w:t>型</w:t>
            </w: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人均地区生产总值</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万元</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13.5</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服务业占地区生产</w:t>
            </w:r>
          </w:p>
          <w:p>
            <w:pPr>
              <w:snapToGrid/>
              <w:spacing w:line="300" w:lineRule="exact"/>
              <w:ind w:firstLine="0" w:firstLineChars="0"/>
              <w:jc w:val="center"/>
              <w:rPr>
                <w:rFonts w:eastAsia="宋体"/>
                <w:sz w:val="21"/>
                <w:szCs w:val="21"/>
              </w:rPr>
            </w:pPr>
            <w:r>
              <w:rPr>
                <w:rFonts w:hAnsi="宋体" w:eastAsia="宋体"/>
                <w:sz w:val="21"/>
                <w:szCs w:val="21"/>
              </w:rPr>
              <w:t>总值比重</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70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高新技术产业产值</w:t>
            </w:r>
          </w:p>
          <w:p>
            <w:pPr>
              <w:snapToGrid/>
              <w:spacing w:line="300" w:lineRule="exact"/>
              <w:ind w:firstLine="0" w:firstLineChars="0"/>
              <w:jc w:val="center"/>
              <w:rPr>
                <w:rFonts w:eastAsia="宋体"/>
                <w:sz w:val="21"/>
                <w:szCs w:val="21"/>
              </w:rPr>
            </w:pPr>
            <w:r>
              <w:rPr>
                <w:rFonts w:hAnsi="宋体" w:eastAsia="宋体"/>
                <w:sz w:val="21"/>
                <w:szCs w:val="21"/>
              </w:rPr>
              <w:t>占规模以上工业比重</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60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4</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全员劳动生产率</w:t>
            </w:r>
          </w:p>
        </w:tc>
        <w:tc>
          <w:tcPr>
            <w:tcW w:w="482" w:type="pct"/>
            <w:tcMar>
              <w:left w:w="0" w:type="dxa"/>
              <w:right w:w="0" w:type="dxa"/>
            </w:tcMar>
            <w:vAlign w:val="center"/>
          </w:tcPr>
          <w:p>
            <w:pPr>
              <w:snapToGrid/>
              <w:spacing w:line="300" w:lineRule="exact"/>
              <w:ind w:left="-160" w:leftChars="-50" w:right="-160" w:rightChars="-50" w:firstLine="0" w:firstLineChars="0"/>
              <w:jc w:val="center"/>
              <w:rPr>
                <w:rFonts w:eastAsia="宋体"/>
                <w:spacing w:val="-10"/>
                <w:sz w:val="21"/>
                <w:szCs w:val="21"/>
              </w:rPr>
            </w:pPr>
            <w:r>
              <w:rPr>
                <w:rFonts w:hAnsi="宋体" w:eastAsia="宋体"/>
                <w:spacing w:val="-10"/>
                <w:sz w:val="21"/>
                <w:szCs w:val="21"/>
              </w:rPr>
              <w:t>万元</w:t>
            </w:r>
            <w:r>
              <w:rPr>
                <w:rFonts w:eastAsia="宋体"/>
                <w:spacing w:val="-10"/>
                <w:sz w:val="21"/>
                <w:szCs w:val="21"/>
              </w:rPr>
              <w:t>/</w:t>
            </w:r>
            <w:r>
              <w:rPr>
                <w:rFonts w:hAnsi="宋体" w:eastAsia="宋体"/>
                <w:spacing w:val="-10"/>
                <w:sz w:val="21"/>
                <w:szCs w:val="21"/>
              </w:rPr>
              <w:t>人</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亿元企业数</w:t>
            </w:r>
          </w:p>
        </w:tc>
        <w:tc>
          <w:tcPr>
            <w:tcW w:w="482" w:type="pct"/>
            <w:tcMar>
              <w:left w:w="0" w:type="dxa"/>
              <w:right w:w="0" w:type="dxa"/>
            </w:tcMar>
            <w:vAlign w:val="center"/>
          </w:tcPr>
          <w:p>
            <w:pPr>
              <w:snapToGrid/>
              <w:spacing w:line="300" w:lineRule="exact"/>
              <w:ind w:left="-160" w:leftChars="-50" w:right="-160" w:rightChars="-50" w:firstLine="0" w:firstLineChars="0"/>
              <w:jc w:val="center"/>
              <w:rPr>
                <w:rFonts w:eastAsia="宋体"/>
                <w:sz w:val="21"/>
                <w:szCs w:val="21"/>
              </w:rPr>
            </w:pPr>
            <w:r>
              <w:rPr>
                <w:rFonts w:hAnsi="宋体" w:eastAsia="宋体"/>
                <w:sz w:val="21"/>
                <w:szCs w:val="21"/>
              </w:rPr>
              <w:t>家</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200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6</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文化产业占地区</w:t>
            </w:r>
          </w:p>
          <w:p>
            <w:pPr>
              <w:snapToGrid/>
              <w:spacing w:line="300" w:lineRule="exact"/>
              <w:ind w:firstLine="0" w:firstLineChars="0"/>
              <w:jc w:val="center"/>
              <w:rPr>
                <w:rFonts w:eastAsia="宋体"/>
                <w:sz w:val="21"/>
                <w:szCs w:val="21"/>
              </w:rPr>
            </w:pPr>
            <w:r>
              <w:rPr>
                <w:rFonts w:hAnsi="宋体" w:eastAsia="宋体"/>
                <w:sz w:val="21"/>
                <w:szCs w:val="21"/>
              </w:rPr>
              <w:t>生产总值比重</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8</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7</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各类上市企业数</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家</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创</w:t>
            </w:r>
          </w:p>
          <w:p>
            <w:pPr>
              <w:snapToGrid/>
              <w:spacing w:line="300" w:lineRule="exact"/>
              <w:ind w:firstLine="0" w:firstLineChars="0"/>
              <w:jc w:val="center"/>
              <w:rPr>
                <w:rFonts w:eastAsia="宋体"/>
                <w:sz w:val="21"/>
                <w:szCs w:val="21"/>
              </w:rPr>
            </w:pPr>
            <w:r>
              <w:rPr>
                <w:rFonts w:hAnsi="宋体" w:eastAsia="宋体"/>
                <w:sz w:val="21"/>
                <w:szCs w:val="21"/>
              </w:rPr>
              <w:t>新</w:t>
            </w:r>
          </w:p>
          <w:p>
            <w:pPr>
              <w:snapToGrid/>
              <w:spacing w:line="300" w:lineRule="exact"/>
              <w:ind w:firstLine="0" w:firstLineChars="0"/>
              <w:jc w:val="center"/>
              <w:rPr>
                <w:rFonts w:eastAsia="宋体"/>
                <w:sz w:val="21"/>
                <w:szCs w:val="21"/>
              </w:rPr>
            </w:pPr>
            <w:r>
              <w:rPr>
                <w:rFonts w:hAnsi="宋体" w:eastAsia="宋体"/>
                <w:sz w:val="21"/>
                <w:szCs w:val="21"/>
              </w:rPr>
              <w:t>能</w:t>
            </w:r>
          </w:p>
          <w:p>
            <w:pPr>
              <w:snapToGrid/>
              <w:spacing w:line="300" w:lineRule="exact"/>
              <w:ind w:firstLine="0" w:firstLineChars="0"/>
              <w:jc w:val="center"/>
              <w:rPr>
                <w:rFonts w:eastAsia="宋体"/>
                <w:sz w:val="21"/>
                <w:szCs w:val="21"/>
              </w:rPr>
            </w:pPr>
            <w:r>
              <w:rPr>
                <w:rFonts w:hAnsi="宋体" w:eastAsia="宋体"/>
                <w:sz w:val="21"/>
                <w:szCs w:val="21"/>
              </w:rPr>
              <w:t>力</w:t>
            </w: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8</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细分行业龙头企业数</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家</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全社会研发投入占</w:t>
            </w:r>
          </w:p>
          <w:p>
            <w:pPr>
              <w:snapToGrid/>
              <w:spacing w:line="300" w:lineRule="exact"/>
              <w:ind w:firstLine="0" w:firstLineChars="0"/>
              <w:jc w:val="center"/>
              <w:rPr>
                <w:rFonts w:eastAsia="宋体"/>
                <w:sz w:val="21"/>
                <w:szCs w:val="21"/>
              </w:rPr>
            </w:pPr>
            <w:r>
              <w:rPr>
                <w:rFonts w:hAnsi="宋体" w:eastAsia="宋体"/>
                <w:sz w:val="21"/>
                <w:szCs w:val="21"/>
              </w:rPr>
              <w:t>地区生产总值比重</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10</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万人发明专利拥有量</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件</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16</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11</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高新技术企业数</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家</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130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12</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新增</w:t>
            </w:r>
            <w:r>
              <w:rPr>
                <w:rFonts w:eastAsia="宋体"/>
                <w:sz w:val="21"/>
                <w:szCs w:val="21"/>
              </w:rPr>
              <w:t>“</w:t>
            </w:r>
            <w:r>
              <w:rPr>
                <w:rFonts w:hAnsi="宋体" w:eastAsia="宋体"/>
                <w:sz w:val="21"/>
                <w:szCs w:val="21"/>
              </w:rPr>
              <w:t>众创空间</w:t>
            </w:r>
            <w:r>
              <w:rPr>
                <w:rFonts w:eastAsia="宋体"/>
                <w:sz w:val="21"/>
                <w:szCs w:val="21"/>
              </w:rPr>
              <w:t>”</w:t>
            </w:r>
          </w:p>
          <w:p>
            <w:pPr>
              <w:snapToGrid/>
              <w:spacing w:line="300" w:lineRule="exact"/>
              <w:ind w:firstLine="0" w:firstLineChars="0"/>
              <w:jc w:val="center"/>
              <w:rPr>
                <w:rFonts w:eastAsia="宋体"/>
                <w:sz w:val="21"/>
                <w:szCs w:val="21"/>
              </w:rPr>
            </w:pPr>
            <w:r>
              <w:rPr>
                <w:rFonts w:hAnsi="宋体" w:eastAsia="宋体"/>
                <w:sz w:val="21"/>
                <w:szCs w:val="21"/>
              </w:rPr>
              <w:t>载体数</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个</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13</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自主品牌企业增加值</w:t>
            </w:r>
          </w:p>
          <w:p>
            <w:pPr>
              <w:snapToGrid/>
              <w:spacing w:line="300" w:lineRule="exact"/>
              <w:ind w:firstLine="0" w:firstLineChars="0"/>
              <w:jc w:val="center"/>
              <w:rPr>
                <w:rFonts w:eastAsia="宋体"/>
                <w:sz w:val="21"/>
                <w:szCs w:val="21"/>
              </w:rPr>
            </w:pPr>
            <w:r>
              <w:rPr>
                <w:rFonts w:hAnsi="宋体" w:eastAsia="宋体"/>
                <w:sz w:val="21"/>
                <w:szCs w:val="21"/>
              </w:rPr>
              <w:t>占地区生产总值比重</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17</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14</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新增</w:t>
            </w:r>
            <w:r>
              <w:rPr>
                <w:rFonts w:eastAsia="宋体"/>
                <w:sz w:val="21"/>
                <w:szCs w:val="21"/>
              </w:rPr>
              <w:t>“</w:t>
            </w:r>
            <w:r>
              <w:rPr>
                <w:rFonts w:hAnsi="宋体" w:eastAsia="宋体"/>
                <w:sz w:val="21"/>
                <w:szCs w:val="21"/>
              </w:rPr>
              <w:t>三名</w:t>
            </w:r>
            <w:r>
              <w:rPr>
                <w:rFonts w:eastAsia="宋体"/>
                <w:sz w:val="21"/>
                <w:szCs w:val="21"/>
              </w:rPr>
              <w:t>”</w:t>
            </w:r>
            <w:r>
              <w:rPr>
                <w:rFonts w:hAnsi="宋体" w:eastAsia="宋体"/>
                <w:sz w:val="21"/>
                <w:szCs w:val="21"/>
              </w:rPr>
              <w:t>（驰名、</w:t>
            </w:r>
          </w:p>
          <w:p>
            <w:pPr>
              <w:snapToGrid/>
              <w:spacing w:line="300" w:lineRule="exact"/>
              <w:ind w:firstLine="0" w:firstLineChars="0"/>
              <w:jc w:val="center"/>
              <w:rPr>
                <w:rFonts w:eastAsia="宋体"/>
                <w:sz w:val="21"/>
                <w:szCs w:val="21"/>
              </w:rPr>
            </w:pPr>
            <w:r>
              <w:rPr>
                <w:rFonts w:hAnsi="宋体" w:eastAsia="宋体"/>
                <w:sz w:val="21"/>
                <w:szCs w:val="21"/>
              </w:rPr>
              <w:t>著名、知名）商标数</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件</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民</w:t>
            </w:r>
          </w:p>
          <w:p>
            <w:pPr>
              <w:snapToGrid/>
              <w:spacing w:line="300" w:lineRule="exact"/>
              <w:ind w:firstLine="0" w:firstLineChars="0"/>
              <w:jc w:val="center"/>
              <w:rPr>
                <w:rFonts w:eastAsia="宋体"/>
                <w:sz w:val="21"/>
                <w:szCs w:val="21"/>
              </w:rPr>
            </w:pPr>
            <w:r>
              <w:rPr>
                <w:rFonts w:hAnsi="宋体" w:eastAsia="宋体"/>
                <w:sz w:val="21"/>
                <w:szCs w:val="21"/>
              </w:rPr>
              <w:t>生</w:t>
            </w:r>
          </w:p>
          <w:p>
            <w:pPr>
              <w:snapToGrid/>
              <w:spacing w:line="300" w:lineRule="exact"/>
              <w:ind w:firstLine="0" w:firstLineChars="0"/>
              <w:jc w:val="center"/>
              <w:rPr>
                <w:rFonts w:eastAsia="宋体"/>
                <w:sz w:val="21"/>
                <w:szCs w:val="21"/>
              </w:rPr>
            </w:pPr>
            <w:r>
              <w:rPr>
                <w:rFonts w:hAnsi="宋体" w:eastAsia="宋体"/>
                <w:sz w:val="21"/>
                <w:szCs w:val="21"/>
              </w:rPr>
              <w:t>幸</w:t>
            </w:r>
          </w:p>
          <w:p>
            <w:pPr>
              <w:snapToGrid/>
              <w:spacing w:line="300" w:lineRule="exact"/>
              <w:ind w:firstLine="0" w:firstLineChars="0"/>
              <w:jc w:val="center"/>
              <w:rPr>
                <w:rFonts w:eastAsia="宋体"/>
                <w:sz w:val="21"/>
                <w:szCs w:val="21"/>
              </w:rPr>
            </w:pPr>
            <w:r>
              <w:rPr>
                <w:rFonts w:hAnsi="宋体" w:eastAsia="宋体"/>
                <w:sz w:val="21"/>
                <w:szCs w:val="21"/>
              </w:rPr>
              <w:t>福</w:t>
            </w: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15</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城乡居民收入增速</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与经济增</w:t>
            </w:r>
          </w:p>
          <w:p>
            <w:pPr>
              <w:snapToGrid/>
              <w:spacing w:line="300" w:lineRule="exact"/>
              <w:ind w:firstLine="0" w:firstLineChars="0"/>
              <w:jc w:val="center"/>
              <w:rPr>
                <w:rFonts w:eastAsia="宋体"/>
                <w:sz w:val="21"/>
                <w:szCs w:val="21"/>
              </w:rPr>
            </w:pPr>
            <w:r>
              <w:rPr>
                <w:rFonts w:hAnsi="宋体" w:eastAsia="宋体"/>
                <w:sz w:val="21"/>
                <w:szCs w:val="21"/>
              </w:rPr>
              <w:t>长同步</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16</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城乡基本养老保险</w:t>
            </w:r>
          </w:p>
          <w:p>
            <w:pPr>
              <w:snapToGrid/>
              <w:spacing w:line="300" w:lineRule="exact"/>
              <w:ind w:firstLine="0" w:firstLineChars="0"/>
              <w:jc w:val="center"/>
              <w:rPr>
                <w:rFonts w:eastAsia="宋体"/>
                <w:sz w:val="21"/>
                <w:szCs w:val="21"/>
              </w:rPr>
            </w:pPr>
            <w:r>
              <w:rPr>
                <w:rFonts w:hAnsi="宋体" w:eastAsia="宋体"/>
                <w:sz w:val="21"/>
                <w:szCs w:val="21"/>
              </w:rPr>
              <w:t>覆盖率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98</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98</w:t>
            </w:r>
            <w:r>
              <w:rPr>
                <w:rFonts w:hAnsi="宋体" w:eastAsia="宋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17</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城乡基本医疗保险</w:t>
            </w:r>
          </w:p>
          <w:p>
            <w:pPr>
              <w:snapToGrid/>
              <w:spacing w:line="300" w:lineRule="exact"/>
              <w:ind w:firstLine="0" w:firstLineChars="0"/>
              <w:jc w:val="center"/>
              <w:rPr>
                <w:rFonts w:eastAsia="宋体"/>
                <w:sz w:val="21"/>
                <w:szCs w:val="21"/>
              </w:rPr>
            </w:pPr>
            <w:r>
              <w:rPr>
                <w:rFonts w:hAnsi="宋体" w:eastAsia="宋体"/>
                <w:sz w:val="21"/>
                <w:szCs w:val="21"/>
              </w:rPr>
              <w:t>覆盖率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98</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98</w:t>
            </w:r>
            <w:r>
              <w:rPr>
                <w:rFonts w:hAnsi="宋体" w:eastAsia="宋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18</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城镇保障性住房覆盖率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23</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19</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居民体质合格率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96</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96</w:t>
            </w:r>
            <w:r>
              <w:rPr>
                <w:rFonts w:hAnsi="宋体" w:eastAsia="宋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20</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每千名老人拥有养老</w:t>
            </w:r>
          </w:p>
          <w:p>
            <w:pPr>
              <w:snapToGrid/>
              <w:spacing w:line="300" w:lineRule="exact"/>
              <w:ind w:firstLine="0" w:firstLineChars="0"/>
              <w:jc w:val="center"/>
              <w:rPr>
                <w:rFonts w:eastAsia="宋体"/>
                <w:sz w:val="21"/>
                <w:szCs w:val="21"/>
              </w:rPr>
            </w:pPr>
            <w:r>
              <w:rPr>
                <w:rFonts w:hAnsi="宋体" w:eastAsia="宋体"/>
                <w:sz w:val="21"/>
                <w:szCs w:val="21"/>
              </w:rPr>
              <w:t>床位数</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张</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50</w:t>
            </w:r>
            <w:r>
              <w:rPr>
                <w:rFonts w:hAnsi="宋体" w:eastAsia="宋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21</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城市居民公共交通</w:t>
            </w:r>
          </w:p>
          <w:p>
            <w:pPr>
              <w:snapToGrid/>
              <w:spacing w:line="300" w:lineRule="exact"/>
              <w:ind w:firstLine="0" w:firstLineChars="0"/>
              <w:jc w:val="center"/>
              <w:rPr>
                <w:rFonts w:eastAsia="宋体"/>
                <w:sz w:val="21"/>
                <w:szCs w:val="21"/>
              </w:rPr>
            </w:pPr>
            <w:r>
              <w:rPr>
                <w:rFonts w:hAnsi="宋体" w:eastAsia="宋体"/>
                <w:sz w:val="21"/>
                <w:szCs w:val="21"/>
              </w:rPr>
              <w:t>出行分担率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30</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22</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现代教育发展水平</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90</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23</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人均拥有公共文化</w:t>
            </w:r>
          </w:p>
          <w:p>
            <w:pPr>
              <w:snapToGrid/>
              <w:spacing w:line="300" w:lineRule="exact"/>
              <w:ind w:firstLine="0" w:firstLineChars="0"/>
              <w:jc w:val="center"/>
              <w:rPr>
                <w:rFonts w:eastAsia="宋体"/>
                <w:sz w:val="21"/>
                <w:szCs w:val="21"/>
              </w:rPr>
            </w:pPr>
            <w:r>
              <w:rPr>
                <w:rFonts w:hAnsi="宋体" w:eastAsia="宋体"/>
                <w:sz w:val="21"/>
                <w:szCs w:val="21"/>
              </w:rPr>
              <w:t>体育设施面积</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平方米</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3.2</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24</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每千人食品抽检率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批次</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6</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能</w:t>
            </w:r>
          </w:p>
          <w:p>
            <w:pPr>
              <w:snapToGrid/>
              <w:spacing w:line="300" w:lineRule="exact"/>
              <w:ind w:firstLine="0" w:firstLineChars="0"/>
              <w:jc w:val="center"/>
              <w:rPr>
                <w:rFonts w:eastAsia="宋体"/>
                <w:sz w:val="21"/>
                <w:szCs w:val="21"/>
              </w:rPr>
            </w:pPr>
            <w:r>
              <w:rPr>
                <w:rFonts w:hAnsi="宋体" w:eastAsia="宋体"/>
                <w:sz w:val="21"/>
                <w:szCs w:val="21"/>
              </w:rPr>
              <w:t>源</w:t>
            </w:r>
          </w:p>
          <w:p>
            <w:pPr>
              <w:snapToGrid/>
              <w:spacing w:line="300" w:lineRule="exact"/>
              <w:ind w:firstLine="0" w:firstLineChars="0"/>
              <w:jc w:val="center"/>
              <w:rPr>
                <w:rFonts w:eastAsia="宋体"/>
                <w:sz w:val="21"/>
                <w:szCs w:val="21"/>
              </w:rPr>
            </w:pPr>
            <w:r>
              <w:rPr>
                <w:rFonts w:hAnsi="宋体" w:eastAsia="宋体"/>
                <w:sz w:val="21"/>
                <w:szCs w:val="21"/>
              </w:rPr>
              <w:t>环</w:t>
            </w:r>
          </w:p>
          <w:p>
            <w:pPr>
              <w:snapToGrid/>
              <w:spacing w:line="300" w:lineRule="exact"/>
              <w:ind w:firstLine="0" w:firstLineChars="0"/>
              <w:jc w:val="center"/>
              <w:rPr>
                <w:rFonts w:eastAsia="宋体"/>
                <w:sz w:val="21"/>
                <w:szCs w:val="21"/>
              </w:rPr>
            </w:pPr>
            <w:r>
              <w:rPr>
                <w:rFonts w:hAnsi="宋体" w:eastAsia="宋体"/>
                <w:sz w:val="21"/>
                <w:szCs w:val="21"/>
              </w:rPr>
              <w:t>境</w:t>
            </w: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25</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单位地区生产总值</w:t>
            </w:r>
          </w:p>
          <w:p>
            <w:pPr>
              <w:snapToGrid/>
              <w:spacing w:line="300" w:lineRule="exact"/>
              <w:ind w:firstLine="0" w:firstLineChars="0"/>
              <w:jc w:val="center"/>
              <w:rPr>
                <w:rFonts w:eastAsia="宋体"/>
                <w:sz w:val="21"/>
                <w:szCs w:val="21"/>
              </w:rPr>
            </w:pPr>
            <w:r>
              <w:rPr>
                <w:rFonts w:hAnsi="宋体" w:eastAsia="宋体"/>
                <w:sz w:val="21"/>
                <w:szCs w:val="21"/>
              </w:rPr>
              <w:t>占用建设用地下降率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约束性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30.9</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26</w:t>
            </w:r>
          </w:p>
        </w:tc>
        <w:tc>
          <w:tcPr>
            <w:tcW w:w="578"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主要污染物</w:t>
            </w:r>
          </w:p>
          <w:p>
            <w:pPr>
              <w:snapToGrid/>
              <w:spacing w:line="300" w:lineRule="exact"/>
              <w:ind w:firstLine="0" w:firstLineChars="0"/>
              <w:jc w:val="center"/>
              <w:rPr>
                <w:rFonts w:eastAsia="宋体"/>
                <w:sz w:val="21"/>
                <w:szCs w:val="21"/>
              </w:rPr>
            </w:pPr>
            <w:r>
              <w:rPr>
                <w:rFonts w:hAnsi="宋体" w:eastAsia="宋体"/>
                <w:sz w:val="21"/>
                <w:szCs w:val="21"/>
              </w:rPr>
              <w:t>排放减少率</w:t>
            </w:r>
          </w:p>
        </w:tc>
        <w:tc>
          <w:tcPr>
            <w:tcW w:w="1030"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化学需氧量</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约束性</w:t>
            </w:r>
          </w:p>
        </w:tc>
        <w:tc>
          <w:tcPr>
            <w:tcW w:w="824" w:type="pct"/>
            <w:tcMar>
              <w:left w:w="0" w:type="dxa"/>
              <w:right w:w="0" w:type="dxa"/>
            </w:tcMar>
            <w:vAlign w:val="center"/>
          </w:tcPr>
          <w:p>
            <w:pPr>
              <w:snapToGrid/>
              <w:spacing w:line="200" w:lineRule="exact"/>
              <w:ind w:firstLine="0" w:firstLineChars="0"/>
              <w:jc w:val="center"/>
              <w:rPr>
                <w:rFonts w:eastAsia="宋体"/>
                <w:sz w:val="21"/>
                <w:szCs w:val="21"/>
              </w:rPr>
            </w:pPr>
            <w:r>
              <w:rPr>
                <w:rFonts w:eastAsia="宋体"/>
                <w:sz w:val="21"/>
                <w:szCs w:val="21"/>
              </w:rPr>
              <w:t>22</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低于</w:t>
            </w:r>
            <w:r>
              <w:rPr>
                <w:rFonts w:eastAsia="宋体"/>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shd w:val="clear" w:color="auto" w:fill="auto"/>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vMerge w:val="continue"/>
            <w:shd w:val="clear" w:color="auto" w:fill="auto"/>
            <w:tcMar>
              <w:left w:w="0" w:type="dxa"/>
              <w:right w:w="0" w:type="dxa"/>
            </w:tcMar>
            <w:vAlign w:val="center"/>
          </w:tcPr>
          <w:p>
            <w:pPr>
              <w:snapToGrid/>
              <w:spacing w:line="300" w:lineRule="exact"/>
              <w:ind w:firstLine="0" w:firstLineChars="0"/>
              <w:jc w:val="center"/>
              <w:rPr>
                <w:rFonts w:eastAsia="宋体"/>
                <w:sz w:val="21"/>
                <w:szCs w:val="21"/>
              </w:rPr>
            </w:pPr>
          </w:p>
        </w:tc>
        <w:tc>
          <w:tcPr>
            <w:tcW w:w="578" w:type="pct"/>
            <w:vMerge w:val="continue"/>
            <w:shd w:val="clear" w:color="auto" w:fill="D9D9D9"/>
            <w:tcMar>
              <w:left w:w="0" w:type="dxa"/>
              <w:right w:w="0" w:type="dxa"/>
            </w:tcMar>
            <w:vAlign w:val="center"/>
          </w:tcPr>
          <w:p>
            <w:pPr>
              <w:snapToGrid/>
              <w:spacing w:line="300" w:lineRule="exact"/>
              <w:ind w:firstLine="420" w:firstLineChars="0"/>
              <w:jc w:val="center"/>
              <w:rPr>
                <w:rFonts w:eastAsia="宋体"/>
                <w:sz w:val="21"/>
                <w:szCs w:val="21"/>
              </w:rPr>
            </w:pPr>
          </w:p>
        </w:tc>
        <w:tc>
          <w:tcPr>
            <w:tcW w:w="1030"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二氧化硫</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约束性</w:t>
            </w:r>
          </w:p>
        </w:tc>
        <w:tc>
          <w:tcPr>
            <w:tcW w:w="824" w:type="pct"/>
            <w:tcMar>
              <w:left w:w="0" w:type="dxa"/>
              <w:right w:w="0" w:type="dxa"/>
            </w:tcMar>
            <w:vAlign w:val="center"/>
          </w:tcPr>
          <w:p>
            <w:pPr>
              <w:snapToGrid/>
              <w:spacing w:line="200" w:lineRule="exact"/>
              <w:ind w:firstLine="0" w:firstLineChars="0"/>
              <w:jc w:val="center"/>
              <w:rPr>
                <w:rFonts w:eastAsia="宋体"/>
                <w:sz w:val="21"/>
                <w:szCs w:val="21"/>
              </w:rPr>
            </w:pPr>
            <w:r>
              <w:rPr>
                <w:rFonts w:eastAsia="宋体"/>
                <w:sz w:val="21"/>
                <w:szCs w:val="21"/>
              </w:rPr>
              <w:t>26</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低于</w:t>
            </w:r>
            <w:r>
              <w:rPr>
                <w:rFonts w:eastAsia="宋体"/>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shd w:val="clear" w:color="auto" w:fill="auto"/>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vMerge w:val="continue"/>
            <w:shd w:val="clear" w:color="auto" w:fill="auto"/>
            <w:tcMar>
              <w:left w:w="0" w:type="dxa"/>
              <w:right w:w="0" w:type="dxa"/>
            </w:tcMar>
            <w:vAlign w:val="center"/>
          </w:tcPr>
          <w:p>
            <w:pPr>
              <w:snapToGrid/>
              <w:spacing w:line="300" w:lineRule="exact"/>
              <w:ind w:firstLine="0" w:firstLineChars="0"/>
              <w:jc w:val="center"/>
              <w:rPr>
                <w:rFonts w:eastAsia="宋体"/>
                <w:sz w:val="21"/>
                <w:szCs w:val="21"/>
              </w:rPr>
            </w:pPr>
          </w:p>
        </w:tc>
        <w:tc>
          <w:tcPr>
            <w:tcW w:w="578" w:type="pct"/>
            <w:vMerge w:val="continue"/>
            <w:shd w:val="clear" w:color="auto" w:fill="D9D9D9"/>
            <w:tcMar>
              <w:left w:w="0" w:type="dxa"/>
              <w:right w:w="0" w:type="dxa"/>
            </w:tcMar>
            <w:vAlign w:val="center"/>
          </w:tcPr>
          <w:p>
            <w:pPr>
              <w:snapToGrid/>
              <w:spacing w:line="300" w:lineRule="exact"/>
              <w:ind w:firstLine="420" w:firstLineChars="0"/>
              <w:jc w:val="center"/>
              <w:rPr>
                <w:rFonts w:eastAsia="宋体"/>
                <w:sz w:val="21"/>
                <w:szCs w:val="21"/>
              </w:rPr>
            </w:pPr>
          </w:p>
        </w:tc>
        <w:tc>
          <w:tcPr>
            <w:tcW w:w="1030"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氨氮</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约束性</w:t>
            </w:r>
          </w:p>
        </w:tc>
        <w:tc>
          <w:tcPr>
            <w:tcW w:w="824" w:type="pct"/>
            <w:tcMar>
              <w:left w:w="0" w:type="dxa"/>
              <w:right w:w="0" w:type="dxa"/>
            </w:tcMar>
            <w:vAlign w:val="center"/>
          </w:tcPr>
          <w:p>
            <w:pPr>
              <w:snapToGrid/>
              <w:spacing w:line="200" w:lineRule="exact"/>
              <w:ind w:firstLine="0" w:firstLineChars="0"/>
              <w:jc w:val="center"/>
              <w:rPr>
                <w:rFonts w:eastAsia="宋体"/>
                <w:sz w:val="21"/>
                <w:szCs w:val="21"/>
              </w:rPr>
            </w:pPr>
            <w:r>
              <w:rPr>
                <w:rFonts w:hAnsi="宋体" w:eastAsia="宋体"/>
                <w:sz w:val="21"/>
                <w:szCs w:val="21"/>
              </w:rPr>
              <w:t>全市</w:t>
            </w:r>
          </w:p>
          <w:p>
            <w:pPr>
              <w:snapToGrid/>
              <w:spacing w:line="200" w:lineRule="exact"/>
              <w:ind w:firstLine="0" w:firstLineChars="0"/>
              <w:jc w:val="center"/>
              <w:rPr>
                <w:rFonts w:eastAsia="宋体"/>
                <w:sz w:val="21"/>
                <w:szCs w:val="21"/>
              </w:rPr>
            </w:pPr>
            <w:r>
              <w:rPr>
                <w:rFonts w:hAnsi="宋体" w:eastAsia="宋体"/>
                <w:sz w:val="21"/>
                <w:szCs w:val="21"/>
              </w:rPr>
              <w:t>考核</w:t>
            </w:r>
          </w:p>
        </w:tc>
        <w:tc>
          <w:tcPr>
            <w:tcW w:w="696"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完成考核</w:t>
            </w:r>
          </w:p>
          <w:p>
            <w:pPr>
              <w:snapToGrid/>
              <w:spacing w:line="300" w:lineRule="exact"/>
              <w:ind w:firstLine="0" w:firstLineChars="0"/>
              <w:jc w:val="center"/>
              <w:rPr>
                <w:rFonts w:eastAsia="宋体"/>
                <w:sz w:val="21"/>
                <w:szCs w:val="21"/>
              </w:rPr>
            </w:pPr>
            <w:r>
              <w:rPr>
                <w:rFonts w:hAnsi="宋体" w:eastAsia="宋体"/>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shd w:val="clear" w:color="auto" w:fill="auto"/>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vMerge w:val="continue"/>
            <w:shd w:val="clear" w:color="auto" w:fill="auto"/>
            <w:tcMar>
              <w:left w:w="0" w:type="dxa"/>
              <w:right w:w="0" w:type="dxa"/>
            </w:tcMar>
            <w:vAlign w:val="center"/>
          </w:tcPr>
          <w:p>
            <w:pPr>
              <w:snapToGrid/>
              <w:spacing w:line="300" w:lineRule="exact"/>
              <w:ind w:firstLine="0" w:firstLineChars="0"/>
              <w:jc w:val="center"/>
              <w:rPr>
                <w:rFonts w:eastAsia="宋体"/>
                <w:sz w:val="21"/>
                <w:szCs w:val="21"/>
              </w:rPr>
            </w:pPr>
          </w:p>
        </w:tc>
        <w:tc>
          <w:tcPr>
            <w:tcW w:w="578" w:type="pct"/>
            <w:vMerge w:val="continue"/>
            <w:shd w:val="clear" w:color="auto" w:fill="D9D9D9"/>
            <w:tcMar>
              <w:left w:w="0" w:type="dxa"/>
              <w:right w:w="0" w:type="dxa"/>
            </w:tcMar>
            <w:vAlign w:val="center"/>
          </w:tcPr>
          <w:p>
            <w:pPr>
              <w:snapToGrid/>
              <w:spacing w:line="300" w:lineRule="exact"/>
              <w:ind w:firstLine="420" w:firstLineChars="0"/>
              <w:jc w:val="center"/>
              <w:rPr>
                <w:rFonts w:eastAsia="宋体"/>
                <w:sz w:val="21"/>
                <w:szCs w:val="21"/>
              </w:rPr>
            </w:pPr>
          </w:p>
        </w:tc>
        <w:tc>
          <w:tcPr>
            <w:tcW w:w="1030"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氮氧化合物</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约束性</w:t>
            </w:r>
          </w:p>
        </w:tc>
        <w:tc>
          <w:tcPr>
            <w:tcW w:w="824" w:type="pct"/>
            <w:tcMar>
              <w:left w:w="0" w:type="dxa"/>
              <w:right w:w="0" w:type="dxa"/>
            </w:tcMar>
            <w:vAlign w:val="center"/>
          </w:tcPr>
          <w:p>
            <w:pPr>
              <w:snapToGrid/>
              <w:spacing w:line="200" w:lineRule="exact"/>
              <w:ind w:firstLine="0" w:firstLineChars="0"/>
              <w:jc w:val="center"/>
              <w:rPr>
                <w:rFonts w:eastAsia="宋体"/>
                <w:sz w:val="21"/>
                <w:szCs w:val="21"/>
              </w:rPr>
            </w:pPr>
            <w:r>
              <w:rPr>
                <w:rFonts w:hAnsi="宋体" w:eastAsia="宋体"/>
                <w:sz w:val="21"/>
                <w:szCs w:val="21"/>
              </w:rPr>
              <w:t>全市</w:t>
            </w:r>
          </w:p>
          <w:p>
            <w:pPr>
              <w:snapToGrid/>
              <w:spacing w:line="200" w:lineRule="exact"/>
              <w:ind w:firstLine="0" w:firstLineChars="0"/>
              <w:jc w:val="center"/>
              <w:rPr>
                <w:rFonts w:eastAsia="宋体"/>
                <w:sz w:val="21"/>
                <w:szCs w:val="21"/>
              </w:rPr>
            </w:pPr>
            <w:r>
              <w:rPr>
                <w:rFonts w:hAnsi="宋体" w:eastAsia="宋体"/>
                <w:sz w:val="21"/>
                <w:szCs w:val="21"/>
              </w:rPr>
              <w:t>考核</w:t>
            </w:r>
          </w:p>
        </w:tc>
        <w:tc>
          <w:tcPr>
            <w:tcW w:w="696"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27</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空气质量达到二级</w:t>
            </w:r>
          </w:p>
          <w:p>
            <w:pPr>
              <w:snapToGrid/>
              <w:spacing w:line="300" w:lineRule="exact"/>
              <w:ind w:firstLine="0" w:firstLineChars="0"/>
              <w:jc w:val="center"/>
              <w:rPr>
                <w:rFonts w:eastAsia="宋体"/>
                <w:sz w:val="21"/>
                <w:szCs w:val="21"/>
              </w:rPr>
            </w:pPr>
            <w:r>
              <w:rPr>
                <w:rFonts w:hAnsi="宋体" w:eastAsia="宋体"/>
                <w:sz w:val="21"/>
                <w:szCs w:val="21"/>
              </w:rPr>
              <w:t>标准的天数比例</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约束性</w:t>
            </w:r>
          </w:p>
        </w:tc>
        <w:tc>
          <w:tcPr>
            <w:tcW w:w="824" w:type="pct"/>
            <w:tcMar>
              <w:left w:w="0" w:type="dxa"/>
              <w:right w:w="0" w:type="dxa"/>
            </w:tcMar>
            <w:vAlign w:val="center"/>
          </w:tcPr>
          <w:p>
            <w:pPr>
              <w:snapToGrid/>
              <w:spacing w:line="200" w:lineRule="exact"/>
              <w:ind w:firstLine="0" w:firstLineChars="0"/>
              <w:jc w:val="center"/>
              <w:rPr>
                <w:rFonts w:eastAsia="宋体"/>
                <w:sz w:val="21"/>
                <w:szCs w:val="21"/>
              </w:rPr>
            </w:pPr>
            <w:r>
              <w:rPr>
                <w:rFonts w:eastAsia="宋体"/>
                <w:sz w:val="21"/>
                <w:szCs w:val="21"/>
              </w:rPr>
              <w:t>75</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28</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地表水优于</w:t>
            </w:r>
            <w:r>
              <w:rPr>
                <w:rFonts w:ascii="宋体" w:hAnsi="宋体" w:eastAsia="宋体"/>
                <w:sz w:val="21"/>
                <w:szCs w:val="21"/>
              </w:rPr>
              <w:t>Ⅲ</w:t>
            </w:r>
            <w:r>
              <w:rPr>
                <w:rFonts w:hAnsi="宋体" w:eastAsia="宋体"/>
                <w:sz w:val="21"/>
                <w:szCs w:val="21"/>
              </w:rPr>
              <w:t>类</w:t>
            </w:r>
          </w:p>
          <w:p>
            <w:pPr>
              <w:snapToGrid/>
              <w:spacing w:line="300" w:lineRule="exact"/>
              <w:ind w:firstLine="0" w:firstLineChars="0"/>
              <w:jc w:val="center"/>
              <w:rPr>
                <w:rFonts w:eastAsia="宋体"/>
                <w:sz w:val="21"/>
                <w:szCs w:val="21"/>
              </w:rPr>
            </w:pPr>
            <w:r>
              <w:rPr>
                <w:rFonts w:hAnsi="宋体" w:eastAsia="宋体"/>
                <w:sz w:val="21"/>
                <w:szCs w:val="21"/>
              </w:rPr>
              <w:t>水质比例</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约束性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75</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restar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民</w:t>
            </w:r>
          </w:p>
          <w:p>
            <w:pPr>
              <w:snapToGrid/>
              <w:spacing w:line="300" w:lineRule="exact"/>
              <w:ind w:firstLine="0" w:firstLineChars="0"/>
              <w:jc w:val="center"/>
              <w:rPr>
                <w:rFonts w:eastAsia="宋体"/>
                <w:sz w:val="21"/>
                <w:szCs w:val="21"/>
              </w:rPr>
            </w:pPr>
            <w:r>
              <w:rPr>
                <w:rFonts w:hAnsi="宋体" w:eastAsia="宋体"/>
                <w:sz w:val="21"/>
                <w:szCs w:val="21"/>
              </w:rPr>
              <w:t>主</w:t>
            </w:r>
          </w:p>
          <w:p>
            <w:pPr>
              <w:snapToGrid/>
              <w:spacing w:line="300" w:lineRule="exact"/>
              <w:ind w:firstLine="0" w:firstLineChars="0"/>
              <w:jc w:val="center"/>
              <w:rPr>
                <w:rFonts w:eastAsia="宋体"/>
                <w:sz w:val="21"/>
                <w:szCs w:val="21"/>
              </w:rPr>
            </w:pPr>
            <w:r>
              <w:rPr>
                <w:rFonts w:hAnsi="宋体" w:eastAsia="宋体"/>
                <w:sz w:val="21"/>
                <w:szCs w:val="21"/>
              </w:rPr>
              <w:t>法</w:t>
            </w:r>
          </w:p>
          <w:p>
            <w:pPr>
              <w:snapToGrid/>
              <w:spacing w:line="300" w:lineRule="exact"/>
              <w:ind w:firstLine="0" w:firstLineChars="0"/>
              <w:jc w:val="center"/>
              <w:rPr>
                <w:rFonts w:eastAsia="宋体"/>
                <w:sz w:val="21"/>
                <w:szCs w:val="21"/>
              </w:rPr>
            </w:pPr>
            <w:r>
              <w:rPr>
                <w:rFonts w:hAnsi="宋体" w:eastAsia="宋体"/>
                <w:sz w:val="21"/>
                <w:szCs w:val="21"/>
              </w:rPr>
              <w:t>治</w:t>
            </w: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29</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法治建设满意度</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90</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30</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城乡和谐社区建设达标率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100</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31</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每万人拥有社会组织数</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个</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14.5</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32</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公众安全感</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90</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90</w:t>
            </w:r>
            <w:r>
              <w:rPr>
                <w:rFonts w:hAnsi="宋体" w:eastAsia="宋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34" w:type="pct"/>
            <w:vMerge w:val="continue"/>
            <w:tcMar>
              <w:left w:w="0" w:type="dxa"/>
              <w:right w:w="0" w:type="dxa"/>
            </w:tcMar>
            <w:vAlign w:val="center"/>
          </w:tcPr>
          <w:p>
            <w:pPr>
              <w:snapToGrid/>
              <w:spacing w:line="300" w:lineRule="exact"/>
              <w:ind w:firstLine="0" w:firstLineChars="0"/>
              <w:jc w:val="center"/>
              <w:rPr>
                <w:rFonts w:eastAsia="宋体"/>
                <w:sz w:val="21"/>
                <w:szCs w:val="21"/>
              </w:rPr>
            </w:pPr>
          </w:p>
        </w:tc>
        <w:tc>
          <w:tcPr>
            <w:tcW w:w="338"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33</w:t>
            </w:r>
          </w:p>
        </w:tc>
        <w:tc>
          <w:tcPr>
            <w:tcW w:w="1608" w:type="pct"/>
            <w:gridSpan w:val="2"/>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党风廉政建设满意率</w:t>
            </w:r>
          </w:p>
        </w:tc>
        <w:tc>
          <w:tcPr>
            <w:tcW w:w="482"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c>
          <w:tcPr>
            <w:tcW w:w="714" w:type="pct"/>
            <w:tcMar>
              <w:left w:w="0" w:type="dxa"/>
              <w:right w:w="0" w:type="dxa"/>
            </w:tcMar>
            <w:vAlign w:val="center"/>
          </w:tcPr>
          <w:p>
            <w:pPr>
              <w:snapToGrid/>
              <w:spacing w:line="300" w:lineRule="exact"/>
              <w:ind w:firstLine="0" w:firstLineChars="0"/>
              <w:jc w:val="center"/>
              <w:rPr>
                <w:rFonts w:eastAsia="宋体"/>
                <w:sz w:val="21"/>
                <w:szCs w:val="21"/>
              </w:rPr>
            </w:pPr>
            <w:r>
              <w:rPr>
                <w:rFonts w:hAnsi="宋体" w:eastAsia="宋体"/>
                <w:sz w:val="21"/>
                <w:szCs w:val="21"/>
              </w:rPr>
              <w:t>预期性</w:t>
            </w:r>
          </w:p>
        </w:tc>
        <w:tc>
          <w:tcPr>
            <w:tcW w:w="824"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85</w:t>
            </w:r>
            <w:r>
              <w:rPr>
                <w:rFonts w:hAnsi="宋体" w:eastAsia="宋体"/>
                <w:sz w:val="21"/>
                <w:szCs w:val="21"/>
              </w:rPr>
              <w:t>以上</w:t>
            </w:r>
          </w:p>
        </w:tc>
        <w:tc>
          <w:tcPr>
            <w:tcW w:w="696" w:type="pct"/>
            <w:tcMar>
              <w:left w:w="0" w:type="dxa"/>
              <w:right w:w="0" w:type="dxa"/>
            </w:tcMar>
            <w:vAlign w:val="center"/>
          </w:tcPr>
          <w:p>
            <w:pPr>
              <w:snapToGrid/>
              <w:spacing w:line="300" w:lineRule="exact"/>
              <w:ind w:firstLine="0" w:firstLineChars="0"/>
              <w:jc w:val="center"/>
              <w:rPr>
                <w:rFonts w:eastAsia="宋体"/>
                <w:sz w:val="21"/>
                <w:szCs w:val="21"/>
              </w:rPr>
            </w:pPr>
            <w:r>
              <w:rPr>
                <w:rFonts w:eastAsia="宋体"/>
                <w:sz w:val="21"/>
                <w:szCs w:val="21"/>
              </w:rPr>
              <w:t>-</w:t>
            </w:r>
          </w:p>
        </w:tc>
      </w:tr>
    </w:tbl>
    <w:p>
      <w:pPr>
        <w:pStyle w:val="5"/>
        <w:spacing w:before="312" w:after="156"/>
        <w:rPr>
          <w:rFonts w:ascii="Times New Roman" w:hAnsi="Times New Roman" w:eastAsia="黑体"/>
        </w:rPr>
      </w:pPr>
      <w:bookmarkStart w:id="4" w:name="_Toc3379"/>
      <w:r>
        <w:rPr>
          <w:rFonts w:ascii="Times New Roman" w:hAnsi="黑体" w:eastAsia="黑体"/>
        </w:rPr>
        <w:t>第二章</w:t>
      </w:r>
      <w:r>
        <w:rPr>
          <w:rFonts w:ascii="Times New Roman" w:hAnsi="Times New Roman" w:eastAsia="黑体"/>
        </w:rPr>
        <w:t xml:space="preserve"> </w:t>
      </w:r>
      <w:r>
        <w:rPr>
          <w:rFonts w:ascii="Times New Roman" w:hAnsi="黑体" w:eastAsia="黑体"/>
        </w:rPr>
        <w:t>发展环境</w:t>
      </w:r>
      <w:bookmarkEnd w:id="4"/>
    </w:p>
    <w:p>
      <w:pPr>
        <w:ind w:firstLine="640"/>
        <w:rPr>
          <w:szCs w:val="32"/>
        </w:rPr>
      </w:pPr>
      <w:r>
        <w:rPr>
          <w:szCs w:val="32"/>
        </w:rPr>
        <w:t>“</w:t>
      </w:r>
      <w:r>
        <w:rPr>
          <w:rFonts w:hAnsi="仿宋_GB2312"/>
          <w:szCs w:val="32"/>
        </w:rPr>
        <w:t>十四五</w:t>
      </w:r>
      <w:r>
        <w:rPr>
          <w:szCs w:val="32"/>
        </w:rPr>
        <w:t>”</w:t>
      </w:r>
      <w:r>
        <w:rPr>
          <w:rFonts w:hAnsi="仿宋_GB2312"/>
          <w:szCs w:val="32"/>
        </w:rPr>
        <w:t>时期，面对百年未有之大变局深度调整、百年未遇之大疫情严重冲击、百年奋斗目标迈向新阶段的新时代背景，钟楼总体上处于充满挑战的战略机遇期。</w:t>
      </w:r>
    </w:p>
    <w:p>
      <w:pPr>
        <w:ind w:firstLine="643"/>
      </w:pPr>
      <w:r>
        <w:rPr>
          <w:b/>
          <w:bCs/>
        </w:rPr>
        <w:t>从国际来看，</w:t>
      </w:r>
      <w:r>
        <w:t>新冠肺炎疫情促使大变局加速变化，经济全球化遭遇逆流，全球产业链供应链面临冲击，不稳定性不确定性明显增加，和平与发展仍是时代主题。新一轮科技革命和产业变革深入发展，数字经济将成为推动和引领发展的重要力量，全球重要生产网络区域内部循环更加强化。必须强化全球视野和前瞻思维，利用扎实产业基础抢抓产业链、供应链、价值链重构机遇，加快对外开放，深度融入全球创新链、国际经济循环圈，在新的国际坐标系中谋划更高质量发展。</w:t>
      </w:r>
    </w:p>
    <w:p>
      <w:pPr>
        <w:ind w:firstLine="643"/>
      </w:pPr>
      <w:r>
        <w:rPr>
          <w:b/>
          <w:bCs/>
        </w:rPr>
        <w:t>从国内来看</w:t>
      </w:r>
      <w:r>
        <w:t>，我国已转向高质量发展阶段，处在转变发展方式、优化经济结构、转换增长动力的攻坚期，社会主要矛盾发生变化带来新特征新要求，提升工业化城镇化质量、加快新旧动能转换、国家治理体系和治理能力现代化、生态优先绿色发展、构建国内国际双循环相互促进的新发展格局等要求也更为紧迫。尤其对大面积爆发的新冠肺炎疫情，加强新型公共安全风险防控、防灾减灾工作更加艰巨。必须深刻认识战略机遇期的内涵变化，准确把握构建新发展格局的重大取向，以我为主、自主谋划，在服务国家战略中提升城市能级、实现更大发展。</w:t>
      </w:r>
    </w:p>
    <w:p>
      <w:pPr>
        <w:ind w:firstLine="643"/>
      </w:pPr>
      <w:r>
        <w:rPr>
          <w:b/>
          <w:bCs/>
        </w:rPr>
        <w:t>从全市来看</w:t>
      </w:r>
      <w:r>
        <w:t>，“一带一路”交汇点建设、长江经济带建设、长三角区域一体化发展、苏南国家自主创新示范区建设、大运河文化带建设、苏锡常都市圈等国省区域战略在常州叠加融合，为常州在区域协作、协同创新、产业集群发展、重大基础设施布局、提升公共服务水平等方面提供了新的机遇和挑战。常州加快打造“国际化智造名城、长三角中轴枢纽”，钟楼必须扛起责任、贡献力量，把科技创新作为第一动能，把联动落实重大国家区域战略作为重要抓手，赢得新发展。</w:t>
      </w:r>
    </w:p>
    <w:p>
      <w:pPr>
        <w:ind w:firstLine="640"/>
      </w:pPr>
      <w:r>
        <w:t>站在新的历史起点上展望“十四五”发展，既要落实“争当表率、争做示范、走在前列”的指示要求，同时也要积极应对各项挑战与压力：一是以数字经济、人工智能为代表的新一轮科技革命和复杂国际形势变局，既迎来承接产业转移的新机会，又面临扩大开放难度增大和传统产业外移风险增加。二是我国经济稳中向好、长期向好的基本趋势没有变，但经济增长的下行压力将会进一步增大，同时国内国际双循环新格局加速形成，我区将面临经济转型的“阵痛”考验，用动能转换对冲产业转移、用自主创新对冲利润摊薄、用结构优化对冲贸易摩擦的挑战增加。三是钟楼地处上海都市圈、南京都市圈、苏锡常都市圈交汇区域，长三角区域一体化发展国家战略推动落实，有利于融入区域功能网络及产业链条，但作为中心城区，制造业发展空间有限，现代服务业、楼宇经济、总部经济等吸引力难以与北上广深等中心城市相竞争，面临发展被“跳过”和优质资源被“虹吸”的风险。四是随着大运河文化带建设的推进实施，钟楼有条件、有基础形成大运河文化保护传承利用和老城厢复兴的“常州样板”。五是随着五峰山大桥建成通车，常泰铁路、苏锡常快线和宁常高速加速推进，钟楼西部将形成区域大通道，有助于进一步拓展产业空间、提升基础设施、加深区域交流，打造长三角中轴枢纽新支点。六是作为常州城市核心拓展轴与开放合作创新带的交汇点，钟楼西接金坛，南北联动武进、新北，是消除常州地区发展差异，实现区域均衡的重要着力点。随着“西进融合”战略深入推进，钟楼将成为常州中心城区的新型高质平台、服务核心和创新策源地，成为常州向西、向南发展的桥头堡和先行军。</w:t>
      </w:r>
    </w:p>
    <w:p>
      <w:pPr>
        <w:ind w:firstLine="640"/>
      </w:pPr>
      <w:r>
        <w:t>面对国内外交织并存的机遇挑战，“十四五”时期和今后一个阶段钟楼仍将处于奋力赶超的关键期，“十四五”时期钟楼阶段特征总体上表现为“三个双重”：</w:t>
      </w:r>
    </w:p>
    <w:p>
      <w:pPr>
        <w:ind w:firstLine="643"/>
      </w:pPr>
      <w:r>
        <w:rPr>
          <w:b/>
          <w:bCs/>
        </w:rPr>
        <w:t>处于动能转换和效益提升的双重突破期。</w:t>
      </w:r>
      <w:r>
        <w:t>“十四五”时期经济工作的重点是巩固产业新动能、增强经济硬实力。既要提升经济总量、工业经济规模、企业数量质量，又要把“十三五”期间产业结构根本性重构和发展动能根本性转换的趋势巩固好、维护好、提升好，集中力量壮大“两新一智”特色主导产业，培育大数据、工业互联网等新兴产业，推动服务型经济的支撑作用持续加强，在结构调整中实现“稳”、在新旧动能转换中体现“进”、在发展质效中体现“高”。</w:t>
      </w:r>
    </w:p>
    <w:p>
      <w:pPr>
        <w:ind w:firstLine="643"/>
      </w:pPr>
      <w:r>
        <w:rPr>
          <w:b/>
          <w:bCs/>
        </w:rPr>
        <w:t>处于城区做优做精和城乡融合发展的双重深化期。</w:t>
      </w:r>
      <w:r>
        <w:t>落实老城厢复兴行动，聚焦文脉传承、商圈提升、夜市点靓、街巷换新、城市建管、5A景区创建，打造“</w:t>
      </w:r>
      <w:r>
        <w:rPr>
          <w:rFonts w:hAnsi="仿宋_GB2312"/>
        </w:rPr>
        <w:t>人文城厢</w:t>
      </w:r>
      <w:r>
        <w:t>”“</w:t>
      </w:r>
      <w:r>
        <w:rPr>
          <w:rFonts w:hAnsi="仿宋_GB2312"/>
        </w:rPr>
        <w:t>活力城厢</w:t>
      </w:r>
      <w:r>
        <w:t>”“</w:t>
      </w:r>
      <w:r>
        <w:rPr>
          <w:rFonts w:hAnsi="仿宋_GB2312"/>
        </w:rPr>
        <w:t>宜居城厢</w:t>
      </w:r>
      <w:r>
        <w:t>”“</w:t>
      </w:r>
      <w:r>
        <w:rPr>
          <w:rFonts w:hAnsi="仿宋_GB2312"/>
        </w:rPr>
        <w:t>品质城厢</w:t>
      </w:r>
      <w:r>
        <w:t>”。立足西进战略，推进城乡公共服务均衡化，推动城市与乡</w:t>
      </w:r>
      <w:r>
        <w:rPr>
          <w:rFonts w:hAnsi="仿宋_GB2312"/>
        </w:rPr>
        <w:t>村由</w:t>
      </w:r>
      <w:r>
        <w:t>“</w:t>
      </w:r>
      <w:r>
        <w:rPr>
          <w:rFonts w:hAnsi="仿宋_GB2312"/>
        </w:rPr>
        <w:t>形式融合</w:t>
      </w:r>
      <w:r>
        <w:t>”</w:t>
      </w:r>
      <w:r>
        <w:rPr>
          <w:rFonts w:hAnsi="仿宋_GB2312"/>
        </w:rPr>
        <w:t>到</w:t>
      </w:r>
      <w:r>
        <w:t>“</w:t>
      </w:r>
      <w:r>
        <w:rPr>
          <w:rFonts w:hAnsi="仿宋_GB2312"/>
        </w:rPr>
        <w:t>实质融合</w:t>
      </w:r>
      <w:r>
        <w:t>”</w:t>
      </w:r>
      <w:r>
        <w:rPr>
          <w:rFonts w:hAnsi="仿宋_GB2312"/>
        </w:rPr>
        <w:t>的进阶升华。</w:t>
      </w:r>
    </w:p>
    <w:p>
      <w:pPr>
        <w:ind w:firstLine="643"/>
      </w:pPr>
      <w:r>
        <w:rPr>
          <w:b/>
          <w:bCs/>
        </w:rPr>
        <w:t>处于全面深化改革和持续改善民生的双重关键期。</w:t>
      </w:r>
      <w:r>
        <w:t>全面深化改革已进入关键阶段，钟楼虽然具有扎实的产业基础、优秀的企业家和创业者队伍、良好的营商环境和浓厚的发展氛围，但一些深层次的矛盾和问题制约着经济社会迈上更高发展台阶。必须主动认识和把握发展规律，在危机中育新机，于变局中开新局，在深化国企改革、创建高新区、加快经开区的机制体制创新等事关全区发展大局的重点改革工作上取得新进展，在增进民生福祉的重要改革领域中取得新成效，持续激发高质量发展和社会主义现代化建设动力活力。</w:t>
      </w:r>
    </w:p>
    <w:p>
      <w:pPr>
        <w:ind w:firstLine="640"/>
      </w:pPr>
      <w:r>
        <w:t>同时应清醒看到，钟楼经济社会发展中一些不平衡、不协调、不充分、不可持续的深层次矛盾和问题尚未得到根本解决：发展质效还不够高，服务业对制造业的支撑作用尚未凸显，企业数量质量还不够多、不够优，园区综合效益水平仍然不高，财政收入和城乡居民增收的难度进一步加大。资源要素集聚不够，优质土地价值的开发利用不够，整理收储力度偏弱，研究政策、向上争取力度不够。城乡区域发展不够平衡，西进进展偏慢，老城厢发展活力不够。体制机制改革仍需进一步深化，经开区主阵地作用没有充分彰显，国有企业对区域发展没有形成有力支撑。外部同质化竞争压力较大，环境资源约束依然趋紧，发展特色和发展优势有待进一步提升。</w:t>
      </w:r>
    </w:p>
    <w:p>
      <w:pPr>
        <w:pStyle w:val="5"/>
        <w:spacing w:before="312" w:after="156"/>
        <w:rPr>
          <w:rFonts w:ascii="Times New Roman" w:hAnsi="Times New Roman" w:eastAsia="黑体"/>
        </w:rPr>
      </w:pPr>
      <w:bookmarkStart w:id="5" w:name="_Toc6179"/>
      <w:r>
        <w:rPr>
          <w:rFonts w:ascii="Times New Roman" w:hAnsi="黑体" w:eastAsia="黑体"/>
        </w:rPr>
        <w:t>第三章</w:t>
      </w:r>
      <w:r>
        <w:rPr>
          <w:rFonts w:ascii="Times New Roman" w:hAnsi="Times New Roman" w:eastAsia="黑体"/>
        </w:rPr>
        <w:t xml:space="preserve"> </w:t>
      </w:r>
      <w:r>
        <w:rPr>
          <w:rFonts w:ascii="Times New Roman" w:hAnsi="黑体" w:eastAsia="黑体"/>
        </w:rPr>
        <w:t>总体要求</w:t>
      </w:r>
      <w:bookmarkEnd w:id="5"/>
    </w:p>
    <w:p>
      <w:pPr>
        <w:pStyle w:val="6"/>
        <w:spacing w:before="156" w:after="156"/>
        <w:rPr>
          <w:rFonts w:eastAsia="楷体_GB2312"/>
          <w:b w:val="0"/>
          <w:bCs w:val="0"/>
        </w:rPr>
      </w:pPr>
      <w:bookmarkStart w:id="6" w:name="_Toc19208"/>
      <w:r>
        <w:rPr>
          <w:rFonts w:hAnsi="楷体_GB2312" w:eastAsia="楷体_GB2312"/>
          <w:b w:val="0"/>
          <w:bCs w:val="0"/>
        </w:rPr>
        <w:t>第一节</w:t>
      </w:r>
      <w:r>
        <w:rPr>
          <w:rFonts w:eastAsia="楷体_GB2312"/>
          <w:b w:val="0"/>
          <w:bCs w:val="0"/>
        </w:rPr>
        <w:t xml:space="preserve"> </w:t>
      </w:r>
      <w:r>
        <w:rPr>
          <w:rFonts w:hAnsi="楷体_GB2312" w:eastAsia="楷体_GB2312"/>
          <w:b w:val="0"/>
          <w:bCs w:val="0"/>
        </w:rPr>
        <w:t>指导思想</w:t>
      </w:r>
      <w:bookmarkEnd w:id="6"/>
    </w:p>
    <w:p>
      <w:pPr>
        <w:ind w:firstLine="640"/>
        <w:rPr>
          <w:szCs w:val="32"/>
        </w:rPr>
      </w:pPr>
      <w:r>
        <w:rPr>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全面落实习近平总书记重要讲话指示精神，统筹推进“五位一体”总体布局，协调推进“四个全面”战略布局。坚定不移贯彻新发展理念，以推动高质量发展为主题，以深化供给侧结构性改革为主线，以改革创新为根本动力，以满足人民日益增长的美好生活需要为根本目的，以“争当表率、争做示范、走在前列”为总纲领、总命题、总要求，大力弘扬“勇争一流、耻为二手”的常州精神，深化“攻坚克难、苦干实干”的钟楼实践，围绕“中轴枢纽支点、都市智造高地、运河文创名区、生态宜居家园”的功能定位，着力推进“老城复兴、西进提速，东西融合、产城一体”，为全面建设社会主义现代化开好局、起好步。</w:t>
      </w:r>
    </w:p>
    <w:p>
      <w:pPr>
        <w:ind w:firstLine="618"/>
        <w:rPr>
          <w:rFonts w:eastAsia="楷体_GB2312"/>
          <w:b/>
          <w:spacing w:val="-6"/>
          <w:szCs w:val="32"/>
        </w:rPr>
      </w:pPr>
      <w:r>
        <w:rPr>
          <w:rFonts w:eastAsia="楷体_GB2312"/>
          <w:b/>
          <w:spacing w:val="-6"/>
          <w:szCs w:val="32"/>
        </w:rPr>
        <w:t>必须遵循的原则：</w:t>
      </w:r>
    </w:p>
    <w:p>
      <w:pPr>
        <w:ind w:firstLine="643"/>
        <w:rPr>
          <w:szCs w:val="32"/>
        </w:rPr>
      </w:pPr>
      <w:r>
        <w:rPr>
          <w:b/>
          <w:bCs/>
          <w:szCs w:val="32"/>
        </w:rPr>
        <w:t>——坚持党的全面领导。</w:t>
      </w:r>
      <w:r>
        <w:rPr>
          <w:szCs w:val="32"/>
        </w:rPr>
        <w:t>提高政治站位，把准政治方向，全面贯彻落实党中央决策部署，有令即行、有禁即止，不断提高贯彻新发展理念、构建新发展格局的能力和水平，为实现高质量发展提供根本保证。</w:t>
      </w:r>
    </w:p>
    <w:p>
      <w:pPr>
        <w:ind w:firstLine="643"/>
        <w:rPr>
          <w:szCs w:val="32"/>
        </w:rPr>
      </w:pPr>
      <w:r>
        <w:rPr>
          <w:b/>
          <w:bCs/>
          <w:szCs w:val="32"/>
        </w:rPr>
        <w:t>——坚持人民至上。</w:t>
      </w:r>
      <w:r>
        <w:rPr>
          <w:szCs w:val="32"/>
        </w:rPr>
        <w:t>始终把人民立场作为根本立场，把为人民谋幸福作为根本使命，践行全心全意为人民服务的根本宗旨，贯彻群众路线，促进社会公平，增进民生福祉，不断满足人民群众对美好生活的向往。</w:t>
      </w:r>
    </w:p>
    <w:p>
      <w:pPr>
        <w:ind w:firstLine="643"/>
        <w:rPr>
          <w:bCs/>
          <w:szCs w:val="32"/>
        </w:rPr>
      </w:pPr>
      <w:r>
        <w:rPr>
          <w:b/>
          <w:bCs/>
          <w:szCs w:val="32"/>
        </w:rPr>
        <w:t>——坚持发展为要。</w:t>
      </w:r>
      <w:r>
        <w:rPr>
          <w:bCs/>
          <w:szCs w:val="32"/>
        </w:rPr>
        <w:t>把新发展理念贯穿发展全过程和各领域，摒弃一切杂念，聚精会神谋发展，把全部的心思用在研究破解发展难题、增强发展动力、厚植发展优势的关键之处，全力以赴推动钟楼高质量发展走在前列。</w:t>
      </w:r>
    </w:p>
    <w:p>
      <w:pPr>
        <w:ind w:firstLine="643"/>
        <w:rPr>
          <w:bCs/>
          <w:szCs w:val="32"/>
        </w:rPr>
      </w:pPr>
      <w:r>
        <w:rPr>
          <w:b/>
          <w:bCs/>
          <w:szCs w:val="32"/>
        </w:rPr>
        <w:t>——坚持深化改革。</w:t>
      </w:r>
      <w:r>
        <w:rPr>
          <w:bCs/>
          <w:szCs w:val="32"/>
        </w:rPr>
        <w:t>坚定不移推进改革，围绕发展重点领域和关键环节，着力补短板、强弱项、激活力、抓落实，破除制约高质量发展、高品质生活的体制机制障碍，推动各方面制度更加成熟，推动改革更好地服务经济社会发展大局。</w:t>
      </w:r>
    </w:p>
    <w:p>
      <w:pPr>
        <w:ind w:firstLine="643"/>
        <w:rPr>
          <w:szCs w:val="32"/>
        </w:rPr>
      </w:pPr>
      <w:r>
        <w:rPr>
          <w:b/>
          <w:bCs/>
          <w:szCs w:val="32"/>
        </w:rPr>
        <w:t>——坚持系统谋划。</w:t>
      </w:r>
      <w:r>
        <w:rPr>
          <w:szCs w:val="32"/>
        </w:rPr>
        <w:t>加强前瞻性思考、全局性谋划、战略性布局、整体性推进，把握好近期与远期、危机与机遇、局部与整体的辩证关系，坚持在规划的指引和约束下推进工作，形成围绕中心、各尽其责、协同互补的工作格局。</w:t>
      </w:r>
    </w:p>
    <w:p>
      <w:pPr>
        <w:pStyle w:val="6"/>
        <w:spacing w:before="156" w:after="156"/>
        <w:rPr>
          <w:rFonts w:eastAsia="楷体_GB2312"/>
          <w:b w:val="0"/>
          <w:bCs w:val="0"/>
        </w:rPr>
      </w:pPr>
      <w:bookmarkStart w:id="7" w:name="_Toc21229"/>
      <w:r>
        <w:rPr>
          <w:rFonts w:hAnsi="楷体_GB2312" w:eastAsia="楷体_GB2312"/>
          <w:b w:val="0"/>
          <w:bCs w:val="0"/>
        </w:rPr>
        <w:t>第二节</w:t>
      </w:r>
      <w:r>
        <w:rPr>
          <w:rFonts w:eastAsia="楷体_GB2312"/>
          <w:b w:val="0"/>
          <w:bCs w:val="0"/>
        </w:rPr>
        <w:t xml:space="preserve"> </w:t>
      </w:r>
      <w:r>
        <w:rPr>
          <w:rFonts w:hAnsi="楷体_GB2312" w:eastAsia="楷体_GB2312"/>
          <w:b w:val="0"/>
          <w:bCs w:val="0"/>
        </w:rPr>
        <w:t>二〇三五年远景目标</w:t>
      </w:r>
      <w:bookmarkEnd w:id="7"/>
    </w:p>
    <w:p>
      <w:pPr>
        <w:ind w:firstLine="640"/>
        <w:rPr>
          <w:bCs/>
          <w:szCs w:val="32"/>
        </w:rPr>
      </w:pPr>
      <w:r>
        <w:rPr>
          <w:bCs/>
          <w:szCs w:val="32"/>
        </w:rPr>
        <w:t>落实党的十九大提出的分两步走全面建成社会主义现代化强国的战略安排，结合省市目标，二〇三五年钟楼经济社会发展的远景目标是：</w:t>
      </w:r>
    </w:p>
    <w:p>
      <w:pPr>
        <w:ind w:firstLine="640"/>
      </w:pPr>
      <w:r>
        <w:rPr>
          <w:bCs/>
          <w:szCs w:val="32"/>
        </w:rPr>
        <w:t>率先基本实现现代化，全面建成“中轴枢纽支点、都市智造高地、运河文创名区、生态宜居家园”。综合实力不断增强，人均地区生产总值达到发达经济体水平，基本实现新型工业化、信息化、城镇化、农业农村现代化，建成现代化经济体系；人民生活稳步改善，共同富裕率先取得实质性重大进展，城乡区域发展和居民生活水平均衡度持续领先，公共服务均等覆盖，卫生健康、教育率先实现现代化，体育强区建设成效显著，养老服务辐射力加强；生态环境显著优化，资源能源集约利用水平有效提升，基本实现人与自然和谐共生的现代化；国民素质和社会文明程度达到新高度，文化软实力全面增强，区域治理体系和治理能力现代化基本实现，经济强、百姓富、环境美、社会文明程度高的现代化图景在钟楼成为现实</w:t>
      </w:r>
      <w:r>
        <w:t>。</w:t>
      </w:r>
    </w:p>
    <w:p>
      <w:pPr>
        <w:pStyle w:val="6"/>
        <w:spacing w:before="156" w:after="156"/>
        <w:rPr>
          <w:rFonts w:eastAsia="楷体_GB2312"/>
          <w:b w:val="0"/>
          <w:bCs w:val="0"/>
        </w:rPr>
      </w:pPr>
      <w:bookmarkStart w:id="8" w:name="_Toc18027"/>
      <w:r>
        <w:rPr>
          <w:rFonts w:hAnsi="楷体_GB2312" w:eastAsia="楷体_GB2312"/>
          <w:b w:val="0"/>
          <w:bCs w:val="0"/>
        </w:rPr>
        <w:t>第三节</w:t>
      </w:r>
      <w:r>
        <w:rPr>
          <w:rFonts w:eastAsia="楷体_GB2312"/>
          <w:b w:val="0"/>
          <w:bCs w:val="0"/>
        </w:rPr>
        <w:t xml:space="preserve"> </w:t>
      </w:r>
      <w:r>
        <w:rPr>
          <w:rFonts w:hAnsi="楷体_GB2312" w:eastAsia="楷体_GB2312"/>
          <w:b w:val="0"/>
          <w:bCs w:val="0"/>
        </w:rPr>
        <w:t>空间格局</w:t>
      </w:r>
      <w:bookmarkEnd w:id="8"/>
    </w:p>
    <w:p>
      <w:pPr>
        <w:ind w:firstLine="640"/>
        <w:rPr>
          <w:szCs w:val="32"/>
        </w:rPr>
      </w:pPr>
      <w:r>
        <w:t>立足推动区域协调发展与更好服务国家重大战略，围绕建设“</w:t>
      </w:r>
      <w:r>
        <w:rPr>
          <w:bCs/>
          <w:szCs w:val="32"/>
        </w:rPr>
        <w:t>中轴枢纽支点、</w:t>
      </w:r>
      <w:r>
        <w:t>都市智造高地、运河文创名区、生态宜居家园”目标，遵循“生产空间集约高效、生活空间宜居适度、生态空间水清岸绿”的可持续发展原则，贯彻落实主体功能区制度，加快构建“一轴一核心，一环多组团”的高品质空间格局：</w:t>
      </w:r>
      <w:r>
        <w:rPr>
          <w:b/>
          <w:bCs/>
        </w:rPr>
        <w:t>一轴</w:t>
      </w:r>
      <w:r>
        <w:t>即贯穿常州主城的东西向市级常金发展轴，也是引领钟楼区西进的发展轴；</w:t>
      </w:r>
      <w:r>
        <w:rPr>
          <w:b/>
          <w:bCs/>
        </w:rPr>
        <w:t>一核心</w:t>
      </w:r>
      <w:r>
        <w:t>即围绕青枫公园打造引领钟楼发展的核心，集聚区级行政、文体、商业商务及游憩等复合功能；</w:t>
      </w:r>
      <w:r>
        <w:rPr>
          <w:b/>
          <w:bCs/>
        </w:rPr>
        <w:t>一环</w:t>
      </w:r>
      <w:r>
        <w:t>即依托老运河、新运河、南运河及童子河打造的水环，沿河提升景观，建设连续的慢行步道，串联多彩的城市公共服务节点，成为激活产业创新、促进居民共享的创享水环；</w:t>
      </w:r>
      <w:r>
        <w:rPr>
          <w:b/>
          <w:bCs/>
        </w:rPr>
        <w:t>多组团</w:t>
      </w:r>
      <w:r>
        <w:t>即多个以产业、生活及综合功能等主导的大小组团。</w:t>
      </w:r>
      <w:r>
        <w:rPr>
          <w:rFonts w:hAnsi="仿宋_GB2312"/>
          <w:szCs w:val="32"/>
        </w:rPr>
        <w:t>自东向西打造</w:t>
      </w:r>
      <w:r>
        <w:rPr>
          <w:rFonts w:hAnsi="仿宋_GB2312"/>
          <w:b/>
          <w:bCs/>
          <w:szCs w:val="32"/>
        </w:rPr>
        <w:t>老城区、经开区、高新区、生态高教区</w:t>
      </w:r>
      <w:r>
        <w:rPr>
          <w:rFonts w:hAnsi="仿宋_GB2312"/>
          <w:szCs w:val="32"/>
        </w:rPr>
        <w:t>四大功能区，统筹城乡发展空间，全面优化资源配置，完善生产、生活、生态用地布局，分区分类做好国土空间开发指引与管控，描绘全区国土空间开发保护蓝图。</w:t>
      </w:r>
    </w:p>
    <w:tbl>
      <w:tblPr>
        <w:tblStyle w:val="17"/>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8"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专栏3-1 各板块定位和发展方向</w:t>
            </w:r>
          </w:p>
          <w:p>
            <w:pPr>
              <w:spacing w:line="440" w:lineRule="exact"/>
              <w:ind w:firstLine="0" w:firstLineChars="0"/>
              <w:rPr>
                <w:bCs/>
                <w:kern w:val="0"/>
                <w:sz w:val="28"/>
                <w:szCs w:val="28"/>
              </w:rPr>
            </w:pPr>
            <w:r>
              <w:rPr>
                <w:rFonts w:hAnsi="仿宋_GB2312"/>
                <w:b/>
                <w:kern w:val="0"/>
                <w:sz w:val="28"/>
                <w:szCs w:val="28"/>
              </w:rPr>
              <w:t>经开区（新闸街道、北港街道）：</w:t>
            </w:r>
            <w:r>
              <w:rPr>
                <w:rFonts w:hAnsi="仿宋_GB2312"/>
                <w:bCs/>
                <w:kern w:val="0"/>
                <w:sz w:val="28"/>
                <w:szCs w:val="28"/>
              </w:rPr>
              <w:t>创新发展活力区、产城融合样板区、智能制造领航区、数字经济引领区、高端物流示范区。</w:t>
            </w:r>
          </w:p>
          <w:p>
            <w:pPr>
              <w:spacing w:line="440" w:lineRule="exact"/>
              <w:ind w:firstLine="0" w:firstLineChars="0"/>
              <w:rPr>
                <w:b/>
                <w:kern w:val="0"/>
                <w:sz w:val="28"/>
                <w:szCs w:val="28"/>
              </w:rPr>
            </w:pPr>
            <w:r>
              <w:rPr>
                <w:b/>
                <w:bCs/>
                <w:kern w:val="0"/>
                <w:sz w:val="28"/>
                <w:szCs w:val="28"/>
              </w:rPr>
              <w:t>高新园（邹区镇）</w:t>
            </w:r>
            <w:r>
              <w:rPr>
                <w:rFonts w:hAnsi="仿宋_GB2312"/>
                <w:b/>
                <w:kern w:val="0"/>
                <w:sz w:val="28"/>
                <w:szCs w:val="28"/>
              </w:rPr>
              <w:t>：</w:t>
            </w:r>
            <w:r>
              <w:rPr>
                <w:rFonts w:hAnsi="仿宋_GB2312"/>
                <w:bCs/>
                <w:kern w:val="0"/>
                <w:sz w:val="28"/>
                <w:szCs w:val="28"/>
              </w:rPr>
              <w:t>高质量发展先行区、新兴产业集聚区、创新驱动示范区、转型升级引领区。</w:t>
            </w:r>
          </w:p>
          <w:p>
            <w:pPr>
              <w:spacing w:line="440" w:lineRule="exact"/>
              <w:ind w:firstLine="0" w:firstLineChars="0"/>
              <w:rPr>
                <w:b/>
                <w:kern w:val="0"/>
                <w:sz w:val="28"/>
                <w:szCs w:val="28"/>
              </w:rPr>
            </w:pPr>
            <w:r>
              <w:rPr>
                <w:rFonts w:hAnsi="仿宋_GB2312"/>
                <w:b/>
                <w:kern w:val="0"/>
                <w:sz w:val="28"/>
                <w:szCs w:val="28"/>
              </w:rPr>
              <w:t>五星街道：</w:t>
            </w:r>
            <w:r>
              <w:rPr>
                <w:rFonts w:hAnsi="仿宋_GB2312"/>
                <w:bCs/>
                <w:kern w:val="0"/>
                <w:sz w:val="28"/>
                <w:szCs w:val="28"/>
              </w:rPr>
              <w:t>转型升级新样板、高品质社区新标杆、文商旅发展新高地</w:t>
            </w:r>
            <w:r>
              <w:rPr>
                <w:rFonts w:hAnsi="仿宋_GB2312"/>
                <w:kern w:val="0"/>
                <w:sz w:val="28"/>
                <w:szCs w:val="28"/>
              </w:rPr>
              <w:t>。</w:t>
            </w:r>
          </w:p>
          <w:p>
            <w:pPr>
              <w:spacing w:line="440" w:lineRule="exact"/>
              <w:ind w:firstLine="0" w:firstLineChars="0"/>
              <w:rPr>
                <w:b/>
                <w:kern w:val="0"/>
                <w:sz w:val="28"/>
                <w:szCs w:val="28"/>
              </w:rPr>
            </w:pPr>
            <w:r>
              <w:rPr>
                <w:rFonts w:hAnsi="仿宋_GB2312"/>
                <w:b/>
                <w:kern w:val="0"/>
                <w:sz w:val="28"/>
                <w:szCs w:val="28"/>
              </w:rPr>
              <w:t>永红街道：</w:t>
            </w:r>
            <w:r>
              <w:rPr>
                <w:rFonts w:hAnsi="仿宋_GB2312"/>
                <w:bCs/>
                <w:kern w:val="0"/>
                <w:sz w:val="28"/>
                <w:szCs w:val="28"/>
              </w:rPr>
              <w:t>生态宜居高品质生活区、荆川主题文化区、休闲体育活力区。</w:t>
            </w:r>
          </w:p>
          <w:p>
            <w:pPr>
              <w:spacing w:line="440" w:lineRule="exact"/>
              <w:ind w:firstLine="0" w:firstLineChars="0"/>
              <w:rPr>
                <w:b/>
                <w:kern w:val="0"/>
                <w:sz w:val="28"/>
                <w:szCs w:val="28"/>
              </w:rPr>
            </w:pPr>
            <w:r>
              <w:rPr>
                <w:rFonts w:hAnsi="仿宋_GB2312"/>
                <w:b/>
                <w:kern w:val="0"/>
                <w:sz w:val="28"/>
                <w:szCs w:val="28"/>
              </w:rPr>
              <w:t>西林街道：</w:t>
            </w:r>
            <w:r>
              <w:rPr>
                <w:rFonts w:hAnsi="仿宋_GB2312"/>
                <w:bCs/>
                <w:kern w:val="0"/>
                <w:sz w:val="28"/>
                <w:szCs w:val="28"/>
              </w:rPr>
              <w:t>未来教育港、创新智造带、城际新枢纽、中吴宜居地。</w:t>
            </w:r>
          </w:p>
          <w:p>
            <w:pPr>
              <w:spacing w:line="440" w:lineRule="exact"/>
              <w:ind w:firstLine="0" w:firstLineChars="0"/>
              <w:rPr>
                <w:bCs/>
                <w:kern w:val="0"/>
                <w:sz w:val="28"/>
                <w:szCs w:val="28"/>
              </w:rPr>
            </w:pPr>
            <w:r>
              <w:rPr>
                <w:rFonts w:hAnsi="仿宋_GB2312"/>
                <w:b/>
                <w:kern w:val="0"/>
                <w:sz w:val="28"/>
                <w:szCs w:val="28"/>
              </w:rPr>
              <w:t>南大街街道、荷花池街道：</w:t>
            </w:r>
            <w:r>
              <w:rPr>
                <w:rFonts w:hAnsi="仿宋_GB2312"/>
                <w:bCs/>
                <w:kern w:val="0"/>
                <w:sz w:val="28"/>
                <w:szCs w:val="28"/>
              </w:rPr>
              <w:t>活力老城厢、精致会客厅。</w:t>
            </w:r>
          </w:p>
        </w:tc>
      </w:tr>
    </w:tbl>
    <w:p>
      <w:pPr>
        <w:pStyle w:val="6"/>
        <w:spacing w:before="156" w:after="156"/>
        <w:rPr>
          <w:rFonts w:eastAsia="楷体_GB2312"/>
          <w:b w:val="0"/>
          <w:bCs w:val="0"/>
        </w:rPr>
      </w:pPr>
      <w:bookmarkStart w:id="9" w:name="_Toc17308"/>
      <w:r>
        <w:rPr>
          <w:rFonts w:hAnsi="楷体_GB2312" w:eastAsia="楷体_GB2312"/>
          <w:b w:val="0"/>
          <w:bCs w:val="0"/>
        </w:rPr>
        <w:t>第四节</w:t>
      </w:r>
      <w:r>
        <w:rPr>
          <w:rFonts w:eastAsia="楷体_GB2312"/>
          <w:b w:val="0"/>
          <w:bCs w:val="0"/>
        </w:rPr>
        <w:t xml:space="preserve"> “</w:t>
      </w:r>
      <w:r>
        <w:rPr>
          <w:rFonts w:hAnsi="楷体_GB2312" w:eastAsia="楷体_GB2312"/>
          <w:b w:val="0"/>
          <w:bCs w:val="0"/>
        </w:rPr>
        <w:t>十四五</w:t>
      </w:r>
      <w:r>
        <w:rPr>
          <w:rFonts w:eastAsia="楷体_GB2312"/>
          <w:b w:val="0"/>
          <w:bCs w:val="0"/>
        </w:rPr>
        <w:t>”</w:t>
      </w:r>
      <w:r>
        <w:rPr>
          <w:rFonts w:hAnsi="楷体_GB2312" w:eastAsia="楷体_GB2312"/>
          <w:b w:val="0"/>
          <w:bCs w:val="0"/>
        </w:rPr>
        <w:t>经济社会发展目标</w:t>
      </w:r>
      <w:bookmarkEnd w:id="9"/>
    </w:p>
    <w:p>
      <w:pPr>
        <w:ind w:firstLine="640"/>
      </w:pPr>
      <w:r>
        <w:t>按照2035年远景目标的阶段性部署安排，“十四五”时期，紧扣社会主义现代化建设和高质量发展内涵要求，着力实现“量质齐升”，在“量”上争取主要经济指标增速走在全市前列，在“质”上力争高质量发展综合指数在全省城区考核排名中持续进位，将钟楼打造成“</w:t>
      </w:r>
      <w:r>
        <w:rPr>
          <w:bCs/>
          <w:szCs w:val="32"/>
        </w:rPr>
        <w:t>中轴枢纽支点、</w:t>
      </w:r>
      <w:r>
        <w:t>都市智造高地、运河文创名区、生态宜居家园”，推动经济社会发展迈向新的更高台阶。</w:t>
      </w:r>
    </w:p>
    <w:p>
      <w:pPr>
        <w:ind w:firstLine="643"/>
      </w:pPr>
      <w:r>
        <w:rPr>
          <w:b/>
          <w:bCs/>
        </w:rPr>
        <w:t>——经济高质量发展取得新成效。</w:t>
      </w:r>
      <w:r>
        <w:t>在质量效益明显提升的基础上实现经济持续健康发展。力争地区生产总值跨上1000亿台阶；一般公共预算收入超70亿元。固定资产投资超1200亿元，高技术产业投资占固定资产投资比重超12%，企业研发经费支出占GDP比重超3%，高新技术企业和上市企业数量实现倍增。</w:t>
      </w:r>
    </w:p>
    <w:p>
      <w:pPr>
        <w:ind w:firstLine="643"/>
        <w:rPr>
          <w:b/>
          <w:bCs/>
        </w:rPr>
      </w:pPr>
      <w:r>
        <w:rPr>
          <w:b/>
          <w:bCs/>
        </w:rPr>
        <w:t>——美丽钟楼建设实现新进步。</w:t>
      </w:r>
      <w:r>
        <w:t>资源利用更加节约高效，生态治理水平明显提升，城乡人居环境显著改善。PM</w:t>
      </w:r>
      <w:r>
        <w:rPr>
          <w:vertAlign w:val="subscript"/>
        </w:rPr>
        <w:t>2.5</w:t>
      </w:r>
      <w:r>
        <w:t>浓度降低11.6%以上，空气质量优良天数比例达到78%，地表水国考断面水质达到或优于Ⅲ类比例100%。国土开发强度得到有效控制，单位地区生产总值建设用地占用面积下降27.5%左右。</w:t>
      </w:r>
    </w:p>
    <w:p>
      <w:pPr>
        <w:ind w:firstLine="643"/>
      </w:pPr>
      <w:r>
        <w:rPr>
          <w:b/>
          <w:bCs/>
        </w:rPr>
        <w:t>——人民生活品质得到新优化。</w:t>
      </w:r>
      <w:r>
        <w:t>公共服务产品共建能力和共享水平进一步增强，“八个更”取得更大进展。城乡居民人均可支配收入增长高于经济增速。实现更充分更高质量就业，城镇调查失业率控制在3%以内。脱贫攻坚成果巩固拓展。教育、医疗、文化、体育、养老、住房等公共服务供给质量显著提升，义务教育优质均衡比例达到87.5%，居民健康素养达到国内先进水平。</w:t>
      </w:r>
      <w:r>
        <w:rPr>
          <w:bCs/>
          <w:szCs w:val="32"/>
        </w:rPr>
        <w:t>反映强烈的民生问题持续排查解决，促进人的全面发展和社会全面进步。</w:t>
      </w:r>
    </w:p>
    <w:p>
      <w:pPr>
        <w:ind w:firstLine="643"/>
      </w:pPr>
      <w:r>
        <w:rPr>
          <w:b/>
          <w:bCs/>
        </w:rPr>
        <w:t>——社会文明程度得到新提高。</w:t>
      </w:r>
      <w:r>
        <w:t>社会主义核心价值观深入人心，钟楼精神凝聚力持续彰显，社会文明测评指数全市领先。公共文化服务体系更加健全，人民群众精神文化生活更加丰富，居民综合阅读率达到80%以上。文化产业发展提质增效，文化创意、文旅融合具有突出影响力，大运河文化带建设走在全国全省前列。</w:t>
      </w:r>
    </w:p>
    <w:p>
      <w:pPr>
        <w:ind w:firstLine="643"/>
      </w:pPr>
      <w:r>
        <w:rPr>
          <w:b/>
          <w:bCs/>
        </w:rPr>
        <w:t>——改革开放合作释放新红利。</w:t>
      </w:r>
      <w:r>
        <w:t>高质量发展体制机制更加健全，重要领域和关键环节改革集成取得突破性进展，营商环境达到国内一流水平，要素市场化配置改革取得更大突破，市场主体更加充满活力。开放型经济迈出新步伐，开放载体平台能级全面提升，年度使用外资额达到2.5亿美元，外贸结构不断优化，外贸品牌竞争优势不断增强。以国际产能和装备制造合作为重点，有序推动建设一带一路地区境外生产基地，境外投资合作水平迈上新台阶。</w:t>
      </w:r>
    </w:p>
    <w:p>
      <w:pPr>
        <w:ind w:firstLine="643"/>
      </w:pPr>
      <w:r>
        <w:rPr>
          <w:b/>
          <w:bCs/>
        </w:rPr>
        <w:t>——现代化治理水平实现新提升。</w:t>
      </w:r>
      <w:r>
        <w:t>法治钟楼、法治政府、法治社会一体建设，社会公平正义进一步彰显。共建共治共享的城市治理格局基本形成，基层治理更加高效，防范化解重大风险体制机制不断健全，突发公共事件应急处置能力显著增强，发展安全保障更加有力，人民群众安全感持续提升，区域治理体系和治理能力现代化走在全省前列，公众安全感达到98%以上。</w:t>
      </w:r>
    </w:p>
    <w:p>
      <w:pPr>
        <w:ind w:firstLine="0" w:firstLineChars="0"/>
        <w:jc w:val="center"/>
        <w:rPr>
          <w:b/>
          <w:bCs/>
          <w:sz w:val="28"/>
          <w:szCs w:val="22"/>
        </w:rPr>
      </w:pPr>
      <w:r>
        <w:rPr>
          <w:b/>
          <w:bCs/>
          <w:sz w:val="28"/>
          <w:szCs w:val="22"/>
        </w:rPr>
        <w:t>钟楼区“十四五”经济社会发展指标体系表</w:t>
      </w:r>
    </w:p>
    <w:tbl>
      <w:tblPr>
        <w:tblStyle w:val="16"/>
        <w:tblW w:w="4998" w:type="pct"/>
        <w:tblInd w:w="0" w:type="dxa"/>
        <w:tblLayout w:type="autofit"/>
        <w:tblCellMar>
          <w:top w:w="0" w:type="dxa"/>
          <w:left w:w="0" w:type="dxa"/>
          <w:bottom w:w="0" w:type="dxa"/>
          <w:right w:w="0" w:type="dxa"/>
        </w:tblCellMar>
      </w:tblPr>
      <w:tblGrid>
        <w:gridCol w:w="1212"/>
        <w:gridCol w:w="738"/>
        <w:gridCol w:w="3053"/>
        <w:gridCol w:w="1206"/>
        <w:gridCol w:w="1476"/>
        <w:gridCol w:w="1181"/>
      </w:tblGrid>
      <w:tr>
        <w:tblPrEx>
          <w:tblCellMar>
            <w:top w:w="0" w:type="dxa"/>
            <w:left w:w="0" w:type="dxa"/>
            <w:bottom w:w="0" w:type="dxa"/>
            <w:right w:w="0" w:type="dxa"/>
          </w:tblCellMar>
        </w:tblPrEx>
        <w:trPr>
          <w:trHeight w:val="482" w:hRule="atLeast"/>
          <w:tblHeader/>
        </w:trPr>
        <w:tc>
          <w:tcPr>
            <w:tcW w:w="683"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类别</w:t>
            </w: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序号</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单项指标</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计量单位</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300" w:lineRule="exact"/>
              <w:ind w:firstLine="0" w:firstLineChars="0"/>
              <w:jc w:val="center"/>
              <w:rPr>
                <w:rFonts w:eastAsia="宋体"/>
                <w:b/>
                <w:bCs/>
                <w:sz w:val="21"/>
                <w:szCs w:val="21"/>
              </w:rPr>
            </w:pPr>
            <w:r>
              <w:rPr>
                <w:rFonts w:eastAsia="宋体"/>
                <w:b/>
                <w:bCs/>
                <w:sz w:val="21"/>
                <w:szCs w:val="21"/>
              </w:rPr>
              <w:t>2025</w:t>
            </w:r>
            <w:r>
              <w:rPr>
                <w:rFonts w:hAnsi="宋体" w:eastAsia="宋体"/>
                <w:b/>
                <w:bCs/>
                <w:sz w:val="21"/>
                <w:szCs w:val="21"/>
              </w:rPr>
              <w:t>年目标</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300" w:lineRule="exact"/>
              <w:ind w:firstLine="0" w:firstLineChars="0"/>
              <w:jc w:val="center"/>
              <w:rPr>
                <w:rFonts w:eastAsia="宋体"/>
                <w:b/>
                <w:bCs/>
                <w:sz w:val="21"/>
                <w:szCs w:val="21"/>
              </w:rPr>
            </w:pPr>
            <w:r>
              <w:rPr>
                <w:rFonts w:hAnsi="宋体" w:eastAsia="宋体"/>
                <w:b/>
                <w:bCs/>
                <w:sz w:val="21"/>
                <w:szCs w:val="21"/>
              </w:rPr>
              <w:t>指标属性</w:t>
            </w:r>
          </w:p>
        </w:tc>
      </w:tr>
      <w:tr>
        <w:tblPrEx>
          <w:tblCellMar>
            <w:top w:w="0" w:type="dxa"/>
            <w:left w:w="0" w:type="dxa"/>
            <w:bottom w:w="0" w:type="dxa"/>
            <w:right w:w="0" w:type="dxa"/>
          </w:tblCellMar>
        </w:tblPrEx>
        <w:trPr>
          <w:trHeight w:val="482" w:hRule="atLeast"/>
        </w:trPr>
        <w:tc>
          <w:tcPr>
            <w:tcW w:w="683" w:type="pct"/>
            <w:vMerge w:val="restar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经济发展</w:t>
            </w: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地区生产总值</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亿元</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1000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2</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一般公共预算收入</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亿元</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70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3</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税收占一般公共预算收入比重</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85</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4</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工业战略性新兴产业产值占</w:t>
            </w:r>
          </w:p>
          <w:p>
            <w:pPr>
              <w:snapToGrid/>
              <w:spacing w:line="240" w:lineRule="exact"/>
              <w:ind w:firstLine="0" w:firstLineChars="0"/>
              <w:jc w:val="center"/>
              <w:rPr>
                <w:rFonts w:eastAsia="宋体"/>
                <w:sz w:val="21"/>
                <w:szCs w:val="21"/>
              </w:rPr>
            </w:pPr>
            <w:r>
              <w:rPr>
                <w:rFonts w:hAnsi="宋体" w:eastAsia="宋体"/>
                <w:sz w:val="21"/>
                <w:szCs w:val="21"/>
              </w:rPr>
              <w:t>规上工业总产值比重</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45</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5</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color w:val="FF0000"/>
                <w:sz w:val="21"/>
                <w:szCs w:val="21"/>
              </w:rPr>
            </w:pPr>
            <w:r>
              <w:rPr>
                <w:rFonts w:hAnsi="宋体" w:eastAsia="宋体"/>
                <w:sz w:val="21"/>
                <w:szCs w:val="21"/>
              </w:rPr>
              <w:t>生产性服务业营业收入占规上服务业总营业收入比重</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80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6</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高新技术企业数</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家</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400</w:t>
            </w:r>
            <w:r>
              <w:rPr>
                <w:rFonts w:hAnsi="宋体" w:eastAsia="宋体"/>
                <w:sz w:val="21"/>
                <w:szCs w:val="21"/>
              </w:rPr>
              <w:t>以上</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7</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研发经费支出占</w:t>
            </w:r>
            <w:r>
              <w:rPr>
                <w:rFonts w:eastAsia="宋体"/>
                <w:sz w:val="21"/>
                <w:szCs w:val="21"/>
              </w:rPr>
              <w:t>GDP</w:t>
            </w:r>
            <w:r>
              <w:rPr>
                <w:rFonts w:hAnsi="宋体" w:eastAsia="宋体"/>
                <w:sz w:val="21"/>
                <w:szCs w:val="21"/>
              </w:rPr>
              <w:t>比重</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3</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8</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每万人拥有发明专利数</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件</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45.5</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9</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新增高技能人才数</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人</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5000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10</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新增上市企业数</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家</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r>
              <w:rPr>
                <w:rFonts w:eastAsia="宋体"/>
                <w:sz w:val="21"/>
                <w:szCs w:val="21"/>
              </w:rPr>
              <w:t>11</w:t>
            </w:r>
          </w:p>
        </w:tc>
        <w:tc>
          <w:tcPr>
            <w:tcW w:w="1721" w:type="pct"/>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r>
              <w:rPr>
                <w:rFonts w:hAnsi="宋体" w:eastAsia="宋体"/>
                <w:sz w:val="21"/>
                <w:szCs w:val="21"/>
              </w:rPr>
              <w:t>大数据产业主营业务收入</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亿元</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150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restar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改革开放</w:t>
            </w: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12</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营商环境指数</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全市第一方阵</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13</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货物进出口总额</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亿元</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220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14</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实际到账外资总额</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亿美元</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2.5</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restar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城乡建设</w:t>
            </w: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15</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美丽宜居城市建设水平</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全市第一方阵</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16</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老旧小区综合治理率</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100</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restart"/>
            <w:tcBorders>
              <w:top w:val="single" w:color="auto" w:sz="4" w:space="0"/>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r>
              <w:rPr>
                <w:rFonts w:hAnsi="宋体" w:eastAsia="宋体"/>
                <w:sz w:val="21"/>
                <w:szCs w:val="21"/>
              </w:rPr>
              <w:t>文化建设</w:t>
            </w: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17</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人均拥有公共文化体育设施面积</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平方米</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4.5</w:t>
            </w:r>
            <w:r>
              <w:rPr>
                <w:rFonts w:hAnsi="宋体" w:eastAsia="宋体"/>
                <w:sz w:val="21"/>
                <w:szCs w:val="21"/>
              </w:rPr>
              <w:t>左右</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18</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全民阅读指数</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80</w:t>
            </w:r>
            <w:r>
              <w:rPr>
                <w:rFonts w:hAnsi="宋体" w:eastAsia="宋体"/>
                <w:sz w:val="21"/>
                <w:szCs w:val="21"/>
              </w:rPr>
              <w:t>以上</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restart"/>
            <w:tcBorders>
              <w:top w:val="single" w:color="auto" w:sz="4" w:space="0"/>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r>
              <w:rPr>
                <w:rFonts w:hAnsi="宋体" w:eastAsia="宋体"/>
                <w:sz w:val="21"/>
                <w:szCs w:val="21"/>
              </w:rPr>
              <w:t>生态环境</w:t>
            </w: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19</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空气质量优良天数比率</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78</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约束性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20</w:t>
            </w:r>
          </w:p>
        </w:tc>
        <w:tc>
          <w:tcPr>
            <w:tcW w:w="1721"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细颗粒物（</w:t>
            </w:r>
            <w:r>
              <w:rPr>
                <w:rFonts w:eastAsia="宋体"/>
                <w:sz w:val="21"/>
                <w:szCs w:val="21"/>
              </w:rPr>
              <w:t>PM2.5</w:t>
            </w:r>
            <w:r>
              <w:rPr>
                <w:rFonts w:hAnsi="宋体" w:eastAsia="宋体"/>
                <w:sz w:val="21"/>
                <w:szCs w:val="21"/>
              </w:rPr>
              <w:t>）浓度降低</w:t>
            </w:r>
          </w:p>
        </w:tc>
        <w:tc>
          <w:tcPr>
            <w:tcW w:w="680"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eastAsia="宋体"/>
                <w:sz w:val="21"/>
                <w:szCs w:val="21"/>
              </w:rPr>
              <w:t>11.6</w:t>
            </w:r>
          </w:p>
        </w:tc>
        <w:tc>
          <w:tcPr>
            <w:tcW w:w="666" w:type="pct"/>
            <w:tcBorders>
              <w:top w:val="single" w:color="auto" w:sz="4" w:space="0"/>
              <w:left w:val="single" w:color="auto" w:sz="4" w:space="0"/>
              <w:bottom w:val="single" w:color="auto" w:sz="4" w:space="0"/>
              <w:right w:val="single" w:color="auto" w:sz="4" w:space="0"/>
            </w:tcBorders>
            <w:tcMar>
              <w:top w:w="15" w:type="dxa"/>
              <w:left w:w="13" w:type="dxa"/>
              <w:bottom w:w="0" w:type="dxa"/>
              <w:right w:w="13"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约束性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21</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地表水达到或好于</w:t>
            </w:r>
            <w:r>
              <w:rPr>
                <w:rFonts w:eastAsia="宋体"/>
                <w:sz w:val="21"/>
                <w:szCs w:val="21"/>
              </w:rPr>
              <w:t>III</w:t>
            </w:r>
            <w:r>
              <w:rPr>
                <w:rFonts w:hAnsi="宋体" w:eastAsia="宋体"/>
                <w:sz w:val="21"/>
                <w:szCs w:val="21"/>
              </w:rPr>
              <w:t>类水体比例</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100</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约束性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22</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单位地区生产总值建设用地占用面积下降</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27.5</w:t>
            </w:r>
            <w:r>
              <w:rPr>
                <w:rFonts w:hAnsi="宋体" w:eastAsia="宋体"/>
                <w:sz w:val="21"/>
                <w:szCs w:val="21"/>
              </w:rPr>
              <w:t>左右</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约束性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23</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单位地区生产总值能源消耗降低</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根据市定目标任务另行制定</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约束性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24</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垃圾分类集中处理率</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95</w:t>
            </w:r>
            <w:r>
              <w:rPr>
                <w:rFonts w:hAnsi="宋体" w:eastAsia="宋体"/>
                <w:sz w:val="21"/>
                <w:szCs w:val="21"/>
              </w:rPr>
              <w:t>以上</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restart"/>
            <w:tcBorders>
              <w:top w:val="single" w:color="auto" w:sz="4" w:space="0"/>
              <w:left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人民生活</w:t>
            </w: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25</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居民人均可支配收入</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元</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高于经济增速</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26</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学前教育资源配置率</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个</w:t>
            </w:r>
            <w:r>
              <w:rPr>
                <w:rFonts w:eastAsia="宋体"/>
                <w:sz w:val="21"/>
                <w:szCs w:val="21"/>
              </w:rPr>
              <w:t>/</w:t>
            </w:r>
            <w:r>
              <w:rPr>
                <w:rFonts w:hAnsi="宋体" w:eastAsia="宋体"/>
                <w:sz w:val="21"/>
                <w:szCs w:val="21"/>
              </w:rPr>
              <w:t>万人</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1</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27</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义务教育优质均衡比例</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87.5</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top w:val="single" w:color="auto" w:sz="4" w:space="0"/>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28</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疾控机构建设水平</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达到国家和省有关标准</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29</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护理型床位数占养老机构床位数比例</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80</w:t>
            </w:r>
            <w:r>
              <w:rPr>
                <w:rFonts w:hAnsi="宋体" w:eastAsia="宋体"/>
                <w:sz w:val="21"/>
                <w:szCs w:val="21"/>
              </w:rPr>
              <w:t>以上</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30</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法治政府建设满意率</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90%</w:t>
            </w:r>
            <w:r>
              <w:rPr>
                <w:rFonts w:hAnsi="宋体" w:eastAsia="宋体"/>
                <w:sz w:val="21"/>
                <w:szCs w:val="21"/>
              </w:rPr>
              <w:t>以上</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31</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生产安全事故发生起数下降</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20</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约束性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32</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生产安全事故死亡人数下降</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20</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约束性</w:t>
            </w:r>
          </w:p>
        </w:tc>
      </w:tr>
      <w:tr>
        <w:tblPrEx>
          <w:tblCellMar>
            <w:top w:w="0" w:type="dxa"/>
            <w:left w:w="0" w:type="dxa"/>
            <w:bottom w:w="0" w:type="dxa"/>
            <w:right w:w="0" w:type="dxa"/>
          </w:tblCellMar>
        </w:tblPrEx>
        <w:trPr>
          <w:trHeight w:val="482" w:hRule="atLeast"/>
        </w:trPr>
        <w:tc>
          <w:tcPr>
            <w:tcW w:w="683" w:type="pct"/>
            <w:vMerge w:val="continue"/>
            <w:tcBorders>
              <w:left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33</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网格创建达标率</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100</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r>
        <w:tblPrEx>
          <w:tblCellMar>
            <w:top w:w="0" w:type="dxa"/>
            <w:left w:w="0" w:type="dxa"/>
            <w:bottom w:w="0" w:type="dxa"/>
            <w:right w:w="0" w:type="dxa"/>
          </w:tblCellMar>
        </w:tblPrEx>
        <w:trPr>
          <w:trHeight w:val="482" w:hRule="atLeast"/>
        </w:trPr>
        <w:tc>
          <w:tcPr>
            <w:tcW w:w="683" w:type="pct"/>
            <w:tcBorders>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宋体"/>
                <w:sz w:val="21"/>
                <w:szCs w:val="21"/>
              </w:rPr>
            </w:pPr>
          </w:p>
        </w:tc>
        <w:tc>
          <w:tcPr>
            <w:tcW w:w="41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34</w:t>
            </w:r>
          </w:p>
        </w:tc>
        <w:tc>
          <w:tcPr>
            <w:tcW w:w="1721"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公众安全感</w:t>
            </w:r>
          </w:p>
        </w:tc>
        <w:tc>
          <w:tcPr>
            <w:tcW w:w="680"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w:t>
            </w:r>
          </w:p>
        </w:tc>
        <w:tc>
          <w:tcPr>
            <w:tcW w:w="832"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eastAsia="宋体"/>
                <w:sz w:val="21"/>
                <w:szCs w:val="21"/>
              </w:rPr>
              <w:t>98</w:t>
            </w:r>
            <w:r>
              <w:rPr>
                <w:rFonts w:hAnsi="宋体" w:eastAsia="宋体"/>
                <w:sz w:val="21"/>
                <w:szCs w:val="21"/>
              </w:rPr>
              <w:t>以上</w:t>
            </w:r>
          </w:p>
        </w:tc>
        <w:tc>
          <w:tcPr>
            <w:tcW w:w="666" w:type="pct"/>
            <w:tcBorders>
              <w:top w:val="single" w:color="auto" w:sz="4" w:space="0"/>
              <w:left w:val="single" w:color="auto" w:sz="4" w:space="0"/>
              <w:bottom w:val="single" w:color="auto" w:sz="4" w:space="0"/>
              <w:right w:val="single" w:color="auto" w:sz="4" w:space="0"/>
            </w:tcBorders>
            <w:tcMar>
              <w:top w:w="15" w:type="dxa"/>
              <w:left w:w="18" w:type="dxa"/>
              <w:bottom w:w="0" w:type="dxa"/>
              <w:right w:w="18" w:type="dxa"/>
            </w:tcMar>
            <w:vAlign w:val="center"/>
          </w:tcPr>
          <w:p>
            <w:pPr>
              <w:snapToGrid/>
              <w:spacing w:line="240" w:lineRule="exact"/>
              <w:ind w:firstLine="0" w:firstLineChars="0"/>
              <w:jc w:val="center"/>
              <w:rPr>
                <w:rFonts w:eastAsia="宋体"/>
                <w:sz w:val="21"/>
                <w:szCs w:val="21"/>
              </w:rPr>
            </w:pPr>
            <w:r>
              <w:rPr>
                <w:rFonts w:hAnsi="宋体" w:eastAsia="宋体"/>
                <w:sz w:val="21"/>
                <w:szCs w:val="21"/>
              </w:rPr>
              <w:t>预期性</w:t>
            </w:r>
          </w:p>
        </w:tc>
      </w:tr>
    </w:tbl>
    <w:p>
      <w:pPr>
        <w:ind w:firstLine="0" w:firstLineChars="0"/>
        <w:sectPr>
          <w:footerReference r:id="rId17" w:type="default"/>
          <w:pgSz w:w="11906" w:h="16838"/>
          <w:pgMar w:top="2098" w:right="1531" w:bottom="1985" w:left="1531" w:header="851" w:footer="1361" w:gutter="0"/>
          <w:cols w:space="720" w:num="1"/>
          <w:docGrid w:type="linesAndChars" w:linePitch="312" w:charSpace="0"/>
        </w:sectPr>
      </w:pPr>
    </w:p>
    <w:bookmarkEnd w:id="2"/>
    <w:p>
      <w:pPr>
        <w:pStyle w:val="4"/>
        <w:spacing w:before="0" w:beforeLines="0" w:after="312"/>
        <w:rPr>
          <w:rFonts w:eastAsia="方正小标宋简体"/>
          <w:b w:val="0"/>
          <w:bCs w:val="0"/>
          <w:sz w:val="44"/>
        </w:rPr>
      </w:pPr>
      <w:bookmarkStart w:id="10" w:name="_Toc6522"/>
      <w:r>
        <w:rPr>
          <w:rFonts w:hAnsi="方正小标宋简体" w:eastAsia="方正小标宋简体"/>
          <w:b w:val="0"/>
          <w:bCs w:val="0"/>
          <w:sz w:val="44"/>
        </w:rPr>
        <w:t>第二篇</w:t>
      </w:r>
      <w:r>
        <w:rPr>
          <w:rFonts w:eastAsia="方正小标宋简体"/>
          <w:b w:val="0"/>
          <w:bCs w:val="0"/>
          <w:sz w:val="44"/>
        </w:rPr>
        <w:t xml:space="preserve"> </w:t>
      </w:r>
      <w:r>
        <w:rPr>
          <w:rFonts w:hAnsi="方正小标宋简体" w:eastAsia="方正小标宋简体"/>
          <w:b w:val="0"/>
          <w:bCs w:val="0"/>
          <w:sz w:val="44"/>
        </w:rPr>
        <w:t>奋力书写</w:t>
      </w:r>
      <w:r>
        <w:rPr>
          <w:rFonts w:eastAsia="方正小标宋简体"/>
          <w:b w:val="0"/>
          <w:bCs w:val="0"/>
          <w:sz w:val="44"/>
        </w:rPr>
        <w:t>“</w:t>
      </w:r>
      <w:r>
        <w:rPr>
          <w:rFonts w:hint="eastAsia" w:eastAsia="方正小标宋简体"/>
          <w:b w:val="0"/>
          <w:bCs w:val="0"/>
          <w:sz w:val="44"/>
        </w:rPr>
        <w:t>争当表率、争做示范、走在前列</w:t>
      </w:r>
      <w:r>
        <w:rPr>
          <w:rFonts w:eastAsia="方正小标宋简体"/>
          <w:b w:val="0"/>
          <w:bCs w:val="0"/>
          <w:sz w:val="44"/>
        </w:rPr>
        <w:t>”</w:t>
      </w:r>
      <w:r>
        <w:rPr>
          <w:rFonts w:hAnsi="方正小标宋简体" w:eastAsia="方正小标宋简体"/>
          <w:b w:val="0"/>
          <w:bCs w:val="0"/>
          <w:sz w:val="44"/>
        </w:rPr>
        <w:t>钟楼新答卷</w:t>
      </w:r>
      <w:bookmarkEnd w:id="10"/>
    </w:p>
    <w:p>
      <w:pPr>
        <w:pStyle w:val="5"/>
        <w:spacing w:before="312" w:after="156"/>
        <w:rPr>
          <w:rFonts w:ascii="Times New Roman" w:hAnsi="Times New Roman" w:eastAsia="黑体"/>
        </w:rPr>
      </w:pPr>
      <w:bookmarkStart w:id="11" w:name="_Toc29245"/>
      <w:r>
        <w:rPr>
          <w:rFonts w:ascii="Times New Roman" w:hAnsi="黑体" w:eastAsia="黑体"/>
        </w:rPr>
        <w:t>第四章</w:t>
      </w:r>
      <w:r>
        <w:rPr>
          <w:rFonts w:ascii="Times New Roman" w:hAnsi="Times New Roman" w:eastAsia="黑体"/>
        </w:rPr>
        <w:t xml:space="preserve"> </w:t>
      </w:r>
      <w:r>
        <w:rPr>
          <w:rFonts w:ascii="Times New Roman" w:hAnsi="黑体" w:eastAsia="黑体"/>
        </w:rPr>
        <w:t>坚持科技创新核心地位</w:t>
      </w:r>
      <w:bookmarkEnd w:id="11"/>
    </w:p>
    <w:p>
      <w:pPr>
        <w:ind w:firstLine="640"/>
      </w:pPr>
      <w:r>
        <w:t>落实“科教创新明星城”建设部署，深入实施创新驱动发展战略，形成以市场为导向、企业为主体、高校院所为支撑的产业科技创新体系，打造“两区多园”的区域科技创新布局，突出企业技术创新主体地位，围绕产业基础高级化和产业链现代化精准部署创新链，营造产业创新发展良好生态，科技创新对经济社会高质量发展的支撑效应进一步放大，区域科技实力、创新能力和产业竞争力进一步提升，打造长三角区域有特色有影响的创新型城区。</w:t>
      </w:r>
    </w:p>
    <w:p>
      <w:pPr>
        <w:pStyle w:val="6"/>
        <w:spacing w:before="156" w:after="156"/>
        <w:rPr>
          <w:rFonts w:eastAsia="楷体_GB2312"/>
          <w:b w:val="0"/>
          <w:bCs w:val="0"/>
        </w:rPr>
      </w:pPr>
      <w:bookmarkStart w:id="12" w:name="_Toc15131"/>
      <w:bookmarkStart w:id="13" w:name="_Toc20685"/>
      <w:r>
        <w:rPr>
          <w:rFonts w:hAnsi="楷体_GB2312" w:eastAsia="楷体_GB2312"/>
          <w:b w:val="0"/>
          <w:bCs w:val="0"/>
        </w:rPr>
        <w:t>第一节</w:t>
      </w:r>
      <w:r>
        <w:rPr>
          <w:rFonts w:eastAsia="楷体_GB2312"/>
          <w:b w:val="0"/>
          <w:bCs w:val="0"/>
        </w:rPr>
        <w:t xml:space="preserve"> </w:t>
      </w:r>
      <w:r>
        <w:rPr>
          <w:rFonts w:hAnsi="楷体_GB2312" w:eastAsia="楷体_GB2312"/>
          <w:b w:val="0"/>
          <w:bCs w:val="0"/>
        </w:rPr>
        <w:t>提升产业技术创新能力</w:t>
      </w:r>
      <w:bookmarkEnd w:id="12"/>
      <w:bookmarkEnd w:id="13"/>
    </w:p>
    <w:p>
      <w:pPr>
        <w:ind w:firstLine="643"/>
      </w:pPr>
      <w:r>
        <w:rPr>
          <w:b/>
          <w:bCs/>
        </w:rPr>
        <w:t>壮大科技企业集群规模。</w:t>
      </w:r>
      <w:r>
        <w:t>突出企业技术创新主体地位，参与实施新一</w:t>
      </w:r>
      <w:r>
        <w:rPr>
          <w:rFonts w:hAnsi="仿宋_GB2312"/>
        </w:rPr>
        <w:t>轮</w:t>
      </w:r>
      <w:r>
        <w:t>“</w:t>
      </w:r>
      <w:r>
        <w:rPr>
          <w:rFonts w:hAnsi="仿宋_GB2312"/>
        </w:rPr>
        <w:t>十百千</w:t>
      </w:r>
      <w:r>
        <w:t>”</w:t>
      </w:r>
      <w:r>
        <w:rPr>
          <w:rFonts w:hAnsi="仿宋_GB2312"/>
        </w:rPr>
        <w:t>创</w:t>
      </w:r>
      <w:r>
        <w:t>新型企业培育工程，打</w:t>
      </w:r>
      <w:r>
        <w:rPr>
          <w:rFonts w:hAnsi="仿宋_GB2312"/>
        </w:rPr>
        <w:t>通</w:t>
      </w:r>
      <w:r>
        <w:t>“</w:t>
      </w:r>
      <w:r>
        <w:rPr>
          <w:rFonts w:hAnsi="仿宋_GB2312"/>
        </w:rPr>
        <w:t>科技型中小企业</w:t>
      </w:r>
      <w:r>
        <w:t>—</w:t>
      </w:r>
      <w:r>
        <w:rPr>
          <w:rFonts w:hAnsi="仿宋_GB2312"/>
        </w:rPr>
        <w:t>高新技术企业</w:t>
      </w:r>
      <w:r>
        <w:t>—</w:t>
      </w:r>
      <w:r>
        <w:rPr>
          <w:rFonts w:hAnsi="仿宋_GB2312"/>
        </w:rPr>
        <w:t>科技型上市后备企业</w:t>
      </w:r>
      <w:r>
        <w:t>—</w:t>
      </w:r>
      <w:r>
        <w:rPr>
          <w:rFonts w:hAnsi="仿宋_GB2312"/>
        </w:rPr>
        <w:t>上市企业</w:t>
      </w:r>
      <w:r>
        <w:t>”</w:t>
      </w:r>
      <w:r>
        <w:rPr>
          <w:rFonts w:hAnsi="仿宋_GB2312"/>
        </w:rPr>
        <w:t>发</w:t>
      </w:r>
      <w:r>
        <w:t>展路径，不断壮大科技企业队伍规模。实施高新技术企业倍增计划，大幅提高高新技术企业数量。</w:t>
      </w:r>
      <w:r>
        <w:rPr>
          <w:rFonts w:hAnsi="仿宋_GB2312"/>
          <w:szCs w:val="32"/>
        </w:rPr>
        <w:t>优先支持科技型上市后备企业承担各级科技计划项目，建设重点实验室，开发一批高附加值的新产</w:t>
      </w:r>
      <w:r>
        <w:t>品。引进培育一批成长速度快、经济效益好、创新能力强的瞪羚企业、潜在独角兽企业。加快推进科技型企业上市，为企业提供金融、技术、项目等方面的精准服务。支持具有国际核心竞争力企业建设高水平研究院，承担国家、省级重大科技项目，全力打造一批创新型领军企业。到2025年，实现高新技术企业超400家，瞪羚企业或潜在独角兽企业达5家以上，创新型领军企业达15家。</w:t>
      </w:r>
    </w:p>
    <w:p>
      <w:pPr>
        <w:ind w:firstLine="643"/>
        <w:rPr>
          <w:b/>
          <w:bCs/>
        </w:rPr>
      </w:pPr>
      <w:r>
        <w:rPr>
          <w:b/>
          <w:bCs/>
        </w:rPr>
        <w:t>推进关键核心技术攻关。</w:t>
      </w:r>
      <w:r>
        <w:t>重点围绕新一代信息技术、新材料、智能制造等优势产业领域，充分运用国家、省科技计划的支撑作用，参与实施技术研发专项，突破一批关键共性技术，抢占产业发展制高点及行业标准话语权。聚焦未来产业发展，重点在大数据、人工智能等前瞻领域，加大创新链布局，推动一批颠覆性技术创新，抢占发展先机。充分发挥精研科技等行业龙头企业主导作用，加强与高校、科研院所的战略合作，组织开展跨行业、跨领域、跨区域的产学研用协同创新，解决产业发展中的技术瓶颈，提高核心竞争力。</w:t>
      </w:r>
      <w:r>
        <w:rPr>
          <w:b/>
          <w:bCs/>
        </w:rPr>
        <w:t xml:space="preserve"> </w:t>
      </w:r>
    </w:p>
    <w:p>
      <w:pPr>
        <w:ind w:firstLine="643"/>
      </w:pPr>
      <w:r>
        <w:rPr>
          <w:rFonts w:hAnsi="仿宋_GB2312"/>
          <w:b/>
        </w:rPr>
        <w:t>提升研发机构创新能级。</w:t>
      </w:r>
      <w:r>
        <w:t>加快提升省级重点企业研发机构、大中型企业和规模以上高新技术企业研发机构建设水平。以打造具有行业影响力的研发机构为重点，引导全区龙头骨干企业与高校院所合作，建设一批以企业为主体、面向企业和行业发展需求、具有一流能力的高水平研发机构。鼓励企业瞄准新兴产业领域的技术发展方向，创建市级工程技术研究中心，进一步申报省级、国家级研发机构，不断扩大全区企业研发机构建有率。到2025年，</w:t>
      </w:r>
      <w:r>
        <w:rPr>
          <w:rFonts w:hAnsi="仿宋_GB2312"/>
          <w:szCs w:val="32"/>
        </w:rPr>
        <w:t>新增市级以上企业研发机构</w:t>
      </w:r>
      <w:r>
        <w:rPr>
          <w:szCs w:val="32"/>
        </w:rPr>
        <w:t>60</w:t>
      </w:r>
      <w:r>
        <w:rPr>
          <w:rFonts w:hAnsi="仿宋_GB2312"/>
          <w:szCs w:val="32"/>
        </w:rPr>
        <w:t>家</w:t>
      </w:r>
      <w: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专栏4-1 重点研发机构平台</w:t>
            </w:r>
          </w:p>
          <w:p>
            <w:pPr>
              <w:spacing w:line="440" w:lineRule="exact"/>
              <w:ind w:firstLine="562"/>
              <w:rPr>
                <w:kern w:val="0"/>
                <w:sz w:val="28"/>
                <w:szCs w:val="28"/>
              </w:rPr>
            </w:pPr>
            <w:r>
              <w:rPr>
                <w:rFonts w:hAnsi="仿宋_GB2312"/>
                <w:b/>
                <w:bCs/>
                <w:kern w:val="0"/>
                <w:sz w:val="28"/>
                <w:szCs w:val="28"/>
              </w:rPr>
              <w:t>省级：</w:t>
            </w:r>
            <w:r>
              <w:rPr>
                <w:rFonts w:hAnsi="仿宋_GB2312"/>
                <w:kern w:val="0"/>
                <w:sz w:val="28"/>
                <w:szCs w:val="28"/>
              </w:rPr>
              <w:t>中海油常州涂料研究院有限公司、常州雷宁电磁屏蔽设备有限公司、常州中英科技股份有限公司等</w:t>
            </w:r>
            <w:r>
              <w:rPr>
                <w:kern w:val="0"/>
                <w:sz w:val="28"/>
                <w:szCs w:val="28"/>
              </w:rPr>
              <w:t>5</w:t>
            </w:r>
            <w:r>
              <w:rPr>
                <w:rFonts w:hAnsi="仿宋_GB2312"/>
                <w:kern w:val="0"/>
                <w:sz w:val="28"/>
                <w:szCs w:val="28"/>
              </w:rPr>
              <w:t>家企业创建省工程技术研究中心。</w:t>
            </w:r>
          </w:p>
          <w:p>
            <w:pPr>
              <w:spacing w:line="440" w:lineRule="exact"/>
              <w:ind w:firstLine="562"/>
              <w:rPr>
                <w:kern w:val="0"/>
                <w:sz w:val="28"/>
                <w:szCs w:val="28"/>
              </w:rPr>
            </w:pPr>
            <w:r>
              <w:rPr>
                <w:rFonts w:hAnsi="仿宋_GB2312"/>
                <w:b/>
                <w:bCs/>
                <w:kern w:val="0"/>
                <w:sz w:val="28"/>
                <w:szCs w:val="28"/>
              </w:rPr>
              <w:t>市级：</w:t>
            </w:r>
            <w:r>
              <w:rPr>
                <w:rFonts w:hAnsi="仿宋_GB2312"/>
                <w:kern w:val="0"/>
                <w:sz w:val="28"/>
                <w:szCs w:val="28"/>
              </w:rPr>
              <w:t>常州市宝丽胶粘剂有限公司、中科摩通</w:t>
            </w:r>
            <w:r>
              <w:rPr>
                <w:kern w:val="0"/>
                <w:sz w:val="28"/>
                <w:szCs w:val="28"/>
              </w:rPr>
              <w:t>(</w:t>
            </w:r>
            <w:r>
              <w:rPr>
                <w:rFonts w:hAnsi="仿宋_GB2312"/>
                <w:kern w:val="0"/>
                <w:sz w:val="28"/>
                <w:szCs w:val="28"/>
              </w:rPr>
              <w:t>常州</w:t>
            </w:r>
            <w:r>
              <w:rPr>
                <w:kern w:val="0"/>
                <w:sz w:val="28"/>
                <w:szCs w:val="28"/>
              </w:rPr>
              <w:t>)</w:t>
            </w:r>
            <w:r>
              <w:rPr>
                <w:rFonts w:hAnsi="仿宋_GB2312"/>
                <w:kern w:val="0"/>
                <w:sz w:val="28"/>
                <w:szCs w:val="28"/>
              </w:rPr>
              <w:t>智能制造有限公司、江苏皓月涂料有限公司等</w:t>
            </w:r>
            <w:r>
              <w:rPr>
                <w:kern w:val="0"/>
                <w:sz w:val="28"/>
                <w:szCs w:val="28"/>
              </w:rPr>
              <w:t>40</w:t>
            </w:r>
            <w:r>
              <w:rPr>
                <w:rFonts w:hAnsi="仿宋_GB2312"/>
                <w:kern w:val="0"/>
                <w:sz w:val="28"/>
                <w:szCs w:val="28"/>
              </w:rPr>
              <w:t>家企业创建市工程技术研究中心。</w:t>
            </w:r>
          </w:p>
          <w:p>
            <w:pPr>
              <w:spacing w:line="440" w:lineRule="exact"/>
              <w:ind w:firstLine="562"/>
              <w:rPr>
                <w:bCs/>
                <w:kern w:val="0"/>
                <w:szCs w:val="32"/>
              </w:rPr>
            </w:pPr>
            <w:r>
              <w:rPr>
                <w:rFonts w:hAnsi="仿宋_GB2312"/>
                <w:b/>
                <w:bCs/>
                <w:kern w:val="0"/>
                <w:sz w:val="28"/>
                <w:szCs w:val="28"/>
              </w:rPr>
              <w:t>区级：</w:t>
            </w:r>
            <w:r>
              <w:rPr>
                <w:rFonts w:hAnsi="仿宋_GB2312"/>
                <w:kern w:val="0"/>
                <w:sz w:val="28"/>
                <w:szCs w:val="28"/>
              </w:rPr>
              <w:t>常州商隆产业用纺织品有限公司、常州市长昊机械有限公司、常州市众华建材科技有限公司等</w:t>
            </w:r>
            <w:r>
              <w:rPr>
                <w:kern w:val="0"/>
                <w:sz w:val="28"/>
                <w:szCs w:val="28"/>
              </w:rPr>
              <w:t>40</w:t>
            </w:r>
            <w:r>
              <w:rPr>
                <w:rFonts w:hAnsi="仿宋_GB2312"/>
                <w:kern w:val="0"/>
                <w:sz w:val="28"/>
                <w:szCs w:val="28"/>
              </w:rPr>
              <w:t>家企业创建区工程技术研究中心。</w:t>
            </w:r>
          </w:p>
        </w:tc>
      </w:tr>
    </w:tbl>
    <w:p>
      <w:pPr>
        <w:ind w:firstLine="643"/>
        <w:rPr>
          <w:b/>
        </w:rPr>
      </w:pPr>
      <w:r>
        <w:rPr>
          <w:rFonts w:hAnsi="仿宋_GB2312"/>
          <w:b/>
        </w:rPr>
        <w:t>推动政产学研深入合作。</w:t>
      </w:r>
      <w:r>
        <w:t>发挥常州本地及省内科研院所优势，积极开展“创新创业院所行”，加强企业与高校院所之间的战略合作。定期举办钟楼产学研合作科技成果洽谈会，吸引全国各地的科技成果来钟楼转移转化和规模产业化。深化与中科院、南京大学、上海交通大学、江苏省产业技术研究院、常州科教城等高校院所的战略合作，建设公共研发机构、科技成果转化和技术转移基地、企业联合创新中心等，支持鼓励企业联合高校院所争取国家和省各类科技项目，吸引高端创新人才、先进技术成果来钟楼汇聚</w:t>
      </w:r>
      <w:r>
        <w:rPr>
          <w:rFonts w:hAnsi="仿宋" w:eastAsia="仿宋"/>
          <w:sz w:val="28"/>
          <w:szCs w:val="28"/>
        </w:rPr>
        <w:t>。</w:t>
      </w:r>
      <w:r>
        <w:t>鼓励有条件企业</w:t>
      </w:r>
      <w:r>
        <w:rPr>
          <w:rFonts w:hAnsi="仿宋_GB2312"/>
        </w:rPr>
        <w:t>建立</w:t>
      </w:r>
      <w:r>
        <w:t>“</w:t>
      </w:r>
      <w:r>
        <w:rPr>
          <w:rFonts w:hAnsi="仿宋_GB2312"/>
        </w:rPr>
        <w:t>创新飞地</w:t>
      </w:r>
      <w:r>
        <w:t>”</w:t>
      </w:r>
      <w:r>
        <w:rPr>
          <w:rFonts w:hAnsi="仿宋_GB2312"/>
        </w:rPr>
        <w:t>、海外研发基地，开展离岸研发合作。到</w:t>
      </w:r>
      <w:r>
        <w:t>2025</w:t>
      </w:r>
      <w:r>
        <w:rPr>
          <w:rFonts w:hAnsi="仿宋_GB2312"/>
        </w:rPr>
        <w:t>年，全区培育引进市级</w:t>
      </w:r>
      <w:r>
        <w:t>以上创新人才累计15名，产学研合作项目累计120个以上，技术合同成交额达28亿元左右。</w:t>
      </w:r>
    </w:p>
    <w:p>
      <w:pPr>
        <w:pStyle w:val="6"/>
        <w:spacing w:before="156" w:after="156"/>
        <w:rPr>
          <w:rFonts w:eastAsia="楷体_GB2312"/>
          <w:b w:val="0"/>
          <w:bCs w:val="0"/>
        </w:rPr>
      </w:pPr>
      <w:bookmarkStart w:id="14" w:name="_Toc21189"/>
      <w:bookmarkStart w:id="15" w:name="_Toc24842"/>
      <w:r>
        <w:rPr>
          <w:rFonts w:hAnsi="楷体_GB2312" w:eastAsia="楷体_GB2312"/>
          <w:b w:val="0"/>
          <w:bCs w:val="0"/>
        </w:rPr>
        <w:t>第二节</w:t>
      </w:r>
      <w:r>
        <w:rPr>
          <w:rFonts w:eastAsia="楷体_GB2312"/>
          <w:b w:val="0"/>
          <w:bCs w:val="0"/>
        </w:rPr>
        <w:t xml:space="preserve"> </w:t>
      </w:r>
      <w:r>
        <w:rPr>
          <w:rFonts w:hAnsi="楷体_GB2312" w:eastAsia="楷体_GB2312"/>
          <w:b w:val="0"/>
          <w:bCs w:val="0"/>
        </w:rPr>
        <w:t>营造一流创新创业生态</w:t>
      </w:r>
      <w:bookmarkEnd w:id="14"/>
      <w:bookmarkEnd w:id="15"/>
    </w:p>
    <w:p>
      <w:pPr>
        <w:ind w:firstLine="643"/>
      </w:pPr>
      <w:r>
        <w:rPr>
          <w:rFonts w:hAnsi="仿宋_GB2312"/>
          <w:b/>
        </w:rPr>
        <w:t>强化金融服务支撑。</w:t>
      </w:r>
      <w:r>
        <w:t>逐步建立适应创新链需求、覆盖创新全生命周期的科技金融服务体系，积极发展各类产业投资基金等科技金融服务。探索设立科技企业贷款风险池，加大对技术创新的融资支持。支持符合条件的企业发行公司债、短期融资券和中期</w:t>
      </w:r>
      <w:r>
        <w:rPr>
          <w:rFonts w:hAnsi="仿宋_GB2312"/>
        </w:rPr>
        <w:t>票据，扩大直接融资。鼓励金融机构完善科技金融产品体系，做优做强</w:t>
      </w:r>
      <w:r>
        <w:t>“</w:t>
      </w:r>
      <w:r>
        <w:rPr>
          <w:rFonts w:hAnsi="仿宋_GB2312"/>
        </w:rPr>
        <w:t>苏科贷</w:t>
      </w:r>
      <w:r>
        <w:t>”</w:t>
      </w:r>
      <w:r>
        <w:rPr>
          <w:rFonts w:hAnsi="仿宋_GB2312"/>
        </w:rPr>
        <w:t>业</w:t>
      </w:r>
      <w:r>
        <w:t>务，拓展科技信用贷款、知识产权质押贷款等业务。支持科技金融专营机构面向科技型、初创型企业开展特色产品和金融服务创新。</w:t>
      </w:r>
    </w:p>
    <w:p>
      <w:pPr>
        <w:ind w:firstLine="643"/>
      </w:pPr>
      <w:r>
        <w:rPr>
          <w:b/>
        </w:rPr>
        <w:t>加快科技服务业发展。</w:t>
      </w:r>
      <w:r>
        <w:t>扶持发展研发设计、检验检测、软件信息、知识产权、技术交易、科技咨询等领域，完善“苗圃</w:t>
      </w:r>
      <w:r>
        <w:rPr>
          <w:szCs w:val="32"/>
        </w:rPr>
        <w:t>-</w:t>
      </w:r>
      <w:r>
        <w:t>孵化器</w:t>
      </w:r>
      <w:r>
        <w:rPr>
          <w:szCs w:val="32"/>
        </w:rPr>
        <w:t>-</w:t>
      </w:r>
      <w:r>
        <w:t>加速器</w:t>
      </w:r>
      <w:r>
        <w:rPr>
          <w:szCs w:val="32"/>
        </w:rPr>
        <w:t>-</w:t>
      </w:r>
      <w:r>
        <w:t>产业园”覆盖科技创新全链条的科技服务体系，为提升全区科技创新能力提供有力支撑。支持重点科技中介机构培育壮大技术经纪人队伍，繁荣成果交易市场。鼓励长江智能制造研究院、建科院、中海油涂料研究院等科技服务业平台加快体制机制创新，发挥自身优势，服务地方经济发展。</w:t>
      </w:r>
    </w:p>
    <w:p>
      <w:pPr>
        <w:ind w:firstLine="643"/>
      </w:pPr>
      <w:r>
        <w:rPr>
          <w:b/>
        </w:rPr>
        <w:t>加强知识产权保护。</w:t>
      </w:r>
      <w:r>
        <w:t>完善知识产权行业保护机制和知识产权预警机制，充分发挥钟楼区法院知识产权庭和知识产权法律服务中心的服务功能。加大行政执法力度，严厉打击盗版、假冒、冒充等知识产权违法犯罪行为。有计划、有重点地开展知识产权执法专项行动。加快构建重点产业、新兴产业专利储备和专利池，深入开展知识产权预警分析工作。加强知识产权保护监督，推进知识产权执法公开，完善重大案件披露制度，进一步规范市场秩序，推进知识产权“正版正货”服务承诺活动，坚决打击侵犯知识产权行为。</w:t>
      </w:r>
    </w:p>
    <w:p>
      <w:pPr>
        <w:ind w:firstLine="643"/>
      </w:pPr>
      <w:r>
        <w:rPr>
          <w:b/>
        </w:rPr>
        <w:t>提升双创载体绩效。</w:t>
      </w:r>
      <w:r>
        <w:rPr>
          <w:bCs/>
        </w:rPr>
        <w:t>坚持政府引导和市场主导，充分发</w:t>
      </w:r>
      <w:r>
        <w:t>挥社会力量的主力军作用，重点招引社会化品牌运营机构建设运营各类双创载体，优化创新创业环境，提升载体服务水平，打造都市经济发展新空间。深入推进钟楼区创建国家级双创示范基地，重点打造富都江南新经济产业园、蓝·科技文化创意产业园、中科创新港、南大街智汇园等一批特色鲜明、活力强劲的双创载体。提升完善区双创服务中心一站式综合服务水平，统筹管理服务全区双创载体，不断提升载体绩效。到2025年，累计新增省级以上双创载体（众创空间、科技企业孵化器、加速器）8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专栏4-2 重点双创平台</w:t>
            </w:r>
          </w:p>
          <w:p>
            <w:pPr>
              <w:spacing w:line="440" w:lineRule="exact"/>
              <w:ind w:firstLine="0" w:firstLineChars="0"/>
              <w:rPr>
                <w:b/>
                <w:bCs/>
                <w:kern w:val="0"/>
                <w:sz w:val="28"/>
                <w:szCs w:val="28"/>
              </w:rPr>
            </w:pPr>
            <w:r>
              <w:rPr>
                <w:b/>
                <w:bCs/>
                <w:kern w:val="0"/>
                <w:sz w:val="28"/>
                <w:szCs w:val="28"/>
              </w:rPr>
              <w:t>国家级：</w:t>
            </w:r>
            <w:r>
              <w:rPr>
                <w:kern w:val="0"/>
                <w:sz w:val="28"/>
                <w:szCs w:val="28"/>
              </w:rPr>
              <w:t>新博智汇谷、南大街智汇园、云部落常州创新平台、百度（常州）创新中心。</w:t>
            </w:r>
          </w:p>
          <w:p>
            <w:pPr>
              <w:spacing w:line="440" w:lineRule="exact"/>
              <w:ind w:firstLine="0" w:firstLineChars="0"/>
              <w:rPr>
                <w:b/>
                <w:bCs/>
                <w:kern w:val="0"/>
                <w:sz w:val="28"/>
                <w:szCs w:val="28"/>
              </w:rPr>
            </w:pPr>
            <w:r>
              <w:rPr>
                <w:b/>
                <w:bCs/>
                <w:kern w:val="0"/>
                <w:sz w:val="28"/>
                <w:szCs w:val="28"/>
              </w:rPr>
              <w:t>省级：</w:t>
            </w:r>
            <w:r>
              <w:rPr>
                <w:kern w:val="0"/>
                <w:sz w:val="28"/>
                <w:szCs w:val="28"/>
              </w:rPr>
              <w:t>富都江南新经济产业园，中博星运50环保产业园、蓝科技文化创意产业园、中科创新港、长江智造科创中心、常州大数据产业园、中博创立坊。</w:t>
            </w:r>
          </w:p>
          <w:p>
            <w:pPr>
              <w:spacing w:line="440" w:lineRule="exact"/>
              <w:ind w:firstLine="0" w:firstLineChars="0"/>
              <w:rPr>
                <w:bCs/>
                <w:kern w:val="0"/>
                <w:szCs w:val="32"/>
              </w:rPr>
            </w:pPr>
            <w:r>
              <w:rPr>
                <w:b/>
                <w:bCs/>
                <w:kern w:val="0"/>
                <w:sz w:val="28"/>
                <w:szCs w:val="28"/>
              </w:rPr>
              <w:t>市级：</w:t>
            </w:r>
            <w:r>
              <w:rPr>
                <w:kern w:val="0"/>
                <w:sz w:val="28"/>
                <w:szCs w:val="28"/>
              </w:rPr>
              <w:t>博济</w:t>
            </w:r>
            <w:r>
              <w:rPr>
                <w:kern w:val="0"/>
              </w:rPr>
              <w:t>·</w:t>
            </w:r>
            <w:r>
              <w:rPr>
                <w:kern w:val="0"/>
                <w:sz w:val="28"/>
                <w:szCs w:val="28"/>
              </w:rPr>
              <w:t>南岸里、国家健康医疗大数据（东部）中心、优客工场众创空间、米码头壹号。</w:t>
            </w:r>
          </w:p>
        </w:tc>
      </w:tr>
    </w:tbl>
    <w:p>
      <w:pPr>
        <w:ind w:firstLine="643"/>
      </w:pPr>
      <w:r>
        <w:rPr>
          <w:b/>
          <w:bCs/>
        </w:rPr>
        <w:t>优化创新政策环境。</w:t>
      </w:r>
      <w:r>
        <w:t>充分发挥政府科技投入的引导作用，鼓励企业加大研发投入，积极吸纳社会资金，特别是风险投资机构参与科技创新创业，有效形成多元化、多层次、多渠道的科技投入体系。全面落实企业研究开发费用加计扣除、高新技术企业所得税、高新技术企业奖励、科研仪器设备加速折旧等政策，推动创新链各环节各类政策衔接配套。深化科技管理体制改革，探索建立创新政策法规的跨部门协调机制和政策综合评价机制。</w:t>
      </w:r>
    </w:p>
    <w:p>
      <w:pPr>
        <w:pStyle w:val="6"/>
        <w:spacing w:before="156" w:after="156"/>
        <w:rPr>
          <w:rFonts w:eastAsia="楷体_GB2312"/>
          <w:b w:val="0"/>
          <w:bCs w:val="0"/>
        </w:rPr>
      </w:pPr>
      <w:bookmarkStart w:id="16" w:name="_Toc11095"/>
      <w:r>
        <w:rPr>
          <w:rFonts w:hAnsi="楷体_GB2312" w:eastAsia="楷体_GB2312"/>
          <w:b w:val="0"/>
          <w:bCs w:val="0"/>
        </w:rPr>
        <w:t>第三节</w:t>
      </w:r>
      <w:r>
        <w:rPr>
          <w:rFonts w:eastAsia="楷体_GB2312"/>
          <w:b w:val="0"/>
          <w:bCs w:val="0"/>
        </w:rPr>
        <w:t xml:space="preserve"> </w:t>
      </w:r>
      <w:r>
        <w:rPr>
          <w:rFonts w:hAnsi="楷体_GB2312" w:eastAsia="楷体_GB2312"/>
          <w:b w:val="0"/>
          <w:bCs w:val="0"/>
        </w:rPr>
        <w:t>强化高质量发展人才支撑</w:t>
      </w:r>
      <w:bookmarkEnd w:id="16"/>
    </w:p>
    <w:p>
      <w:pPr>
        <w:ind w:firstLine="643"/>
      </w:pPr>
      <w:r>
        <w:rPr>
          <w:b/>
          <w:bCs/>
        </w:rPr>
        <w:t>优化人才总体布局。</w:t>
      </w:r>
      <w:r>
        <w:t>深入实施人才强区战略，强化“人才是第一资源”理念，实施更加积极、更加开放、更加有效的“龙城英才计划”钟楼升级版，加大顶尖人才、领军人才、技能人才和青年人才引进力度，促进全区人才数量稳步增长、结构显著改善、效能逐步提高、生态持续优化。主动融入长三角一体化、长江经济带等国家战略，加强区域产业合作与人才交流，积极承接上海、南京、杭州等地人才资源外溢。创新人才评价与激励机制，强化以贡献为主要评价依据的创业人才扶持体系。持续优化人才创新创业生态，完善人才创业投资基金、人才公寓、“一站式”人才综合服务中心等要素布局，提升人才子女入学、医疗健康等服务保障水平。</w:t>
      </w:r>
    </w:p>
    <w:p>
      <w:pPr>
        <w:ind w:firstLine="643"/>
      </w:pPr>
      <w:r>
        <w:rPr>
          <w:b/>
          <w:bCs/>
        </w:rPr>
        <w:t>重点引育顶尖人才。</w:t>
      </w:r>
      <w:r>
        <w:t>聚焦全区重点发展的产业领域和“卡脖子”技术，依托重大平台、重大项目，集中优势资源引进一批填补国内空白、达到顶尖水平，能为钟楼高质量发展带来重大影响、关键突破的顶尖人才（团队），给予“一事一议”特别支持，实现引进一个顶尖团队，带动一个产业发展。注重培育本地顶尖人才，集聚“小而美、小而优、小而强”的双创项目，在“建链、补链、强链、长链”上实现突破，对在科技创新、产业发展等方面取得重大成果、获得重大荣誉或综合贡献特别突出的本地人才（团队），纳入顶尖人才认定和支持。“十四五”期间引进顶尖人才（团队）5名（个）左右。</w:t>
      </w:r>
    </w:p>
    <w:p>
      <w:pPr>
        <w:ind w:firstLine="643"/>
      </w:pPr>
      <w:r>
        <w:rPr>
          <w:b/>
          <w:bCs/>
        </w:rPr>
        <w:t>大力集聚领军人才。</w:t>
      </w:r>
      <w:r>
        <w:t>围绕全区重大项目招引工作大局，突出招才引智和招商引资并举，打造专业化的双招双引队伍，坚持领军人才项目与重大项目同步招引、同向发力。发挥经开区、高新园等园区主力军作用，重点招引新一代信息技术、智能制造、现代服务业等领域“旗舰型”人才项目。依托各类主题园区、众创空间，重点招引都市工业、三新经济领域“精致型”人才项目。发挥驻点招商、基金招商等资源优势，探索离岸孵化、引才合伙人等创新模式，在国内一线城市举办“龙城英才计划”钟楼专场邀请赛。“十四五”期间新增省“双创计划”人才10名，“龙城英才计划”创新创业领军人才80名以上。</w:t>
      </w:r>
    </w:p>
    <w:p>
      <w:pPr>
        <w:ind w:firstLine="643"/>
      </w:pPr>
      <w:r>
        <w:rPr>
          <w:b/>
          <w:bCs/>
        </w:rPr>
        <w:t>着力引育技能人才。</w:t>
      </w:r>
      <w:r>
        <w:t>突出企业引才育才主体作用，加强产教融合、产学研合作，支持领军企业引育实用创新人才，促进产业链相关人才集聚钟楼创新创业。用好常州人才地图，发挥区人力资源市场和专业化人力资源机构作用，帮助企业引进急需紧缺的各类高层次人才。支持企业开展博士后工作站（创新实践基地）、技能大师工作室和首席技师申报创建工作，组织企业开展职业技能鉴定、技能大赛等活动。鼓励新型“星期日工程师”异地服务，推动人才资源共享共用。“十四五”期间新引进硕士研究生以上高学历人才1500名，培育高技能人才5000名。</w:t>
      </w:r>
    </w:p>
    <w:p>
      <w:pPr>
        <w:pStyle w:val="5"/>
        <w:spacing w:before="312" w:after="156"/>
        <w:rPr>
          <w:rFonts w:ascii="Times New Roman" w:hAnsi="Times New Roman" w:eastAsia="黑体"/>
        </w:rPr>
      </w:pPr>
      <w:bookmarkStart w:id="17" w:name="_Toc8160"/>
      <w:r>
        <w:rPr>
          <w:rFonts w:ascii="Times New Roman" w:hAnsi="黑体" w:eastAsia="黑体"/>
        </w:rPr>
        <w:t>第五章</w:t>
      </w:r>
      <w:r>
        <w:rPr>
          <w:rFonts w:ascii="Times New Roman" w:hAnsi="Times New Roman" w:eastAsia="黑体"/>
        </w:rPr>
        <w:t xml:space="preserve"> </w:t>
      </w:r>
      <w:r>
        <w:rPr>
          <w:rFonts w:ascii="Times New Roman" w:hAnsi="黑体" w:eastAsia="黑体"/>
        </w:rPr>
        <w:t>打造都市智造高地</w:t>
      </w:r>
      <w:bookmarkEnd w:id="17"/>
    </w:p>
    <w:p>
      <w:pPr>
        <w:ind w:firstLine="640"/>
        <w:rPr>
          <w:szCs w:val="28"/>
        </w:rPr>
      </w:pPr>
      <w:r>
        <w:rPr>
          <w:szCs w:val="28"/>
        </w:rPr>
        <w:t>落实“工业智造明星城”建设部署，坚持以高端化、智能化、绿色化、服务化、品牌化为引领，围绕“两新一智”着力培育具备强竞争力的先进制造业集群，加快产业升级、强化两业融合、加大数字赋能，打造具有全国竞争力和区域影响力的都市智造新高地。</w:t>
      </w:r>
    </w:p>
    <w:p>
      <w:pPr>
        <w:pStyle w:val="6"/>
        <w:spacing w:before="156" w:after="156"/>
        <w:rPr>
          <w:rFonts w:eastAsia="楷体_GB2312"/>
          <w:b w:val="0"/>
          <w:bCs w:val="0"/>
        </w:rPr>
      </w:pPr>
      <w:bookmarkStart w:id="18" w:name="_Toc58227460"/>
      <w:bookmarkStart w:id="19" w:name="_Toc14965"/>
      <w:r>
        <w:rPr>
          <w:rFonts w:hAnsi="楷体_GB2312" w:eastAsia="楷体_GB2312"/>
          <w:b w:val="0"/>
          <w:bCs w:val="0"/>
        </w:rPr>
        <w:t>第一节</w:t>
      </w:r>
      <w:r>
        <w:rPr>
          <w:rFonts w:eastAsia="楷体_GB2312"/>
          <w:b w:val="0"/>
          <w:bCs w:val="0"/>
        </w:rPr>
        <w:t xml:space="preserve"> </w:t>
      </w:r>
      <w:r>
        <w:rPr>
          <w:rFonts w:hAnsi="楷体_GB2312" w:eastAsia="楷体_GB2312"/>
          <w:b w:val="0"/>
          <w:bCs w:val="0"/>
        </w:rPr>
        <w:t>培育壮大高质量特色制造业</w:t>
      </w:r>
      <w:bookmarkEnd w:id="18"/>
      <w:bookmarkEnd w:id="19"/>
    </w:p>
    <w:p>
      <w:pPr>
        <w:ind w:firstLine="643"/>
        <w:rPr>
          <w:szCs w:val="32"/>
        </w:rPr>
      </w:pPr>
      <w:r>
        <w:rPr>
          <w:rFonts w:hAnsi="仿宋_GB2312"/>
          <w:b/>
          <w:bCs/>
          <w:szCs w:val="32"/>
        </w:rPr>
        <w:t>做强做大特色主导产业。</w:t>
      </w:r>
      <w:r>
        <w:t>围绕“都市工业+三新经济”建设，以推动产业集群化发展为方向，做大做强“两新一智”主导产业，打造高质量特色产业集群。围绕龙头企业加强延链、补链、强链、固链，充分发挥“链主企业”的集聚功能，积极引进上下游企业，提升产业协作配套能力。新一代信息技术产业依托精研科技、国光股份等企业，打造消费电子、汽车电子、新光源、激光照明等智能终端产品生产基地。新材料产业依托裕兴薄膜、波速传感器等企业重点发展高性能膜材料、功能陶瓷领域。智能装备产业依托西电常变、东风农机、昌瑞部品等企业，扩大智能电力装备、智能农机装备、汽车零部件产业基础优势。到2025年培育新一代信息技术、新材料等2个100亿级产业，智能装备产业规模达到300亿，全部工业总量突破1000亿元</w:t>
      </w:r>
      <w:r>
        <w:rPr>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专栏5-1 “两新一智”重点发展方向</w:t>
            </w:r>
          </w:p>
          <w:p>
            <w:pPr>
              <w:spacing w:line="440" w:lineRule="exact"/>
              <w:ind w:firstLine="0" w:firstLineChars="0"/>
              <w:jc w:val="left"/>
              <w:rPr>
                <w:bCs/>
                <w:kern w:val="0"/>
                <w:sz w:val="28"/>
                <w:szCs w:val="28"/>
              </w:rPr>
            </w:pPr>
            <w:r>
              <w:rPr>
                <w:b/>
                <w:bCs/>
                <w:kern w:val="0"/>
                <w:sz w:val="28"/>
                <w:szCs w:val="28"/>
              </w:rPr>
              <w:t>新一代信息技术：</w:t>
            </w:r>
            <w:r>
              <w:rPr>
                <w:kern w:val="0"/>
                <w:sz w:val="28"/>
                <w:szCs w:val="28"/>
              </w:rPr>
              <w:t>电子信息、新光源</w:t>
            </w:r>
            <w:r>
              <w:rPr>
                <w:bCs/>
                <w:kern w:val="0"/>
                <w:sz w:val="28"/>
                <w:szCs w:val="28"/>
              </w:rPr>
              <w:t>。</w:t>
            </w:r>
          </w:p>
          <w:p>
            <w:pPr>
              <w:spacing w:line="440" w:lineRule="exact"/>
              <w:ind w:firstLine="0" w:firstLineChars="0"/>
              <w:jc w:val="left"/>
              <w:rPr>
                <w:b/>
                <w:bCs/>
                <w:kern w:val="0"/>
                <w:sz w:val="28"/>
                <w:szCs w:val="28"/>
              </w:rPr>
            </w:pPr>
            <w:r>
              <w:rPr>
                <w:b/>
                <w:bCs/>
                <w:kern w:val="0"/>
                <w:sz w:val="28"/>
                <w:szCs w:val="28"/>
              </w:rPr>
              <w:t>新材料：</w:t>
            </w:r>
            <w:r>
              <w:rPr>
                <w:kern w:val="0"/>
                <w:sz w:val="28"/>
                <w:szCs w:val="28"/>
              </w:rPr>
              <w:t>高性能膜材料、功能陶瓷。</w:t>
            </w:r>
          </w:p>
          <w:p>
            <w:pPr>
              <w:spacing w:line="440" w:lineRule="exact"/>
              <w:ind w:firstLine="0" w:firstLineChars="0"/>
              <w:jc w:val="left"/>
              <w:rPr>
                <w:bCs/>
                <w:kern w:val="0"/>
                <w:szCs w:val="32"/>
              </w:rPr>
            </w:pPr>
            <w:r>
              <w:rPr>
                <w:b/>
                <w:bCs/>
                <w:kern w:val="0"/>
                <w:sz w:val="28"/>
                <w:szCs w:val="28"/>
              </w:rPr>
              <w:t>智能装备：</w:t>
            </w:r>
            <w:r>
              <w:rPr>
                <w:kern w:val="0"/>
                <w:sz w:val="28"/>
                <w:szCs w:val="28"/>
              </w:rPr>
              <w:t>智能电力装备、智能农机装备、汽车零部件。</w:t>
            </w:r>
          </w:p>
        </w:tc>
      </w:tr>
    </w:tbl>
    <w:p>
      <w:pPr>
        <w:ind w:firstLine="643"/>
      </w:pPr>
      <w:r>
        <w:rPr>
          <w:rFonts w:hAnsi="仿宋_GB2312"/>
          <w:b/>
          <w:bCs/>
          <w:szCs w:val="32"/>
        </w:rPr>
        <w:t>培育龙头特色企业。</w:t>
      </w:r>
      <w:r>
        <w:rPr>
          <w:szCs w:val="28"/>
        </w:rPr>
        <w:t>培育龙头特色企业。着力打造一批带动能力强劲、规模优势显著、市场地位靠前的龙头企业，支持格力博、常柴股份等龙头企业加强产业链垂直整合、兼并重组，提高全球产业链、价值链关键环节的控制力。引导匠心独具、中英科技等中小企业深耕细分市场，鼓励洛克电气、华日升、二电仪等本土企业提升产品核心竞争力，着力培育一批具有特色专业优势、强大创新能力、领先市场份额的细分行业领军企业。实施“12136”工程，到2025年培育年产值100亿元以上的工业企业1家，产值50亿元以上的工业企业2家，20亿元以上的工业企业10家，10亿元以上的工业企业30家，培育60家以上专精特新“小巨人”企业。</w:t>
      </w:r>
    </w:p>
    <w:p>
      <w:pPr>
        <w:ind w:firstLine="643"/>
        <w:rPr>
          <w:szCs w:val="28"/>
        </w:rPr>
      </w:pPr>
      <w:r>
        <w:rPr>
          <w:rFonts w:hAnsi="仿宋_GB2312"/>
          <w:b/>
          <w:bCs/>
          <w:szCs w:val="32"/>
        </w:rPr>
        <w:t>持续推动转型升级。</w:t>
      </w:r>
      <w:r>
        <w:rPr>
          <w:szCs w:val="28"/>
        </w:rPr>
        <w:t>支持企业加大技改投入，提高装备水平，优化工艺流程，提升产品品质，推动传统产业提档升级。依托国家智能化系统集成应用体验验证中心国家级平台的辐射效应，充分释放中国智能制造发展联盟、智能示范工厂的示范引领作用，培育智能制造新模式，促进企业智能化改造。推进生态产业化、产业生态化，鼓励企业生产绿色产品、建设绿色工厂、打造绿色产业链，引导经开区对标绿色园区标准，实现园区整体绿色发展。综合运用经济、法律、技术、环保等手段压减过剩产能，依法依规关停退出能耗、环保、安全、技术达不到标准的产品或产能。到2025年，培育市级以上智能车间20个以上，总数突破50个，培育5个智能工厂；培育市级以上绿色工厂8家以上，总数突破10家，经开区争创国家级绿色园区。</w:t>
      </w:r>
    </w:p>
    <w:p>
      <w:pPr>
        <w:pStyle w:val="6"/>
        <w:spacing w:before="156" w:after="156"/>
        <w:rPr>
          <w:rFonts w:eastAsia="楷体_GB2312"/>
          <w:b w:val="0"/>
          <w:bCs w:val="0"/>
        </w:rPr>
      </w:pPr>
      <w:bookmarkStart w:id="20" w:name="_Toc26968"/>
      <w:r>
        <w:rPr>
          <w:rFonts w:hAnsi="楷体_GB2312" w:eastAsia="楷体_GB2312"/>
          <w:b w:val="0"/>
          <w:bCs w:val="0"/>
        </w:rPr>
        <w:t>第二节</w:t>
      </w:r>
      <w:r>
        <w:rPr>
          <w:rFonts w:eastAsia="楷体_GB2312"/>
          <w:b w:val="0"/>
          <w:bCs w:val="0"/>
        </w:rPr>
        <w:t xml:space="preserve"> </w:t>
      </w:r>
      <w:r>
        <w:rPr>
          <w:rFonts w:hAnsi="楷体_GB2312" w:eastAsia="楷体_GB2312"/>
          <w:b w:val="0"/>
          <w:bCs w:val="0"/>
        </w:rPr>
        <w:t>加快推动两业深度融合</w:t>
      </w:r>
      <w:bookmarkEnd w:id="20"/>
    </w:p>
    <w:p>
      <w:pPr>
        <w:ind w:firstLine="643"/>
      </w:pPr>
      <w:r>
        <w:rPr>
          <w:rFonts w:hAnsi="仿宋_GB2312"/>
          <w:b/>
          <w:bCs/>
          <w:szCs w:val="32"/>
        </w:rPr>
        <w:t>加快培育生产性服务业。</w:t>
      </w:r>
      <w:r>
        <w:t>推动科技服务、现代物流等生产性服务业领域发展，提升服务业技术创新能力，打造一批面向服务领域的共性技术联合开发和推广平台，促进生产性服务业向专业化和价值链高端延伸。发挥工业、医疗大数据产业先发优势，加快集聚研发设计、创业孵化、知识产权、技术转移、科技金融、检验检测认证等科技服务企业与机构，构建种类齐全、布局合理、功能完备、运行高效的中介服务业体系。大力发展智慧物流，扩大高端物流服务供给，提升冷链、电商、供应链等新物流业态和能级。实施生产性服务业集聚区提升发展行动与重点服务业企业培育计划，到2025年，争创省先进制造业和现代服务业深度融合试点2家以上，市级重点服务业集聚区6家以上，省级生产性服务业领军企业8家以上，实现生产性服务业增加值490亿元，占服务业增加值比重达65%。</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专栏5-2 生产性服务业重点发展领域</w:t>
            </w:r>
          </w:p>
          <w:p>
            <w:pPr>
              <w:spacing w:line="440" w:lineRule="exact"/>
              <w:ind w:firstLine="0" w:firstLineChars="0"/>
              <w:rPr>
                <w:kern w:val="0"/>
                <w:sz w:val="28"/>
                <w:szCs w:val="28"/>
              </w:rPr>
            </w:pPr>
            <w:r>
              <w:rPr>
                <w:rFonts w:hAnsi="仿宋_GB2312"/>
                <w:b/>
                <w:bCs/>
                <w:kern w:val="0"/>
                <w:sz w:val="28"/>
                <w:szCs w:val="28"/>
              </w:rPr>
              <w:t>研发设计</w:t>
            </w:r>
            <w:r>
              <w:rPr>
                <w:b/>
                <w:bCs/>
                <w:kern w:val="0"/>
                <w:sz w:val="28"/>
                <w:szCs w:val="28"/>
              </w:rPr>
              <w:t>:</w:t>
            </w:r>
            <w:r>
              <w:rPr>
                <w:rFonts w:hAnsi="仿宋_GB2312"/>
                <w:kern w:val="0"/>
                <w:sz w:val="28"/>
                <w:szCs w:val="28"/>
              </w:rPr>
              <w:t>发展与制造业联系紧密的研发设计，创新众包设计、云设计等新型设计模式，提升新材料、新产品、新工艺研发设计能力，推动工业设计向高端综合设计服务转变，建设一批具有较强竞争力研发设计基地和中心。</w:t>
            </w:r>
          </w:p>
          <w:p>
            <w:pPr>
              <w:spacing w:line="440" w:lineRule="exact"/>
              <w:ind w:firstLine="0" w:firstLineChars="0"/>
              <w:rPr>
                <w:kern w:val="0"/>
                <w:sz w:val="28"/>
                <w:szCs w:val="28"/>
              </w:rPr>
            </w:pPr>
            <w:r>
              <w:rPr>
                <w:rFonts w:hAnsi="仿宋_GB2312"/>
                <w:b/>
                <w:bCs/>
                <w:kern w:val="0"/>
                <w:sz w:val="28"/>
                <w:szCs w:val="28"/>
              </w:rPr>
              <w:t>金融服务</w:t>
            </w:r>
            <w:r>
              <w:rPr>
                <w:b/>
                <w:bCs/>
                <w:kern w:val="0"/>
                <w:sz w:val="28"/>
                <w:szCs w:val="28"/>
              </w:rPr>
              <w:t>:</w:t>
            </w:r>
            <w:r>
              <w:rPr>
                <w:rFonts w:hAnsi="仿宋_GB2312"/>
                <w:kern w:val="0"/>
                <w:sz w:val="28"/>
                <w:szCs w:val="28"/>
              </w:rPr>
              <w:t>打造老城厢、皇粮浜片区、常州科技街等特色楼宇金融服务区，发展高效安全、绿色普惠、开放创新的现代金融服务业；引进基金信托、资产管理、股权投资等资产管理机构和各类有实力的金融主体，开拓科技保险、科技担保、知识产权质押等金融服务，探索开发供应链金融、新能源金融、普惠金融等新型产业金融形态。</w:t>
            </w:r>
          </w:p>
          <w:p>
            <w:pPr>
              <w:spacing w:line="440" w:lineRule="exact"/>
              <w:ind w:firstLine="0" w:firstLineChars="0"/>
              <w:rPr>
                <w:kern w:val="0"/>
                <w:sz w:val="28"/>
                <w:szCs w:val="28"/>
              </w:rPr>
            </w:pPr>
            <w:r>
              <w:rPr>
                <w:rFonts w:hAnsi="仿宋_GB2312"/>
                <w:b/>
                <w:bCs/>
                <w:kern w:val="0"/>
                <w:sz w:val="28"/>
                <w:szCs w:val="28"/>
              </w:rPr>
              <w:t>信息服务</w:t>
            </w:r>
            <w:r>
              <w:rPr>
                <w:b/>
                <w:bCs/>
                <w:kern w:val="0"/>
                <w:sz w:val="28"/>
                <w:szCs w:val="28"/>
              </w:rPr>
              <w:t>:</w:t>
            </w:r>
            <w:r>
              <w:rPr>
                <w:rFonts w:hAnsi="仿宋_GB2312"/>
                <w:kern w:val="0"/>
                <w:sz w:val="28"/>
                <w:szCs w:val="28"/>
              </w:rPr>
              <w:t>立足大数据产业基础，加快信息服务业发展。统筹完善各类园区综合性服务平台、服务创新平台，打造高水平生产性服务业公共服务平台，为区域中小微企业提供信息查询、创业辅导、管理咨询、法律服务、技术推广、市场开拓和合作交流等服务，形成与制造业相配套的服务链。</w:t>
            </w:r>
          </w:p>
          <w:p>
            <w:pPr>
              <w:spacing w:line="440" w:lineRule="exact"/>
              <w:ind w:firstLine="0" w:firstLineChars="0"/>
              <w:rPr>
                <w:bCs/>
                <w:color w:val="000000"/>
                <w:kern w:val="0"/>
                <w:szCs w:val="32"/>
              </w:rPr>
            </w:pPr>
            <w:r>
              <w:rPr>
                <w:rFonts w:hAnsi="仿宋_GB2312"/>
                <w:b/>
                <w:bCs/>
                <w:kern w:val="0"/>
                <w:sz w:val="28"/>
                <w:szCs w:val="28"/>
              </w:rPr>
              <w:t>现代物流：</w:t>
            </w:r>
            <w:r>
              <w:rPr>
                <w:rFonts w:hAnsi="仿宋_GB2312"/>
                <w:kern w:val="0"/>
                <w:sz w:val="28"/>
                <w:szCs w:val="28"/>
              </w:rPr>
              <w:t>以智慧物流为主攻方向，大力发展冷链、电商、供应链等新物流业；加强先进物流主体培育和引进，推进现代物流业公共服务平台建设，加快培育物流业龙头企业。</w:t>
            </w:r>
          </w:p>
        </w:tc>
      </w:tr>
    </w:tbl>
    <w:p>
      <w:pPr>
        <w:ind w:firstLine="643"/>
      </w:pPr>
      <w:r>
        <w:rPr>
          <w:rFonts w:hAnsi="仿宋_GB2312"/>
          <w:b/>
          <w:bCs/>
          <w:szCs w:val="32"/>
        </w:rPr>
        <w:t>积极发展服务型制造。</w:t>
      </w:r>
      <w:r>
        <w:rPr>
          <w:rFonts w:hAnsi="仿宋_GB2312"/>
          <w:szCs w:val="32"/>
        </w:rPr>
        <w:t>鼓励企业积极探索</w:t>
      </w:r>
      <w:r>
        <w:rPr>
          <w:szCs w:val="32"/>
        </w:rPr>
        <w:t>“</w:t>
      </w:r>
      <w:r>
        <w:rPr>
          <w:rFonts w:hAnsi="仿宋_GB2312"/>
          <w:szCs w:val="32"/>
        </w:rPr>
        <w:t>产品全生命周期管理</w:t>
      </w:r>
      <w:r>
        <w:rPr>
          <w:szCs w:val="32"/>
        </w:rPr>
        <w:t>”“</w:t>
      </w:r>
      <w:r>
        <w:rPr>
          <w:rFonts w:hAnsi="仿宋_GB2312"/>
          <w:szCs w:val="32"/>
        </w:rPr>
        <w:t>产品</w:t>
      </w:r>
      <w:r>
        <w:rPr>
          <w:szCs w:val="32"/>
        </w:rPr>
        <w:t>+</w:t>
      </w:r>
      <w:r>
        <w:rPr>
          <w:rFonts w:hAnsi="仿宋_GB2312"/>
          <w:szCs w:val="32"/>
        </w:rPr>
        <w:t>服务</w:t>
      </w:r>
      <w:r>
        <w:rPr>
          <w:szCs w:val="32"/>
        </w:rPr>
        <w:t>”</w:t>
      </w:r>
      <w:r>
        <w:rPr>
          <w:rFonts w:hAnsi="仿宋_GB2312"/>
          <w:szCs w:val="32"/>
        </w:rPr>
        <w:t>的总集成总承包、个性化定制等新型生产服务模式。推动制造企业从主要提供产品向提供</w:t>
      </w:r>
      <w:r>
        <w:rPr>
          <w:szCs w:val="32"/>
        </w:rPr>
        <w:t>“</w:t>
      </w:r>
      <w:r>
        <w:rPr>
          <w:rFonts w:hAnsi="仿宋_GB2312"/>
          <w:szCs w:val="32"/>
        </w:rPr>
        <w:t>产品</w:t>
      </w:r>
      <w:r>
        <w:rPr>
          <w:szCs w:val="32"/>
        </w:rPr>
        <w:t>+</w:t>
      </w:r>
      <w:r>
        <w:rPr>
          <w:rFonts w:hAnsi="仿宋_GB2312"/>
          <w:szCs w:val="32"/>
        </w:rPr>
        <w:t>服务</w:t>
      </w:r>
      <w:r>
        <w:rPr>
          <w:szCs w:val="32"/>
        </w:rPr>
        <w:t>”</w:t>
      </w:r>
      <w:r>
        <w:rPr>
          <w:rFonts w:hAnsi="仿宋_GB2312"/>
          <w:szCs w:val="32"/>
        </w:rPr>
        <w:t>及</w:t>
      </w:r>
      <w:r>
        <w:rPr>
          <w:szCs w:val="32"/>
        </w:rPr>
        <w:t>“</w:t>
      </w:r>
      <w:r>
        <w:rPr>
          <w:rFonts w:hAnsi="仿宋_GB2312"/>
          <w:szCs w:val="32"/>
        </w:rPr>
        <w:t>产品</w:t>
      </w:r>
      <w:r>
        <w:rPr>
          <w:szCs w:val="32"/>
        </w:rPr>
        <w:t>+</w:t>
      </w:r>
      <w:r>
        <w:rPr>
          <w:rFonts w:hAnsi="仿宋_GB2312"/>
          <w:szCs w:val="32"/>
        </w:rPr>
        <w:t>解决方案</w:t>
      </w:r>
      <w:r>
        <w:rPr>
          <w:szCs w:val="32"/>
        </w:rPr>
        <w:t>”</w:t>
      </w:r>
      <w:r>
        <w:rPr>
          <w:rFonts w:hAnsi="仿宋_GB2312"/>
          <w:szCs w:val="32"/>
        </w:rPr>
        <w:t>等总集成总承包转变，实现企业在服务中收益、增值、创新，形成制造与服务相互支撑、相互促进的良好局面。发展产品全生命周期管理、工业软件以及工业互联网服务，强化面向产品制造全流程的大数据和工业设计等服务，大力培育以长江院、微亿制造、中科摩通为代表的智能制造硬件、软件和系统集成服务商。打造</w:t>
      </w:r>
      <w:r>
        <w:rPr>
          <w:szCs w:val="32"/>
        </w:rPr>
        <w:t>“</w:t>
      </w:r>
      <w:r>
        <w:rPr>
          <w:rFonts w:hAnsi="仿宋_GB2312"/>
          <w:szCs w:val="32"/>
        </w:rPr>
        <w:t>两业</w:t>
      </w:r>
      <w:r>
        <w:rPr>
          <w:szCs w:val="32"/>
        </w:rPr>
        <w:t>”</w:t>
      </w:r>
      <w:r>
        <w:rPr>
          <w:rFonts w:hAnsi="仿宋_GB2312"/>
          <w:szCs w:val="32"/>
        </w:rPr>
        <w:t>深度融合的优势产业链条、新型产业集群、融合示范载体和产业生态圈，大力提升</w:t>
      </w:r>
      <w:r>
        <w:rPr>
          <w:szCs w:val="32"/>
        </w:rPr>
        <w:t>“</w:t>
      </w:r>
      <w:r>
        <w:rPr>
          <w:rFonts w:hAnsi="仿宋_GB2312"/>
          <w:szCs w:val="32"/>
        </w:rPr>
        <w:t>制造业服务化</w:t>
      </w:r>
      <w:r>
        <w:rPr>
          <w:szCs w:val="32"/>
        </w:rPr>
        <w:t>”</w:t>
      </w:r>
      <w:r>
        <w:rPr>
          <w:rFonts w:hAnsi="仿宋_GB2312"/>
          <w:szCs w:val="32"/>
        </w:rPr>
        <w:t>和</w:t>
      </w:r>
      <w:r>
        <w:rPr>
          <w:szCs w:val="32"/>
        </w:rPr>
        <w:t>“</w:t>
      </w:r>
      <w:r>
        <w:rPr>
          <w:rFonts w:hAnsi="仿宋_GB2312"/>
          <w:szCs w:val="32"/>
        </w:rPr>
        <w:t>服务业制造化</w:t>
      </w:r>
      <w:r>
        <w:rPr>
          <w:szCs w:val="32"/>
        </w:rPr>
        <w:t>”</w:t>
      </w:r>
      <w:r>
        <w:rPr>
          <w:rFonts w:hAnsi="仿宋_GB2312"/>
          <w:szCs w:val="32"/>
        </w:rPr>
        <w:t>水平，争创江苏省先进制造业和现代服务业深度融合试点。到</w:t>
      </w:r>
      <w:r>
        <w:rPr>
          <w:szCs w:val="32"/>
        </w:rPr>
        <w:t>2025</w:t>
      </w:r>
      <w:r>
        <w:rPr>
          <w:rFonts w:hAnsi="仿宋_GB2312"/>
          <w:szCs w:val="32"/>
        </w:rPr>
        <w:t>年，培育市级以上服务型制造示范企业</w:t>
      </w:r>
      <w:r>
        <w:rPr>
          <w:szCs w:val="32"/>
        </w:rPr>
        <w:t>10</w:t>
      </w:r>
      <w:r>
        <w:rPr>
          <w:rFonts w:hAnsi="仿宋_GB2312"/>
          <w:szCs w:val="32"/>
        </w:rPr>
        <w:t>家以上，总数突破</w:t>
      </w:r>
      <w:r>
        <w:rPr>
          <w:szCs w:val="32"/>
        </w:rPr>
        <w:t>20</w:t>
      </w:r>
      <w:r>
        <w:rPr>
          <w:rFonts w:hAnsi="仿宋_GB2312"/>
          <w:szCs w:val="32"/>
        </w:rPr>
        <w:t>家</w:t>
      </w:r>
      <w:r>
        <w:t>。</w:t>
      </w:r>
    </w:p>
    <w:p>
      <w:pPr>
        <w:pStyle w:val="6"/>
        <w:spacing w:before="156" w:after="156"/>
        <w:rPr>
          <w:rFonts w:eastAsia="楷体_GB2312"/>
          <w:b w:val="0"/>
          <w:bCs w:val="0"/>
        </w:rPr>
      </w:pPr>
      <w:bookmarkStart w:id="21" w:name="_Toc27454"/>
      <w:r>
        <w:rPr>
          <w:rFonts w:hAnsi="楷体_GB2312" w:eastAsia="楷体_GB2312"/>
          <w:b w:val="0"/>
          <w:bCs w:val="0"/>
        </w:rPr>
        <w:t>第三节</w:t>
      </w:r>
      <w:r>
        <w:rPr>
          <w:rFonts w:eastAsia="楷体_GB2312"/>
          <w:b w:val="0"/>
          <w:bCs w:val="0"/>
        </w:rPr>
        <w:t xml:space="preserve"> </w:t>
      </w:r>
      <w:r>
        <w:rPr>
          <w:rFonts w:hAnsi="楷体_GB2312" w:eastAsia="楷体_GB2312"/>
          <w:b w:val="0"/>
          <w:bCs w:val="0"/>
        </w:rPr>
        <w:t>提升产业园区载体能级</w:t>
      </w:r>
      <w:bookmarkEnd w:id="21"/>
    </w:p>
    <w:p>
      <w:pPr>
        <w:ind w:firstLine="643"/>
      </w:pPr>
      <w:r>
        <w:rPr>
          <w:rFonts w:hAnsi="仿宋_GB2312"/>
          <w:b/>
          <w:bCs/>
          <w:szCs w:val="32"/>
        </w:rPr>
        <w:t>跻身省级开发区</w:t>
      </w:r>
      <w:r>
        <w:rPr>
          <w:b/>
          <w:bCs/>
          <w:szCs w:val="32"/>
        </w:rPr>
        <w:t>“</w:t>
      </w:r>
      <w:r>
        <w:rPr>
          <w:rFonts w:hAnsi="仿宋_GB2312"/>
          <w:b/>
          <w:bCs/>
          <w:szCs w:val="32"/>
        </w:rPr>
        <w:t>第一方阵</w:t>
      </w:r>
      <w:r>
        <w:rPr>
          <w:b/>
          <w:bCs/>
          <w:szCs w:val="32"/>
        </w:rPr>
        <w:t>”</w:t>
      </w:r>
      <w:r>
        <w:rPr>
          <w:rFonts w:hAnsi="仿宋_GB2312"/>
          <w:b/>
          <w:bCs/>
          <w:szCs w:val="32"/>
        </w:rPr>
        <w:t>。</w:t>
      </w:r>
      <w:r>
        <w:t>经开区着力发展新一代信息技术、高端智能制造、高端服务业，实施数字经济强区工程，以大数据带动转型升级、推动提质增效、驱动创新发展，引入大数据、云计算、人工智能、移动互联网、物联网类行业龙头企业20家以上，打造一批数字经济相关产业协同创新中心；支持精研科技、思源电气等龙头骨干企业延伸产业链、服务链、生态链，形成产业优势互补、资源互用，依存度高、协作度紧的产业集群。以重大项目突破、招商渠道拓展为核心，力争“旗舰头部”企业落地，吸引一批世界500强的生态链企业在园区集聚。构建以产引才、以产促才、产才融合的良性格局，实现产业和人才发展“双加速”。到2025年，实现公共财政预算收入30亿元，规模以上工业总产值450亿元，亩均税收达20万元，高新技术企业数量实现翻番，上市企业实现倍增，力争“十四五”期间进入省级开发区“第一方阵”，为创建国家级开发区奠定坚实基础。</w:t>
      </w:r>
    </w:p>
    <w:p>
      <w:pPr>
        <w:ind w:firstLine="643"/>
      </w:pPr>
      <w:r>
        <w:rPr>
          <w:rFonts w:hAnsi="仿宋_GB2312"/>
          <w:b/>
          <w:bCs/>
          <w:szCs w:val="32"/>
        </w:rPr>
        <w:t>全力创成省级高新区。</w:t>
      </w:r>
      <w:r>
        <w:rPr>
          <w:rFonts w:hAnsi="仿宋_GB2312"/>
          <w:bCs/>
          <w:szCs w:val="32"/>
        </w:rPr>
        <w:t>加强</w:t>
      </w:r>
      <w:r>
        <w:t>高新园区顶层设计，</w:t>
      </w:r>
      <w:r>
        <w:rPr>
          <w:rFonts w:hAnsi="仿宋_GB2312"/>
          <w:bCs/>
          <w:szCs w:val="32"/>
        </w:rPr>
        <w:t>立足高端、创新的发展定位，</w:t>
      </w:r>
      <w:r>
        <w:t>实现各类资源的最优布局和最大化利用。以高新园区为产业发展主阵地，聚焦高性能膜材料、高端智能终端、新光电等三大主导产业引</w:t>
      </w:r>
      <w:r>
        <w:rPr>
          <w:rFonts w:hAnsi="仿宋_GB2312"/>
          <w:bCs/>
          <w:szCs w:val="32"/>
        </w:rPr>
        <w:t>育壮大创新动能</w:t>
      </w:r>
      <w:r>
        <w:t>，大力发展智慧物流产业支撑长三角现代物流中心建设；协同推进运河文化复兴片区、中心镇区产城融合示范片区、殷杏泰现代农业试验区三大功能组团。积极打造在全国、全省具有较强影响力或标志性的重大科技创新平台和“双创”载体平台，将高新园区建设成创新驱动的主引擎与产业发展的主阵地。力争2年，确保3年创成省级高新区。</w:t>
      </w:r>
    </w:p>
    <w:p>
      <w:pPr>
        <w:ind w:firstLine="643"/>
      </w:pPr>
      <w:r>
        <w:rPr>
          <w:rFonts w:hAnsi="仿宋_GB2312"/>
          <w:b/>
          <w:bCs/>
          <w:szCs w:val="32"/>
        </w:rPr>
        <w:t>打造高质量主题特色园区。</w:t>
      </w:r>
      <w:r>
        <w:rPr>
          <w:rFonts w:hAnsi="仿宋_GB2312"/>
          <w:bCs/>
          <w:szCs w:val="32"/>
        </w:rPr>
        <w:t>不断</w:t>
      </w:r>
      <w:r>
        <w:t>优化完善园区空间布局，高标准规划建设基础设施，整理盘活、改造升级城区闲置厂房及楼宇，创建一批都市工业园、智造园、科技园、双创园的特色园区，加快形成都市经济新增长点。强化园区特色打造，进一步强化新博智汇谷、五星智造园、特种设备微产业园等园区产业特色优势，引导联东U谷、中博星运50等一批新园区围绕主题方向实现优势联动和错位发展，打造钟楼“一园一主题”发展格局。到2025年，全区形成特色园区20个以上。</w:t>
      </w:r>
    </w:p>
    <w:p>
      <w:pPr>
        <w:pStyle w:val="5"/>
        <w:spacing w:before="312" w:after="156"/>
        <w:rPr>
          <w:rFonts w:ascii="Times New Roman" w:hAnsi="Times New Roman" w:eastAsia="黑体"/>
        </w:rPr>
      </w:pPr>
      <w:bookmarkStart w:id="22" w:name="_Toc23180"/>
      <w:r>
        <w:rPr>
          <w:rFonts w:ascii="Times New Roman" w:hAnsi="黑体" w:eastAsia="黑体"/>
        </w:rPr>
        <w:t>第六章</w:t>
      </w:r>
      <w:r>
        <w:rPr>
          <w:rFonts w:ascii="Times New Roman" w:hAnsi="Times New Roman" w:eastAsia="黑体"/>
        </w:rPr>
        <w:t xml:space="preserve"> </w:t>
      </w:r>
      <w:r>
        <w:rPr>
          <w:rFonts w:ascii="Times New Roman" w:hAnsi="黑体" w:eastAsia="黑体"/>
        </w:rPr>
        <w:t>打造数字经济示范区</w:t>
      </w:r>
      <w:bookmarkEnd w:id="22"/>
    </w:p>
    <w:p>
      <w:pPr>
        <w:ind w:firstLine="640"/>
      </w:pPr>
      <w:r>
        <w:t>培育壮大数字经济，进一步优化产业生态，集聚数字资源，基于工业大数据与医疗大数据优势，不断拓展产业发展应用与城市建设应用，建设长三角产业互联网应用中心。</w:t>
      </w:r>
    </w:p>
    <w:p>
      <w:pPr>
        <w:pStyle w:val="6"/>
        <w:spacing w:before="156" w:after="156"/>
        <w:rPr>
          <w:rFonts w:eastAsia="楷体_GB2312"/>
          <w:b w:val="0"/>
          <w:bCs w:val="0"/>
        </w:rPr>
      </w:pPr>
      <w:bookmarkStart w:id="23" w:name="_Toc58227464"/>
      <w:bookmarkStart w:id="24" w:name="_Toc2964"/>
      <w:r>
        <w:rPr>
          <w:rFonts w:hAnsi="楷体_GB2312" w:eastAsia="楷体_GB2312"/>
          <w:b w:val="0"/>
          <w:bCs w:val="0"/>
        </w:rPr>
        <w:t>第一节</w:t>
      </w:r>
      <w:r>
        <w:rPr>
          <w:rFonts w:eastAsia="楷体_GB2312"/>
          <w:b w:val="0"/>
          <w:bCs w:val="0"/>
        </w:rPr>
        <w:t xml:space="preserve"> </w:t>
      </w:r>
      <w:bookmarkEnd w:id="23"/>
      <w:r>
        <w:rPr>
          <w:rFonts w:hAnsi="楷体_GB2312" w:eastAsia="楷体_GB2312"/>
          <w:b w:val="0"/>
          <w:bCs w:val="0"/>
        </w:rPr>
        <w:t>推动数字产业化发展</w:t>
      </w:r>
      <w:bookmarkEnd w:id="24"/>
    </w:p>
    <w:p>
      <w:pPr>
        <w:pStyle w:val="8"/>
        <w:spacing w:after="0" w:line="560" w:lineRule="exact"/>
        <w:ind w:firstLine="643"/>
        <w:rPr>
          <w:color w:val="FF0000"/>
          <w:szCs w:val="32"/>
        </w:rPr>
      </w:pPr>
      <w:r>
        <w:rPr>
          <w:rFonts w:hAnsi="仿宋_GB2312"/>
          <w:b/>
          <w:bCs/>
          <w:szCs w:val="32"/>
        </w:rPr>
        <w:t>培育壮大大数据产业。</w:t>
      </w:r>
      <w:r>
        <w:rPr>
          <w:szCs w:val="28"/>
        </w:rPr>
        <w:t>充分发挥华东云计算基地基础优势，以“应用汇数据、数据助服务、服务引产业”为发展方向，依托“一园两云多中心”发展格局，坚持高起点规划、高标准建设，聚焦大数据采集、存储、治理、交换、研究、应用、安全等领域，巩固提升工业大数据与健康大数据产业优势，积极拓展电商大数据、物流大数据、旅游大数据、农业大数据等新领域。以经开区被评为江苏省大数据产业园为契机，充分发挥常州大数据产业园引领作用，建设以数据为切口，集工业互联网、人工智能、物联网、区块链、5G、文创互娱等产业于一体的大运河江苏数字港，打造全市标杆、长三角重要支点、国内有影响的大数据产业示范区。到2025年，培育或引进3-5家国内知名的大数据公司落户钟楼区</w:t>
      </w:r>
      <w:r>
        <w:rPr>
          <w:szCs w:val="32"/>
        </w:rPr>
        <w:t>，孵化100家左右健康生长的大数据中小微企业，大数据产业主营业务收入突破150亿元。</w:t>
      </w:r>
    </w:p>
    <w:p>
      <w:pPr>
        <w:pStyle w:val="8"/>
        <w:spacing w:after="0" w:line="560" w:lineRule="exact"/>
        <w:ind w:firstLine="643"/>
      </w:pPr>
      <w:r>
        <w:rPr>
          <w:rFonts w:hAnsi="仿宋_GB2312"/>
          <w:b/>
          <w:bCs/>
          <w:szCs w:val="32"/>
        </w:rPr>
        <w:t>重点打造</w:t>
      </w:r>
      <w:r>
        <w:rPr>
          <w:b/>
          <w:bCs/>
          <w:szCs w:val="32"/>
        </w:rPr>
        <w:t>“</w:t>
      </w:r>
      <w:r>
        <w:rPr>
          <w:rFonts w:hAnsi="仿宋_GB2312"/>
          <w:b/>
          <w:bCs/>
          <w:szCs w:val="32"/>
        </w:rPr>
        <w:t>两朵云</w:t>
      </w:r>
      <w:r>
        <w:rPr>
          <w:b/>
          <w:bCs/>
          <w:szCs w:val="32"/>
        </w:rPr>
        <w:t>”</w:t>
      </w:r>
      <w:r>
        <w:rPr>
          <w:rFonts w:hAnsi="仿宋_GB2312"/>
          <w:b/>
          <w:bCs/>
          <w:szCs w:val="32"/>
        </w:rPr>
        <w:t>。</w:t>
      </w:r>
      <w:r>
        <w:rPr>
          <w:rFonts w:hAnsi="仿宋_GB2312"/>
          <w:bCs/>
          <w:szCs w:val="32"/>
        </w:rPr>
        <w:t>依托国家健康医疗东部中心，</w:t>
      </w:r>
      <w:r>
        <w:rPr>
          <w:szCs w:val="28"/>
        </w:rPr>
        <w:t>不断完善智慧健康云平台，多方联合，开发多元化场景应用，帮助完善医院信息化体系，实现一体式健康管理，推动智慧健康云成为省健康医疗大数据核心云平台，</w:t>
      </w:r>
      <w:r>
        <w:rPr>
          <w:szCs w:val="32"/>
        </w:rPr>
        <w:t>面向全省的“政、医、企、民”提供规模化的云服务。依托微亿智造，持续完善</w:t>
      </w:r>
      <w:r>
        <w:rPr>
          <w:szCs w:val="28"/>
        </w:rPr>
        <w:t>常州工业大数据云平台，围绕3C电子、汽车零部件等行业为工业企业提供数据标准、模型开发、图形可视化、模型训练等服务，不断丰富工业算法模型，推动常州工业云成为国家级特色专业型工业互联网平台。同时鼓励龙头骨干企业部署工业级混合云，建设工业数字化平台，利用大数据技术精准感知用户需求，促进基于数据和知识的创新设计，强化故障预测与健康管理，提高调度效率，优化产品质量，降低能源消耗及测试成本</w:t>
      </w:r>
      <w:r>
        <w:t>。</w:t>
      </w:r>
    </w:p>
    <w:p>
      <w:pPr>
        <w:pStyle w:val="6"/>
        <w:spacing w:before="156" w:after="156"/>
        <w:rPr>
          <w:rFonts w:eastAsia="楷体_GB2312"/>
          <w:b w:val="0"/>
          <w:bCs w:val="0"/>
        </w:rPr>
      </w:pPr>
      <w:bookmarkStart w:id="25" w:name="_Toc58227465"/>
      <w:bookmarkStart w:id="26" w:name="_Toc8657"/>
      <w:r>
        <w:rPr>
          <w:rFonts w:hAnsi="楷体_GB2312" w:eastAsia="楷体_GB2312"/>
          <w:b w:val="0"/>
          <w:bCs w:val="0"/>
        </w:rPr>
        <w:t>第二节</w:t>
      </w:r>
      <w:r>
        <w:rPr>
          <w:rFonts w:eastAsia="楷体_GB2312"/>
          <w:b w:val="0"/>
          <w:bCs w:val="0"/>
        </w:rPr>
        <w:t xml:space="preserve"> </w:t>
      </w:r>
      <w:r>
        <w:rPr>
          <w:rFonts w:hAnsi="楷体_GB2312" w:eastAsia="楷体_GB2312"/>
          <w:b w:val="0"/>
          <w:bCs w:val="0"/>
        </w:rPr>
        <w:t>推动产业数字化转型</w:t>
      </w:r>
      <w:bookmarkEnd w:id="25"/>
      <w:bookmarkEnd w:id="26"/>
    </w:p>
    <w:p>
      <w:pPr>
        <w:pStyle w:val="8"/>
        <w:spacing w:after="0" w:line="560" w:lineRule="exact"/>
        <w:ind w:firstLine="640"/>
      </w:pPr>
      <w:bookmarkStart w:id="27" w:name="_Toc58227466"/>
      <w:r>
        <w:rPr>
          <w:szCs w:val="28"/>
        </w:rPr>
        <w:t>大力推进工业互联网发展。围绕“两新一智”主导产业、重点企业，以微亿智造与京东智联云达成战略合作为契机，积极探索C2M小批量个性化定制模式，深度绑定电商、智能制造和智慧物流，打造端到端深度融合新业态。充分发挥常州工业云平台和中机云创工业互联网平台优势，联合区内制造业优势企业同步推进综合性赋能平台、行业级应用平台、企业自建平台和专业领域服务平台，形成多层次、系统化的平台发展体系。实施制造业数字化转型升级和工业企业上云行动，突出设备数字化、车间智能化、企业网络化发展，建设一批工业互联网重点平台和标杆工厂，培育一批星级上云企业，真正实现企业“上云、用数、赋智”。到2025年，累计培育重点工业互联网平台3-5家，培育标杆工厂8-10家。全面促进数字化社会应用。培育壮大重点行业应用场景，推动贸易、金融、物流、文旅、设计、零售等行业数字化创新发展，大力发展智慧农业，在殷杏泰片区探索打造数字农业农村基地</w:t>
      </w:r>
      <w:r>
        <w:t>。</w:t>
      </w:r>
    </w:p>
    <w:p>
      <w:pPr>
        <w:pStyle w:val="6"/>
        <w:spacing w:before="156" w:after="156"/>
        <w:rPr>
          <w:rFonts w:eastAsia="楷体_GB2312"/>
          <w:b w:val="0"/>
          <w:bCs w:val="0"/>
        </w:rPr>
      </w:pPr>
      <w:bookmarkStart w:id="28" w:name="_Toc12427"/>
      <w:r>
        <w:rPr>
          <w:rFonts w:hAnsi="楷体_GB2312" w:eastAsia="楷体_GB2312"/>
          <w:b w:val="0"/>
          <w:bCs w:val="0"/>
        </w:rPr>
        <w:t>第三节</w:t>
      </w:r>
      <w:r>
        <w:rPr>
          <w:rFonts w:eastAsia="楷体_GB2312"/>
          <w:b w:val="0"/>
          <w:bCs w:val="0"/>
        </w:rPr>
        <w:t xml:space="preserve"> </w:t>
      </w:r>
      <w:r>
        <w:rPr>
          <w:rFonts w:hAnsi="楷体_GB2312" w:eastAsia="楷体_GB2312"/>
          <w:b w:val="0"/>
          <w:bCs w:val="0"/>
        </w:rPr>
        <w:t>加快数字化城市建设</w:t>
      </w:r>
      <w:bookmarkEnd w:id="27"/>
      <w:bookmarkEnd w:id="28"/>
    </w:p>
    <w:p>
      <w:pPr>
        <w:ind w:firstLine="640"/>
        <w:rPr>
          <w:szCs w:val="28"/>
        </w:rPr>
      </w:pPr>
      <w:r>
        <w:rPr>
          <w:szCs w:val="28"/>
        </w:rPr>
        <w:t>加快数字基础设施建设，推进5G基站建设布局，实施5G网络建设发展工程，加快光纤网络扩容，实现光纤千兆家庭、商务万兆固网接入能力全覆盖。</w:t>
      </w:r>
      <w:r>
        <w:rPr>
          <w:szCs w:val="32"/>
        </w:rPr>
        <w:t>提升政府治理数字化水平，编制实施政务服务“一件事”</w:t>
      </w:r>
      <w:r>
        <w:rPr>
          <w:rFonts w:hAnsi="仿宋_GB2312"/>
          <w:szCs w:val="32"/>
        </w:rPr>
        <w:t>、社会治理</w:t>
      </w:r>
      <w:r>
        <w:rPr>
          <w:szCs w:val="32"/>
        </w:rPr>
        <w:t>“</w:t>
      </w:r>
      <w:r>
        <w:rPr>
          <w:rFonts w:hAnsi="仿宋_GB2312"/>
          <w:szCs w:val="32"/>
        </w:rPr>
        <w:t>一类事</w:t>
      </w:r>
      <w:r>
        <w:rPr>
          <w:szCs w:val="32"/>
        </w:rPr>
        <w:t>”</w:t>
      </w:r>
      <w:r>
        <w:rPr>
          <w:rFonts w:hAnsi="仿宋_GB2312"/>
          <w:szCs w:val="32"/>
        </w:rPr>
        <w:t>、政府运行</w:t>
      </w:r>
      <w:r>
        <w:rPr>
          <w:szCs w:val="32"/>
        </w:rPr>
        <w:t>“</w:t>
      </w:r>
      <w:r>
        <w:rPr>
          <w:rFonts w:hAnsi="仿宋_GB2312"/>
          <w:szCs w:val="32"/>
        </w:rPr>
        <w:t>一项事</w:t>
      </w:r>
      <w:r>
        <w:rPr>
          <w:szCs w:val="32"/>
        </w:rPr>
        <w:t>”</w:t>
      </w:r>
      <w:r>
        <w:rPr>
          <w:rFonts w:hAnsi="仿宋_GB2312"/>
          <w:szCs w:val="32"/>
        </w:rPr>
        <w:t>等</w:t>
      </w:r>
      <w:r>
        <w:rPr>
          <w:szCs w:val="32"/>
        </w:rPr>
        <w:t>“</w:t>
      </w:r>
      <w:r>
        <w:rPr>
          <w:rFonts w:hAnsi="仿宋_GB2312"/>
          <w:szCs w:val="32"/>
        </w:rPr>
        <w:t>三清单</w:t>
      </w:r>
      <w:r>
        <w:rPr>
          <w:szCs w:val="32"/>
        </w:rPr>
        <w:t>”</w:t>
      </w:r>
      <w:r>
        <w:rPr>
          <w:rFonts w:hAnsi="仿宋_GB2312"/>
          <w:szCs w:val="32"/>
        </w:rPr>
        <w:t>，优</w:t>
      </w:r>
      <w:r>
        <w:rPr>
          <w:szCs w:val="32"/>
        </w:rPr>
        <w:t>化一体化政务服务、“互联网+监管”等平台，推进档案等信息化建设。深入实施信息惠民工程，加快智能化泛在感知体系建设，大力推进“人工智能+”，积极构建“智慧医疗”“智慧出行”“智慧养老”“智慧监管”等应用场景，</w:t>
      </w:r>
      <w:r>
        <w:rPr>
          <w:szCs w:val="28"/>
        </w:rPr>
        <w:t>以5G、大数据、人工智能推进智慧钟楼建设。健全信息安全保障体系，加强公共数据和个人信息保护。</w:t>
      </w:r>
    </w:p>
    <w:p>
      <w:pPr>
        <w:pStyle w:val="5"/>
        <w:spacing w:before="312" w:after="156"/>
        <w:rPr>
          <w:rFonts w:ascii="Times New Roman" w:hAnsi="Times New Roman" w:eastAsia="黑体"/>
        </w:rPr>
      </w:pPr>
      <w:bookmarkStart w:id="29" w:name="_Toc26552"/>
      <w:r>
        <w:rPr>
          <w:rFonts w:ascii="Times New Roman" w:hAnsi="黑体" w:eastAsia="黑体"/>
        </w:rPr>
        <w:t>第七章</w:t>
      </w:r>
      <w:r>
        <w:rPr>
          <w:rFonts w:ascii="Times New Roman" w:hAnsi="Times New Roman" w:eastAsia="黑体"/>
        </w:rPr>
        <w:t xml:space="preserve"> </w:t>
      </w:r>
      <w:r>
        <w:rPr>
          <w:rFonts w:ascii="Times New Roman" w:hAnsi="黑体" w:eastAsia="黑体"/>
        </w:rPr>
        <w:t>构筑中轴枢纽新支点</w:t>
      </w:r>
      <w:bookmarkEnd w:id="29"/>
    </w:p>
    <w:p>
      <w:pPr>
        <w:ind w:firstLine="640"/>
        <w:rPr>
          <w:rFonts w:eastAsia="楷体"/>
        </w:rPr>
      </w:pPr>
      <w:r>
        <w:t>紧抓常泰铁路、苏锡常快线和宁常高速过境契机，坚持以交通为引领、以产业为核心、以服务为重点，将钟楼打造成为“东西汇聚、南北连通”的中轴枢纽新支点，着力提升区域辐射带动力。</w:t>
      </w:r>
    </w:p>
    <w:p>
      <w:pPr>
        <w:pStyle w:val="6"/>
        <w:spacing w:before="156" w:after="156"/>
        <w:rPr>
          <w:rFonts w:eastAsia="楷体_GB2312"/>
          <w:b w:val="0"/>
          <w:bCs w:val="0"/>
        </w:rPr>
      </w:pPr>
      <w:bookmarkStart w:id="30" w:name="_Toc20758"/>
      <w:r>
        <w:rPr>
          <w:rFonts w:hAnsi="楷体_GB2312" w:eastAsia="楷体_GB2312"/>
          <w:b w:val="0"/>
          <w:bCs w:val="0"/>
        </w:rPr>
        <w:t>第一节</w:t>
      </w:r>
      <w:r>
        <w:rPr>
          <w:rFonts w:eastAsia="楷体_GB2312"/>
          <w:b w:val="0"/>
          <w:bCs w:val="0"/>
        </w:rPr>
        <w:t xml:space="preserve"> </w:t>
      </w:r>
      <w:r>
        <w:rPr>
          <w:rFonts w:hAnsi="楷体_GB2312" w:eastAsia="楷体_GB2312"/>
          <w:b w:val="0"/>
          <w:bCs w:val="0"/>
        </w:rPr>
        <w:t>推动多层次交通互通互联</w:t>
      </w:r>
      <w:bookmarkEnd w:id="30"/>
    </w:p>
    <w:p>
      <w:pPr>
        <w:ind w:firstLine="640"/>
        <w:rPr>
          <w:b/>
          <w:bCs/>
          <w:szCs w:val="32"/>
        </w:rPr>
      </w:pPr>
      <w:r>
        <w:t>深入开展交通规划研究和推动重要交通项目落地，深化铁路、轨道、高速、快速路、国省道、县乡道、农村公路等综合交通运输体系建设。共建高速与高铁“两高主骨架”，打造快速轨道与快速干线“两快系统”，完善城市轨道与主干道路“两网络”，构建物流运输与出行服务“两体系”，助推西进提速，打造交通枢纽新支点。到2025年，基本建成“安全、便捷、高效、绿色、经济”的现代化综合交通运输体系，实现“5210”交通时空圈，即50分钟连通苏锡常主要城市，20分钟连通钟楼周边主要区县，10分钟上高快系统，10分钟区内东西联通。</w:t>
      </w:r>
    </w:p>
    <w:p>
      <w:pPr>
        <w:ind w:firstLine="643"/>
      </w:pPr>
      <w:r>
        <w:rPr>
          <w:rFonts w:hAnsi="仿宋_GB2312"/>
          <w:b/>
          <w:bCs/>
          <w:szCs w:val="32"/>
        </w:rPr>
        <w:t>推进区域交通建设高速化。</w:t>
      </w:r>
      <w:r>
        <w:rPr>
          <w:rFonts w:hAnsi="仿宋_GB2312"/>
          <w:szCs w:val="32"/>
        </w:rPr>
        <w:t>预控常泰铁路通道，推进常泰城际铁路建设，强化南北跨江融合发展。推进宁常高速金坛常州段建设，构建沪宁二通道中走廊。</w:t>
      </w:r>
      <w:r>
        <w:t>对接苏锡常都市快线规划方案，</w:t>
      </w:r>
      <w:r>
        <w:rPr>
          <w:rFonts w:hAnsi="仿宋_GB2312"/>
          <w:szCs w:val="32"/>
        </w:rPr>
        <w:t>强化苏锡常都市圈与南京都市圈沟通联系。</w:t>
      </w:r>
      <w:r>
        <w:t>积极融入城市群和都市圈交通网络，凸显长三角中轴枢纽支点地位。</w:t>
      </w:r>
    </w:p>
    <w:p>
      <w:pPr>
        <w:ind w:firstLine="643"/>
      </w:pPr>
      <w:r>
        <w:rPr>
          <w:rFonts w:hAnsi="仿宋_GB2312"/>
          <w:b/>
          <w:bCs/>
          <w:szCs w:val="32"/>
        </w:rPr>
        <w:t>推进市域连接网络畅通化。</w:t>
      </w:r>
      <w:r>
        <w:rPr>
          <w:rFonts w:hAnsi="仿宋_GB2312"/>
          <w:szCs w:val="32"/>
        </w:rPr>
        <w:t>打造区域与城市一体的快速干线系统，加快推进常溧宁快速通道（</w:t>
      </w:r>
      <w:r>
        <w:rPr>
          <w:szCs w:val="32"/>
        </w:rPr>
        <w:t>S239</w:t>
      </w:r>
      <w:r>
        <w:rPr>
          <w:rFonts w:hAnsi="仿宋_GB2312"/>
          <w:szCs w:val="32"/>
        </w:rPr>
        <w:t>）、常金快速路（</w:t>
      </w:r>
      <w:r>
        <w:rPr>
          <w:szCs w:val="32"/>
        </w:rPr>
        <w:t>340</w:t>
      </w:r>
      <w:r>
        <w:rPr>
          <w:rFonts w:hAnsi="仿宋_GB2312"/>
          <w:szCs w:val="32"/>
        </w:rPr>
        <w:t>省道改线）、</w:t>
      </w:r>
      <w:r>
        <w:rPr>
          <w:szCs w:val="32"/>
        </w:rPr>
        <w:t>238</w:t>
      </w:r>
      <w:r>
        <w:rPr>
          <w:rFonts w:hAnsi="仿宋_GB2312"/>
          <w:szCs w:val="32"/>
        </w:rPr>
        <w:t>省道（腾龙路）改扩建等对外快速干线优化提升工程建设。</w:t>
      </w:r>
      <w:r>
        <w:t>争取轨道交通2号线西延、苏锡常都市快</w:t>
      </w:r>
      <w:r>
        <w:rPr>
          <w:rFonts w:hAnsi="仿宋_GB2312"/>
          <w:szCs w:val="32"/>
        </w:rPr>
        <w:t>线等交</w:t>
      </w:r>
      <w:r>
        <w:t>通站点在高新园汇集，引入站城一体模式，建设开发城际综合体，打造区域性交通客运枢纽，提升与奔牛机场、常州港、常州站等市内枢纽的交通连接。</w:t>
      </w:r>
    </w:p>
    <w:p>
      <w:pPr>
        <w:ind w:firstLine="643"/>
      </w:pPr>
      <w:r>
        <w:rPr>
          <w:rFonts w:hAnsi="仿宋_GB2312"/>
          <w:b/>
          <w:bCs/>
          <w:szCs w:val="32"/>
        </w:rPr>
        <w:t>推进城市内部出行品质化。</w:t>
      </w:r>
      <w:r>
        <w:t>拓宽华山南路，打通星湖路、茶花路等城市断头路和交通“堵点”。积极推进振中路跨运河大桥等桥梁建设。切实加快邹区片区农村道路和公路路网建设，提升邹区和城区的通达效率。优化公交线网，完善公交场站布局，探索定制公交模式。加快打造滨水慢行交通系统，构建便捷绿色、智慧的交通出行服务体系，提升城乡公共交通出行品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专栏7-1 交通基础设施建设重点工程</w:t>
            </w:r>
          </w:p>
          <w:p>
            <w:pPr>
              <w:spacing w:line="440" w:lineRule="exact"/>
              <w:ind w:firstLine="0" w:firstLineChars="0"/>
              <w:rPr>
                <w:bCs/>
                <w:kern w:val="0"/>
                <w:sz w:val="28"/>
                <w:szCs w:val="28"/>
              </w:rPr>
            </w:pPr>
            <w:r>
              <w:rPr>
                <w:rFonts w:hAnsi="仿宋_GB2312"/>
                <w:b/>
                <w:bCs/>
                <w:kern w:val="0"/>
                <w:sz w:val="28"/>
                <w:szCs w:val="28"/>
              </w:rPr>
              <w:t>铁路：</w:t>
            </w:r>
            <w:r>
              <w:rPr>
                <w:rFonts w:hAnsi="仿宋_GB2312"/>
                <w:bCs/>
                <w:kern w:val="0"/>
                <w:sz w:val="28"/>
                <w:szCs w:val="28"/>
              </w:rPr>
              <w:t>常泰铁路、苏锡常都市快线常州段。</w:t>
            </w:r>
          </w:p>
          <w:p>
            <w:pPr>
              <w:spacing w:line="440" w:lineRule="exact"/>
              <w:ind w:firstLine="0" w:firstLineChars="0"/>
              <w:rPr>
                <w:bCs/>
                <w:kern w:val="0"/>
                <w:sz w:val="28"/>
                <w:szCs w:val="28"/>
              </w:rPr>
            </w:pPr>
            <w:r>
              <w:rPr>
                <w:rFonts w:hAnsi="仿宋_GB2312"/>
                <w:b/>
                <w:bCs/>
                <w:kern w:val="0"/>
                <w:sz w:val="28"/>
                <w:szCs w:val="28"/>
              </w:rPr>
              <w:t>轨道交通：</w:t>
            </w:r>
            <w:r>
              <w:rPr>
                <w:rFonts w:hAnsi="仿宋_GB2312"/>
                <w:bCs/>
                <w:kern w:val="0"/>
                <w:sz w:val="28"/>
                <w:szCs w:val="28"/>
              </w:rPr>
              <w:t>轨道</w:t>
            </w:r>
            <w:r>
              <w:rPr>
                <w:bCs/>
                <w:kern w:val="0"/>
                <w:sz w:val="28"/>
                <w:szCs w:val="28"/>
              </w:rPr>
              <w:t>2</w:t>
            </w:r>
            <w:r>
              <w:rPr>
                <w:rFonts w:hAnsi="仿宋_GB2312"/>
                <w:bCs/>
                <w:kern w:val="0"/>
                <w:sz w:val="28"/>
                <w:szCs w:val="28"/>
              </w:rPr>
              <w:t>号线、</w:t>
            </w:r>
            <w:r>
              <w:rPr>
                <w:bCs/>
                <w:kern w:val="0"/>
                <w:sz w:val="28"/>
                <w:szCs w:val="28"/>
              </w:rPr>
              <w:t>5</w:t>
            </w:r>
            <w:r>
              <w:rPr>
                <w:rFonts w:hAnsi="仿宋_GB2312"/>
                <w:bCs/>
                <w:kern w:val="0"/>
                <w:sz w:val="28"/>
                <w:szCs w:val="28"/>
              </w:rPr>
              <w:t>号线。</w:t>
            </w:r>
          </w:p>
          <w:p>
            <w:pPr>
              <w:spacing w:line="440" w:lineRule="exact"/>
              <w:ind w:firstLine="0" w:firstLineChars="0"/>
              <w:rPr>
                <w:bCs/>
                <w:kern w:val="0"/>
                <w:sz w:val="28"/>
                <w:szCs w:val="28"/>
              </w:rPr>
            </w:pPr>
            <w:r>
              <w:rPr>
                <w:rFonts w:hAnsi="仿宋_GB2312"/>
                <w:b/>
                <w:bCs/>
                <w:kern w:val="0"/>
                <w:sz w:val="28"/>
                <w:szCs w:val="28"/>
              </w:rPr>
              <w:t>高速公路：</w:t>
            </w:r>
            <w:r>
              <w:rPr>
                <w:rFonts w:hAnsi="仿宋_GB2312"/>
                <w:bCs/>
                <w:kern w:val="0"/>
                <w:sz w:val="28"/>
                <w:szCs w:val="28"/>
              </w:rPr>
              <w:t>宁常高速西林至导墅段。</w:t>
            </w:r>
          </w:p>
          <w:p>
            <w:pPr>
              <w:spacing w:line="440" w:lineRule="exact"/>
              <w:ind w:firstLine="0" w:firstLineChars="0"/>
              <w:rPr>
                <w:bCs/>
                <w:kern w:val="0"/>
                <w:sz w:val="28"/>
                <w:szCs w:val="28"/>
              </w:rPr>
            </w:pPr>
            <w:r>
              <w:rPr>
                <w:rFonts w:hAnsi="仿宋_GB2312"/>
                <w:b/>
                <w:bCs/>
                <w:kern w:val="0"/>
                <w:sz w:val="28"/>
                <w:szCs w:val="28"/>
              </w:rPr>
              <w:t>干线道路：</w:t>
            </w:r>
            <w:r>
              <w:rPr>
                <w:rFonts w:hAnsi="仿宋_GB2312"/>
                <w:bCs/>
                <w:kern w:val="0"/>
                <w:sz w:val="28"/>
                <w:szCs w:val="28"/>
              </w:rPr>
              <w:t>邹区农业产业园至江宜高速邹区互通连接工程（振中路及跨大运河桥）、</w:t>
            </w:r>
            <w:r>
              <w:rPr>
                <w:bCs/>
                <w:kern w:val="0"/>
                <w:sz w:val="28"/>
                <w:szCs w:val="28"/>
              </w:rPr>
              <w:t>238</w:t>
            </w:r>
            <w:r>
              <w:rPr>
                <w:rFonts w:hAnsi="仿宋_GB2312"/>
                <w:bCs/>
                <w:kern w:val="0"/>
                <w:sz w:val="28"/>
                <w:szCs w:val="28"/>
              </w:rPr>
              <w:t>省道（腾龙路）改扩建工程、</w:t>
            </w:r>
            <w:r>
              <w:rPr>
                <w:bCs/>
                <w:kern w:val="0"/>
                <w:sz w:val="28"/>
                <w:szCs w:val="28"/>
              </w:rPr>
              <w:t>239</w:t>
            </w:r>
            <w:r>
              <w:rPr>
                <w:rFonts w:hAnsi="仿宋_GB2312"/>
                <w:bCs/>
                <w:kern w:val="0"/>
                <w:sz w:val="28"/>
                <w:szCs w:val="28"/>
              </w:rPr>
              <w:t>省道常州钟楼段改扩建工程、常金快速路（</w:t>
            </w:r>
            <w:r>
              <w:rPr>
                <w:bCs/>
                <w:kern w:val="0"/>
                <w:sz w:val="28"/>
                <w:szCs w:val="28"/>
              </w:rPr>
              <w:t>340</w:t>
            </w:r>
            <w:r>
              <w:rPr>
                <w:rFonts w:hAnsi="仿宋_GB2312"/>
                <w:bCs/>
                <w:kern w:val="0"/>
                <w:sz w:val="28"/>
                <w:szCs w:val="28"/>
              </w:rPr>
              <w:t>省道改线）、</w:t>
            </w:r>
            <w:r>
              <w:rPr>
                <w:bCs/>
                <w:kern w:val="0"/>
                <w:sz w:val="28"/>
                <w:szCs w:val="28"/>
              </w:rPr>
              <w:t>340</w:t>
            </w:r>
            <w:r>
              <w:rPr>
                <w:rFonts w:hAnsi="仿宋_GB2312"/>
                <w:bCs/>
                <w:kern w:val="0"/>
                <w:sz w:val="28"/>
                <w:szCs w:val="28"/>
              </w:rPr>
              <w:t>省道（常金大桥至殷村）快速化改造。</w:t>
            </w:r>
          </w:p>
          <w:p>
            <w:pPr>
              <w:spacing w:line="440" w:lineRule="exact"/>
              <w:ind w:firstLine="0" w:firstLineChars="0"/>
              <w:rPr>
                <w:bCs/>
                <w:kern w:val="0"/>
                <w:sz w:val="28"/>
                <w:szCs w:val="28"/>
              </w:rPr>
            </w:pPr>
            <w:r>
              <w:rPr>
                <w:rFonts w:hAnsi="仿宋_GB2312"/>
                <w:b/>
                <w:bCs/>
                <w:kern w:val="0"/>
                <w:sz w:val="28"/>
                <w:szCs w:val="28"/>
              </w:rPr>
              <w:t>农村道路：</w:t>
            </w:r>
            <w:r>
              <w:rPr>
                <w:rFonts w:hAnsi="仿宋_GB2312"/>
                <w:bCs/>
                <w:kern w:val="0"/>
                <w:sz w:val="28"/>
                <w:szCs w:val="28"/>
              </w:rPr>
              <w:t>乡村旅游环路建设。</w:t>
            </w:r>
          </w:p>
          <w:p>
            <w:pPr>
              <w:spacing w:line="440" w:lineRule="exact"/>
              <w:ind w:firstLine="0" w:firstLineChars="0"/>
              <w:rPr>
                <w:bCs/>
                <w:kern w:val="0"/>
                <w:sz w:val="28"/>
                <w:szCs w:val="28"/>
              </w:rPr>
            </w:pPr>
            <w:r>
              <w:rPr>
                <w:rFonts w:hAnsi="仿宋_GB2312"/>
                <w:b/>
                <w:bCs/>
                <w:kern w:val="0"/>
                <w:sz w:val="28"/>
                <w:szCs w:val="28"/>
              </w:rPr>
              <w:t>城市道路：</w:t>
            </w:r>
            <w:r>
              <w:rPr>
                <w:rFonts w:hAnsi="仿宋_GB2312"/>
                <w:bCs/>
                <w:kern w:val="0"/>
                <w:sz w:val="28"/>
                <w:szCs w:val="28"/>
              </w:rPr>
              <w:t>梧桐河南路（牡丹路</w:t>
            </w:r>
            <w:r>
              <w:rPr>
                <w:bCs/>
                <w:kern w:val="0"/>
                <w:sz w:val="28"/>
                <w:szCs w:val="28"/>
              </w:rPr>
              <w:t>-</w:t>
            </w:r>
            <w:r>
              <w:rPr>
                <w:rFonts w:hAnsi="仿宋_GB2312"/>
                <w:bCs/>
                <w:kern w:val="0"/>
                <w:sz w:val="28"/>
                <w:szCs w:val="28"/>
              </w:rPr>
              <w:t>月季路）、童子河南路（龙江路</w:t>
            </w:r>
            <w:r>
              <w:rPr>
                <w:bCs/>
                <w:kern w:val="0"/>
                <w:sz w:val="28"/>
                <w:szCs w:val="28"/>
              </w:rPr>
              <w:t>-</w:t>
            </w:r>
            <w:r>
              <w:rPr>
                <w:rFonts w:hAnsi="仿宋_GB2312"/>
                <w:bCs/>
                <w:kern w:val="0"/>
                <w:sz w:val="28"/>
                <w:szCs w:val="28"/>
              </w:rPr>
              <w:t>甘林路）、振中路跨运河桥、桂花路（运河路</w:t>
            </w:r>
            <w:r>
              <w:rPr>
                <w:bCs/>
                <w:kern w:val="0"/>
                <w:sz w:val="28"/>
                <w:szCs w:val="28"/>
              </w:rPr>
              <w:t>-</w:t>
            </w:r>
            <w:r>
              <w:rPr>
                <w:rFonts w:hAnsi="仿宋_GB2312"/>
                <w:bCs/>
                <w:kern w:val="0"/>
                <w:sz w:val="28"/>
                <w:szCs w:val="28"/>
              </w:rPr>
              <w:t>玉兰路）桥梁工程、春江路（龙城大道</w:t>
            </w:r>
            <w:r>
              <w:rPr>
                <w:bCs/>
                <w:kern w:val="0"/>
                <w:sz w:val="28"/>
                <w:szCs w:val="28"/>
              </w:rPr>
              <w:t>-</w:t>
            </w:r>
            <w:r>
              <w:rPr>
                <w:rFonts w:hAnsi="仿宋_GB2312"/>
                <w:bCs/>
                <w:kern w:val="0"/>
                <w:sz w:val="28"/>
                <w:szCs w:val="28"/>
              </w:rPr>
              <w:t>新龙路）。</w:t>
            </w:r>
          </w:p>
          <w:p>
            <w:pPr>
              <w:spacing w:line="440" w:lineRule="exact"/>
              <w:ind w:firstLine="0" w:firstLineChars="0"/>
              <w:rPr>
                <w:bCs/>
                <w:kern w:val="0"/>
                <w:sz w:val="28"/>
                <w:szCs w:val="28"/>
              </w:rPr>
            </w:pPr>
            <w:r>
              <w:rPr>
                <w:rFonts w:hAnsi="仿宋_GB2312"/>
                <w:b/>
                <w:bCs/>
                <w:kern w:val="0"/>
                <w:sz w:val="28"/>
                <w:szCs w:val="28"/>
              </w:rPr>
              <w:t>航道：</w:t>
            </w:r>
            <w:r>
              <w:rPr>
                <w:rFonts w:hAnsi="仿宋_GB2312"/>
                <w:bCs/>
                <w:kern w:val="0"/>
                <w:sz w:val="28"/>
                <w:szCs w:val="28"/>
              </w:rPr>
              <w:t>德胜河</w:t>
            </w:r>
            <w:r>
              <w:rPr>
                <w:bCs/>
                <w:kern w:val="0"/>
                <w:sz w:val="28"/>
                <w:szCs w:val="28"/>
              </w:rPr>
              <w:t>“</w:t>
            </w:r>
            <w:r>
              <w:rPr>
                <w:rFonts w:hAnsi="仿宋_GB2312"/>
                <w:bCs/>
                <w:kern w:val="0"/>
                <w:sz w:val="28"/>
                <w:szCs w:val="28"/>
              </w:rPr>
              <w:t>六改三</w:t>
            </w:r>
            <w:r>
              <w:rPr>
                <w:bCs/>
                <w:kern w:val="0"/>
                <w:sz w:val="28"/>
                <w:szCs w:val="28"/>
              </w:rPr>
              <w:t>”</w:t>
            </w:r>
            <w:r>
              <w:rPr>
                <w:rFonts w:hAnsi="仿宋_GB2312"/>
                <w:bCs/>
                <w:kern w:val="0"/>
                <w:sz w:val="28"/>
                <w:szCs w:val="28"/>
              </w:rPr>
              <w:t>航道整治工程。</w:t>
            </w:r>
          </w:p>
          <w:p>
            <w:pPr>
              <w:spacing w:line="440" w:lineRule="exact"/>
              <w:ind w:firstLine="0" w:firstLineChars="0"/>
              <w:rPr>
                <w:b/>
                <w:bCs/>
                <w:kern w:val="0"/>
                <w:sz w:val="28"/>
                <w:szCs w:val="28"/>
              </w:rPr>
            </w:pPr>
            <w:r>
              <w:rPr>
                <w:rFonts w:hAnsi="仿宋_GB2312"/>
                <w:b/>
                <w:bCs/>
                <w:kern w:val="0"/>
                <w:sz w:val="28"/>
                <w:szCs w:val="28"/>
              </w:rPr>
              <w:t>交通枢纽设施：</w:t>
            </w:r>
            <w:r>
              <w:rPr>
                <w:rFonts w:hAnsi="仿宋_GB2312"/>
                <w:bCs/>
                <w:kern w:val="0"/>
                <w:sz w:val="28"/>
                <w:szCs w:val="28"/>
              </w:rPr>
              <w:t>苏锡常都市快线邹区站客运枢纽、城西公交枢纽。</w:t>
            </w:r>
          </w:p>
        </w:tc>
      </w:tr>
    </w:tbl>
    <w:p>
      <w:pPr>
        <w:pStyle w:val="6"/>
        <w:spacing w:before="156" w:after="156"/>
        <w:rPr>
          <w:rFonts w:eastAsia="楷体_GB2312"/>
          <w:b w:val="0"/>
          <w:bCs w:val="0"/>
        </w:rPr>
      </w:pPr>
      <w:bookmarkStart w:id="31" w:name="_Toc32128"/>
      <w:r>
        <w:rPr>
          <w:rFonts w:hAnsi="楷体_GB2312" w:eastAsia="楷体_GB2312"/>
          <w:b w:val="0"/>
          <w:bCs w:val="0"/>
        </w:rPr>
        <w:t>第二节</w:t>
      </w:r>
      <w:r>
        <w:rPr>
          <w:rFonts w:eastAsia="楷体_GB2312"/>
          <w:b w:val="0"/>
          <w:bCs w:val="0"/>
        </w:rPr>
        <w:t xml:space="preserve"> </w:t>
      </w:r>
      <w:r>
        <w:rPr>
          <w:rFonts w:hAnsi="楷体_GB2312" w:eastAsia="楷体_GB2312"/>
          <w:b w:val="0"/>
          <w:bCs w:val="0"/>
        </w:rPr>
        <w:t>打造长三角现代物流中心</w:t>
      </w:r>
      <w:bookmarkEnd w:id="31"/>
    </w:p>
    <w:p>
      <w:pPr>
        <w:ind w:firstLine="643"/>
      </w:pPr>
      <w:r>
        <w:rPr>
          <w:rFonts w:hAnsi="仿宋_GB2312"/>
          <w:b/>
          <w:bCs/>
          <w:szCs w:val="32"/>
        </w:rPr>
        <w:t>大力发展现代物流新业态。</w:t>
      </w:r>
      <w:r>
        <w:t>以建设交通便捷、形态优质、功能齐全的长三角现代化物流中心为目标，引导现有物流园区重组市场物流要素，引入先进物流技术，建立交易流通的物流规范，形成快速高效便捷的产品物流体系。充分利用新一代信息技术和供应链管理，推动线上与线下融合互动发展，加快创建大数据增值服务平台和互联网金融服务平台，提升智能化、集约化水平，增强现代物流产业的综合竞争力。</w:t>
      </w:r>
    </w:p>
    <w:p>
      <w:pPr>
        <w:ind w:firstLine="643"/>
      </w:pPr>
      <w:r>
        <w:rPr>
          <w:rFonts w:hAnsi="仿宋_GB2312"/>
          <w:b/>
          <w:bCs/>
          <w:szCs w:val="32"/>
        </w:rPr>
        <w:t>加快布局现代物流体系。</w:t>
      </w:r>
      <w:r>
        <w:t>规划建设现代物流园区，运用云计算、大数据、物联网等先进的网络信息技术强化物流功能和服务平台建设，做大做强一批专业化现代物流企业。全力引进京东等龙头企业在钟楼布局“亚洲一号”智慧物流中心，完善商品集散、批发零售、交易展会、价格形成、信息发布、储运配送等功能，形成具有规模效应、协同发展的现代物流产业链。推进物流基础设施加快成网，大力发展物流信息平台、智能仓储、智能机器人、大数据分析服务等智慧物流服务，逐步形成辐射区域广、集聚效应强、服务功能优、运行效率高的综合性现代物流枢纽。</w:t>
      </w:r>
    </w:p>
    <w:p>
      <w:pPr>
        <w:ind w:firstLine="643"/>
      </w:pPr>
      <w:r>
        <w:rPr>
          <w:rFonts w:hAnsi="仿宋_GB2312"/>
          <w:b/>
          <w:bCs/>
          <w:szCs w:val="32"/>
        </w:rPr>
        <w:t>推进两大专业市场现代化建设。</w:t>
      </w:r>
      <w:r>
        <w:t>推动邹区灯具城转型升级，优化市场管理机制、功能布局和环境品质，逐步建立经营、生活、停车合理分布，人、车、货相对分离的物流渠道和空间。推进凌家塘市场由传统的农产品批发市场向多功能、新业态、优体验农贸综合体发展，加快仓储、冷链物流等配套设施建设，打造省级以上骨干冷链物流基地，提升市场服务长三角辐射全国的能力。</w:t>
      </w:r>
    </w:p>
    <w:p>
      <w:pPr>
        <w:pStyle w:val="6"/>
        <w:spacing w:before="156" w:after="156"/>
        <w:rPr>
          <w:rFonts w:eastAsia="楷体_GB2312"/>
          <w:b w:val="0"/>
          <w:bCs w:val="0"/>
        </w:rPr>
      </w:pPr>
      <w:bookmarkStart w:id="32" w:name="_Toc16161"/>
      <w:r>
        <w:rPr>
          <w:rFonts w:hAnsi="楷体_GB2312" w:eastAsia="楷体_GB2312"/>
          <w:b w:val="0"/>
          <w:bCs w:val="0"/>
        </w:rPr>
        <w:t>第三节</w:t>
      </w:r>
      <w:r>
        <w:rPr>
          <w:rFonts w:eastAsia="楷体_GB2312"/>
          <w:b w:val="0"/>
          <w:bCs w:val="0"/>
        </w:rPr>
        <w:t xml:space="preserve"> </w:t>
      </w:r>
      <w:r>
        <w:rPr>
          <w:rFonts w:hAnsi="楷体_GB2312" w:eastAsia="楷体_GB2312"/>
          <w:b w:val="0"/>
          <w:bCs w:val="0"/>
        </w:rPr>
        <w:t>融入长三角高质量一体化发展</w:t>
      </w:r>
      <w:bookmarkEnd w:id="32"/>
    </w:p>
    <w:p>
      <w:pPr>
        <w:ind w:firstLine="643"/>
      </w:pPr>
      <w:r>
        <w:rPr>
          <w:rFonts w:hAnsi="仿宋_GB2312"/>
          <w:b/>
          <w:bCs/>
          <w:szCs w:val="32"/>
        </w:rPr>
        <w:t>参与数字长三角建设。</w:t>
      </w:r>
      <w:r>
        <w:t>主动参与长三角数据中心建设，实现数据中心和存算资源协同布局，在长三角创建全国数字经济创新高地中彰显钟楼数字特色。支持龙头企业协同开展技术、设备、产品研发、服务创新及综合应用示范，共建长三角数字经济产业生态。大力发展基于物联网、大数据、人工智能的专业化服务，提升各领域融合发展、信息化协同和精细化管理水平。合力建设长三角工业互联网，积极推进以“互联网+先进制造业”为特色的区域工业互联网发展，积极参与高级别行业标准体系构建。加快钟楼工业互联网平台跨区域应用，促进区域制造业资源与互联网平台深度对接。</w:t>
      </w:r>
    </w:p>
    <w:p>
      <w:pPr>
        <w:ind w:firstLine="643"/>
        <w:rPr>
          <w:b/>
          <w:bCs/>
          <w:szCs w:val="32"/>
        </w:rPr>
      </w:pPr>
      <w:r>
        <w:rPr>
          <w:rFonts w:hAnsi="仿宋_GB2312"/>
          <w:b/>
          <w:bCs/>
          <w:szCs w:val="32"/>
        </w:rPr>
        <w:t>多层次融入长三角一体化。</w:t>
      </w:r>
      <w:r>
        <w:t>加快承接上海现代产业、科创资源、公共服务等优质资源，全面对接上海市场规则、服务标准和管理模式，打造上海大都市圈西翼门户、沪宁城市发展带战略支点，加强与长三角城市的产业对接、科创合作和服务共享力度，提升与南京的开放互动、交通互联、资源互通水平。依托常泰铁路、常泰高速等跨江通道加速跨江融合发展，探索共建产业园区、共同开辟跨江旅游路线等合作新方式。共建苏锡常都市圈区域一体化综合立体交通运输体系，更大力度推动交通互联互通。以沪宁产业创新带单元融入太湖湾科技创新带建设，更大力度推动产业互补共促与生态联保共治，在民生服务领域实现更高水平的共享。</w:t>
      </w:r>
    </w:p>
    <w:p>
      <w:pPr>
        <w:ind w:firstLine="643"/>
      </w:pPr>
      <w:r>
        <w:rPr>
          <w:rFonts w:hAnsi="仿宋_GB2312"/>
          <w:b/>
          <w:bCs/>
          <w:szCs w:val="32"/>
        </w:rPr>
        <w:t>全方位融入常州全域发展。</w:t>
      </w:r>
      <w:r>
        <w:t>秉承“大常州”理念，从交通、文化、旅游、商业等多方面构建合作机制，推动区域高质量发展。加强产业链跨区融合，发挥新能源汽车研究院创新创智功能，加强与全市范围内新能源汽车产业链联动，促进新技术在金坛、溧阳两大生产制造区的落地。发挥钟楼大数据产业技术、硬件、平台等优势，对接新北、武进等制造产业，合力打造常州工业互联网“中枢”。以大运河为天然纽带，加强与天宁、新北在一批重点项目上的连片合作开发，共同建设常州特色大运河文化带。</w:t>
      </w:r>
    </w:p>
    <w:p>
      <w:pPr>
        <w:pStyle w:val="5"/>
        <w:spacing w:before="312" w:after="156"/>
        <w:rPr>
          <w:rFonts w:ascii="Times New Roman" w:hAnsi="Times New Roman" w:eastAsia="黑体"/>
        </w:rPr>
      </w:pPr>
      <w:bookmarkStart w:id="33" w:name="_Toc25680"/>
      <w:r>
        <w:rPr>
          <w:rFonts w:ascii="Times New Roman" w:hAnsi="黑体" w:eastAsia="黑体"/>
        </w:rPr>
        <w:t>第八章</w:t>
      </w:r>
      <w:r>
        <w:rPr>
          <w:rFonts w:ascii="Times New Roman" w:hAnsi="Times New Roman" w:eastAsia="黑体"/>
        </w:rPr>
        <w:t xml:space="preserve"> </w:t>
      </w:r>
      <w:r>
        <w:rPr>
          <w:rFonts w:ascii="Times New Roman" w:hAnsi="黑体" w:eastAsia="黑体"/>
        </w:rPr>
        <w:t>主动融入国内国际双循环</w:t>
      </w:r>
      <w:bookmarkEnd w:id="33"/>
    </w:p>
    <w:p>
      <w:pPr>
        <w:ind w:firstLine="640"/>
      </w:pPr>
      <w:r>
        <w:t>在坚持供给侧结构性改革战略方向的同时，聚焦需求侧改革，强化投资效率引导，提升供给质效，释放消费潜力，提高对口支援帮扶合作水平，积极融入国内大循环。持续推进更高水平对外开放，推动国内市场和国际市场更好联通，加快形成开放型经济发展新格局。</w:t>
      </w:r>
    </w:p>
    <w:p>
      <w:pPr>
        <w:pStyle w:val="6"/>
        <w:spacing w:before="156" w:after="156"/>
        <w:rPr>
          <w:rFonts w:eastAsia="楷体_GB2312"/>
          <w:b w:val="0"/>
          <w:bCs w:val="0"/>
        </w:rPr>
      </w:pPr>
      <w:bookmarkStart w:id="34" w:name="_Toc14978"/>
      <w:r>
        <w:rPr>
          <w:rFonts w:hAnsi="楷体_GB2312" w:eastAsia="楷体_GB2312"/>
          <w:b w:val="0"/>
          <w:bCs w:val="0"/>
        </w:rPr>
        <w:t>第一节</w:t>
      </w:r>
      <w:r>
        <w:rPr>
          <w:rFonts w:eastAsia="楷体_GB2312"/>
          <w:b w:val="0"/>
          <w:bCs w:val="0"/>
        </w:rPr>
        <w:t xml:space="preserve"> </w:t>
      </w:r>
      <w:r>
        <w:rPr>
          <w:rFonts w:hAnsi="楷体_GB2312" w:eastAsia="楷体_GB2312"/>
          <w:b w:val="0"/>
          <w:bCs w:val="0"/>
        </w:rPr>
        <w:t>多维度发力国内循环</w:t>
      </w:r>
      <w:bookmarkEnd w:id="34"/>
    </w:p>
    <w:p>
      <w:pPr>
        <w:ind w:firstLine="643"/>
      </w:pPr>
      <w:r>
        <w:rPr>
          <w:b/>
          <w:bCs/>
        </w:rPr>
        <w:t>提升投资效益水平。</w:t>
      </w:r>
      <w:r>
        <w:t>发挥投资对优化供给结构的关键性作用，支持企业扩大有效投资，优化政府投资方向和结构，确保投资稳定增长、投资效益逐步提升。完善重大项目建设和储备机制，以高质量的供给引领和创造新需求，加快补齐基础设施、市政工程、生态环保等领域短板，推进新型基础设施、新型城镇化、交通水利等重大工程建设，发挥政府投资撬动作用，健全资金、土地、环境容量等要素与重大项目匹配机制，激发民间投资活力。</w:t>
      </w:r>
    </w:p>
    <w:p>
      <w:pPr>
        <w:ind w:firstLine="643"/>
      </w:pPr>
      <w:r>
        <w:rPr>
          <w:b/>
          <w:bCs/>
        </w:rPr>
        <w:t>持续推进质量强区。</w:t>
      </w:r>
      <w:r>
        <w:t>鼓励企业开展各类质量创新、标准化试点和管理创新等项目，力争“十四五”期间推动2家次企业获得省长质量奖提名奖，3家次企业获得市长质量奖。围绕装备制造、新材料、农副产品、电商贸易、科技服务等领域，培育一批优秀质量标杆企业，增强高质量产品供给能力。加快推动邹区灯具市场、凌家塘农副产品市场等增强高质量产品供给能力，培育一批高价值区域性服务品牌，全面提升服务全国的能级。</w:t>
      </w:r>
    </w:p>
    <w:p>
      <w:pPr>
        <w:ind w:firstLine="643"/>
      </w:pPr>
      <w:r>
        <w:rPr>
          <w:b/>
          <w:bCs/>
        </w:rPr>
        <w:t>全面释放消费潜力。</w:t>
      </w:r>
      <w:r>
        <w:t>着力改善居民可支配收入水平，提高中低收入群体消费能力。丰富消费业态，积极推广新零售、网红直播、互联网健康医疗服务、在线文娱、智慧旅游等新兴业态。加快培育和发展公共海外仓、跨境电商、数字经济等贸易流通新业态和体验经济、首店经济、无接触式消费等新模式。改善消费环境，加快推广智能化场景，稳步推进绿色商场建设、老字号培育发展、重点商业场所的转型升级和菜市场改造提升，持续推进放心消费创建活动，进一步推进实体店线下无理由退货活动，增强实体店“现场体验，售后无忧”的优势，激发市场消费活力。畅通维权渠道，用好12345和12315热线平台，加强消费者权益保护，营造诚实守信放心便捷的消费环境，力争“十四五”期间消费环境指数持续保持全市第一方阵。打造特色消费街区，加快建设</w:t>
      </w:r>
      <w:r>
        <w:rPr>
          <w:szCs w:val="32"/>
        </w:rPr>
        <w:t>“邂逅南大街”</w:t>
      </w:r>
      <w:r>
        <w:t>“烟火大庙弄”“醉忆三堡街”等为特色的夜经济集聚区，积极培育运河夜间消费升级，加快打造“龙城夜未央”夜经济品牌。在街区更新改造中导入时尚元素，引进年轻人喜闻乐见的业态，释放青年群体消费活力。完善消费激励引导机制和政策，持续推进线上线下融合促消费活动，推广网络直播、微信群、小程序、消费券等促消费模式，扶持激励旅行社重视过夜地接业务，提升留宿游客二次消费。</w:t>
      </w:r>
    </w:p>
    <w:p>
      <w:pPr>
        <w:ind w:firstLine="643"/>
        <w:rPr>
          <w:b/>
          <w:bCs/>
        </w:rPr>
      </w:pPr>
      <w:r>
        <w:rPr>
          <w:b/>
          <w:bCs/>
        </w:rPr>
        <w:t>提高对口支援帮扶合作水平。</w:t>
      </w:r>
      <w:r>
        <w:t>深化全方位、精准对口支援，着重改善受援地基础教育、基础医疗服务能力，强化智力支持与园区共建。深入实施与陕西省安康市镇坪县东西扶贫协作，加快开展产业援助、人才援助、社会援助、就业援助、知识援助等工作。加快推动南北合作，积极做好“五方挂钩”帮扶响水工作。广泛发动社会力量，引导区内民营企业、社会组织、公民个人积极参与两县扶贫协作。持续搭建各类消费扶贫专柜、专馆、专区，加快建立和完善劳务输出精准对接机制，采取双向挂职、两地培训、委托培养和组团式支教、支医、支农等方式，加强人才支持。建立健全防止返贫长效机制，精准帮扶，共同开启社会主义新征程。</w:t>
      </w:r>
    </w:p>
    <w:p>
      <w:pPr>
        <w:pStyle w:val="6"/>
        <w:spacing w:before="156" w:after="156"/>
        <w:rPr>
          <w:rFonts w:eastAsia="楷体_GB2312"/>
          <w:b w:val="0"/>
          <w:bCs w:val="0"/>
        </w:rPr>
      </w:pPr>
      <w:bookmarkStart w:id="35" w:name="_Toc6877"/>
      <w:r>
        <w:rPr>
          <w:rFonts w:hAnsi="楷体_GB2312" w:eastAsia="楷体_GB2312"/>
          <w:b w:val="0"/>
          <w:bCs w:val="0"/>
        </w:rPr>
        <w:t>第二节</w:t>
      </w:r>
      <w:r>
        <w:rPr>
          <w:rFonts w:eastAsia="楷体_GB2312"/>
          <w:b w:val="0"/>
          <w:bCs w:val="0"/>
        </w:rPr>
        <w:t xml:space="preserve"> </w:t>
      </w:r>
      <w:r>
        <w:rPr>
          <w:rFonts w:hAnsi="楷体_GB2312" w:eastAsia="楷体_GB2312"/>
          <w:b w:val="0"/>
          <w:bCs w:val="0"/>
        </w:rPr>
        <w:t>多方位参与国际循环</w:t>
      </w:r>
      <w:bookmarkEnd w:id="35"/>
    </w:p>
    <w:p>
      <w:pPr>
        <w:ind w:firstLine="643"/>
      </w:pPr>
      <w:r>
        <w:rPr>
          <w:rFonts w:hAnsi="仿宋_GB2312"/>
          <w:b/>
          <w:szCs w:val="32"/>
        </w:rPr>
        <w:t>实现利用外资新突破。</w:t>
      </w:r>
      <w:r>
        <w:rPr>
          <w:szCs w:val="32"/>
        </w:rPr>
        <w:t>综合运用委托招商、代理招商、顾问招商、以商招商等多种合作模式，创新外资招商方式，拓宽招商引资渠道，加快构建全球招商网络。强化产业链招商，围绕主导产业加快建链、育链、聚链和强链，加大对世界500强旗舰项目、全球</w:t>
      </w:r>
      <w:r>
        <w:rPr>
          <w:rFonts w:hAnsi="仿宋_GB2312"/>
          <w:szCs w:val="32"/>
        </w:rPr>
        <w:t>细分行业</w:t>
      </w:r>
      <w:r>
        <w:rPr>
          <w:szCs w:val="32"/>
        </w:rPr>
        <w:t>“</w:t>
      </w:r>
      <w:r>
        <w:rPr>
          <w:rFonts w:hAnsi="仿宋_GB2312"/>
          <w:szCs w:val="32"/>
        </w:rPr>
        <w:t>隐形冠军</w:t>
      </w:r>
      <w:r>
        <w:rPr>
          <w:szCs w:val="32"/>
        </w:rPr>
        <w:t>”</w:t>
      </w:r>
      <w:r>
        <w:rPr>
          <w:rFonts w:hAnsi="仿宋_GB2312"/>
          <w:szCs w:val="32"/>
        </w:rPr>
        <w:t>、德日欧美高技术高效益高附加值项目的招引力度，提升经开区产业国际化合作，加快推进特色化国际园区建设。</w:t>
      </w:r>
      <w:r>
        <w:rPr>
          <w:szCs w:val="32"/>
        </w:rPr>
        <w:t>“十四五”期间实现累计实际到帐外资超11亿美元，产业类外资占比逐步提升，力争超亿美元外资重大项目、跨国公司地区总部和功能性机构招引培育取得新突破</w:t>
      </w:r>
      <w:r>
        <w:t>。</w:t>
      </w:r>
    </w:p>
    <w:p>
      <w:pPr>
        <w:ind w:firstLine="643"/>
      </w:pPr>
      <w:r>
        <w:rPr>
          <w:b/>
          <w:bCs/>
        </w:rPr>
        <w:t>培育外贸竞争新优势</w:t>
      </w:r>
      <w:r>
        <w:t>。</w:t>
      </w:r>
      <w:r>
        <w:rPr>
          <w:szCs w:val="32"/>
        </w:rPr>
        <w:t>积极培育外贸新增长点，支持企业巩固欧美市场、开拓东盟市场</w:t>
      </w:r>
      <w:r>
        <w:rPr>
          <w:rFonts w:hAnsi="仿宋_GB2312"/>
          <w:szCs w:val="32"/>
        </w:rPr>
        <w:t>、加力</w:t>
      </w:r>
      <w:r>
        <w:rPr>
          <w:szCs w:val="32"/>
        </w:rPr>
        <w:t>“</w:t>
      </w:r>
      <w:r>
        <w:rPr>
          <w:rFonts w:hAnsi="仿宋_GB2312"/>
          <w:szCs w:val="32"/>
        </w:rPr>
        <w:t>一带一路</w:t>
      </w:r>
      <w:r>
        <w:rPr>
          <w:szCs w:val="32"/>
        </w:rPr>
        <w:t>”</w:t>
      </w:r>
      <w:r>
        <w:rPr>
          <w:rFonts w:hAnsi="仿宋_GB2312"/>
          <w:szCs w:val="32"/>
        </w:rPr>
        <w:t>市场，</w:t>
      </w:r>
      <w:r>
        <w:rPr>
          <w:szCs w:val="32"/>
        </w:rPr>
        <w:t>坚持优进和优出并重、货物贸易和服务</w:t>
      </w:r>
      <w:r>
        <w:rPr>
          <w:rFonts w:hAnsi="仿宋_GB2312"/>
          <w:szCs w:val="32"/>
        </w:rPr>
        <w:t>贸易并重，进一步</w:t>
      </w:r>
      <w:r>
        <w:rPr>
          <w:szCs w:val="32"/>
        </w:rPr>
        <w:t>做大</w:t>
      </w:r>
      <w:r>
        <w:rPr>
          <w:color w:val="000000"/>
          <w:szCs w:val="32"/>
        </w:rPr>
        <w:t>做强出口基地品牌，</w:t>
      </w:r>
      <w:r>
        <w:rPr>
          <w:szCs w:val="32"/>
        </w:rPr>
        <w:t>有效发挥各级外贸政策支持，</w:t>
      </w:r>
      <w:r>
        <w:rPr>
          <w:rFonts w:hAnsi="仿宋_GB2312"/>
          <w:szCs w:val="32"/>
        </w:rPr>
        <w:t>不断提升钟楼外贸竞争力。大力培育外贸新业态，推动传统外贸企业与跨境电商结合</w:t>
      </w:r>
      <w:r>
        <w:rPr>
          <w:szCs w:val="32"/>
        </w:rPr>
        <w:t>强化海外营销网络，助推</w:t>
      </w:r>
      <w:r>
        <w:rPr>
          <w:rFonts w:hAnsi="仿宋_GB2312"/>
          <w:szCs w:val="32"/>
        </w:rPr>
        <w:t>跨境电商特色产业集聚，推动</w:t>
      </w:r>
      <w:r>
        <w:rPr>
          <w:szCs w:val="32"/>
        </w:rPr>
        <w:t>外贸创新发展和转型升级。力争在“十四五”期间，创成国家级农机出口基地，培育市级出口品牌5个，省级出口品牌3个，新增自用海外仓5个，公共海外仓1个</w:t>
      </w:r>
      <w:r>
        <w:t>。</w:t>
      </w:r>
    </w:p>
    <w:p>
      <w:pPr>
        <w:ind w:firstLine="643"/>
      </w:pPr>
      <w:r>
        <w:rPr>
          <w:rFonts w:hAnsi="仿宋_GB2312"/>
          <w:b/>
          <w:bCs/>
          <w:szCs w:val="32"/>
        </w:rPr>
        <w:t>拓展外经合作新领域</w:t>
      </w:r>
      <w:r>
        <w:rPr>
          <w:b/>
          <w:bCs/>
        </w:rPr>
        <w:t>。</w:t>
      </w:r>
      <w:r>
        <w:rPr>
          <w:szCs w:val="32"/>
        </w:rPr>
        <w:t>进一步加</w:t>
      </w:r>
      <w:r>
        <w:rPr>
          <w:rFonts w:hAnsi="仿宋_GB2312"/>
          <w:szCs w:val="32"/>
        </w:rPr>
        <w:t>快企业</w:t>
      </w:r>
      <w:r>
        <w:rPr>
          <w:szCs w:val="32"/>
        </w:rPr>
        <w:t>“</w:t>
      </w:r>
      <w:r>
        <w:rPr>
          <w:rFonts w:hAnsi="仿宋_GB2312"/>
          <w:szCs w:val="32"/>
        </w:rPr>
        <w:t>走出去</w:t>
      </w:r>
      <w:r>
        <w:rPr>
          <w:szCs w:val="32"/>
        </w:rPr>
        <w:t>”</w:t>
      </w:r>
      <w:r>
        <w:rPr>
          <w:rFonts w:hAnsi="仿宋_GB2312"/>
          <w:szCs w:val="32"/>
        </w:rPr>
        <w:t>步伐，</w:t>
      </w:r>
      <w:r>
        <w:rPr>
          <w:szCs w:val="32"/>
        </w:rPr>
        <w:t>引导和鼓励我区农机、汽车零部件、光伏、户外用品等领域代表企业，积极抢抓RCEP战略机遇，深度融</w:t>
      </w:r>
      <w:r>
        <w:rPr>
          <w:rFonts w:hAnsi="仿宋_GB2312"/>
          <w:szCs w:val="32"/>
        </w:rPr>
        <w:t>入</w:t>
      </w:r>
      <w:r>
        <w:rPr>
          <w:szCs w:val="32"/>
        </w:rPr>
        <w:t>“</w:t>
      </w:r>
      <w:r>
        <w:rPr>
          <w:rFonts w:hAnsi="仿宋_GB2312"/>
          <w:szCs w:val="32"/>
        </w:rPr>
        <w:t>一带一路</w:t>
      </w:r>
      <w:r>
        <w:rPr>
          <w:szCs w:val="32"/>
        </w:rPr>
        <w:t>”沿线国家产能合作，优化全球投资布局，建立海外生产基地，推动优势产能转移，不断扩大对外开</w:t>
      </w:r>
      <w:r>
        <w:rPr>
          <w:rFonts w:hAnsi="仿宋_GB2312"/>
          <w:szCs w:val="32"/>
        </w:rPr>
        <w:t>放</w:t>
      </w:r>
      <w:r>
        <w:rPr>
          <w:szCs w:val="32"/>
        </w:rPr>
        <w:t>“</w:t>
      </w:r>
      <w:r>
        <w:rPr>
          <w:rFonts w:hAnsi="仿宋_GB2312"/>
          <w:szCs w:val="32"/>
        </w:rPr>
        <w:t>朋友圈</w:t>
      </w:r>
      <w:r>
        <w:rPr>
          <w:szCs w:val="32"/>
        </w:rPr>
        <w:t>”</w:t>
      </w:r>
      <w:r>
        <w:rPr>
          <w:rFonts w:hAnsi="仿宋_GB2312"/>
          <w:szCs w:val="32"/>
        </w:rPr>
        <w:t>。进一步提升企业</w:t>
      </w:r>
      <w:r>
        <w:rPr>
          <w:szCs w:val="32"/>
        </w:rPr>
        <w:t>“</w:t>
      </w:r>
      <w:r>
        <w:rPr>
          <w:rFonts w:hAnsi="仿宋_GB2312"/>
          <w:szCs w:val="32"/>
        </w:rPr>
        <w:t>走出去</w:t>
      </w:r>
      <w:r>
        <w:rPr>
          <w:szCs w:val="32"/>
        </w:rPr>
        <w:t>”</w:t>
      </w:r>
      <w:r>
        <w:rPr>
          <w:rFonts w:hAnsi="仿宋_GB2312"/>
          <w:szCs w:val="32"/>
        </w:rPr>
        <w:t>水平，鼓励企业加大开展跨国并购和海外研发，整合国际高端资源，提升要素全球配置能力，深度融入全球研发设计、生产制造、营销服务链条，不断提升企业核心竞争力和跨国经营能力。力争在</w:t>
      </w:r>
      <w:r>
        <w:rPr>
          <w:szCs w:val="32"/>
        </w:rPr>
        <w:t>十四五期间，全区新增境外投资企业5家，其中新增“一带一路”境外投资企业2家</w:t>
      </w:r>
      <w:r>
        <w:t>。</w:t>
      </w:r>
    </w:p>
    <w:p>
      <w:pPr>
        <w:pStyle w:val="5"/>
        <w:spacing w:before="312" w:after="156"/>
        <w:rPr>
          <w:rFonts w:ascii="Times New Roman" w:hAnsi="Times New Roman" w:eastAsia="黑体"/>
        </w:rPr>
      </w:pPr>
      <w:bookmarkStart w:id="36" w:name="_Toc29799"/>
      <w:r>
        <w:rPr>
          <w:rFonts w:ascii="Times New Roman" w:hAnsi="黑体" w:eastAsia="黑体"/>
        </w:rPr>
        <w:t>第九章</w:t>
      </w:r>
      <w:r>
        <w:rPr>
          <w:rFonts w:ascii="Times New Roman" w:hAnsi="Times New Roman" w:eastAsia="黑体"/>
        </w:rPr>
        <w:t xml:space="preserve"> </w:t>
      </w:r>
      <w:r>
        <w:rPr>
          <w:rFonts w:ascii="Times New Roman" w:hAnsi="黑体" w:eastAsia="黑体"/>
        </w:rPr>
        <w:t>打造运河文创名区</w:t>
      </w:r>
      <w:bookmarkEnd w:id="36"/>
    </w:p>
    <w:p>
      <w:pPr>
        <w:ind w:firstLine="640"/>
      </w:pPr>
      <w:r>
        <w:t>紧抓大运河文化带建设契机，弘扬运河优秀历史文化，以文商旅融合发展推动省级全域旅游示范区创建，打造底蕴深厚、经济繁荣、文旅融合、生态宜居的运河文创名区。</w:t>
      </w:r>
    </w:p>
    <w:p>
      <w:pPr>
        <w:pStyle w:val="6"/>
        <w:spacing w:before="156" w:after="156"/>
        <w:rPr>
          <w:rFonts w:eastAsia="楷体_GB2312"/>
          <w:b w:val="0"/>
          <w:bCs w:val="0"/>
        </w:rPr>
      </w:pPr>
      <w:bookmarkStart w:id="37" w:name="_Toc19884"/>
      <w:bookmarkStart w:id="38" w:name="_Hlk58006112"/>
      <w:r>
        <w:rPr>
          <w:rFonts w:hAnsi="楷体_GB2312" w:eastAsia="楷体_GB2312"/>
          <w:b w:val="0"/>
          <w:bCs w:val="0"/>
        </w:rPr>
        <w:t>第一节</w:t>
      </w:r>
      <w:r>
        <w:rPr>
          <w:rFonts w:eastAsia="楷体_GB2312"/>
          <w:b w:val="0"/>
          <w:bCs w:val="0"/>
        </w:rPr>
        <w:t xml:space="preserve"> </w:t>
      </w:r>
      <w:r>
        <w:rPr>
          <w:rFonts w:hAnsi="楷体_GB2312" w:eastAsia="楷体_GB2312"/>
          <w:b w:val="0"/>
          <w:bCs w:val="0"/>
        </w:rPr>
        <w:t>推进大运河文化带建设</w:t>
      </w:r>
      <w:bookmarkEnd w:id="37"/>
    </w:p>
    <w:p>
      <w:pPr>
        <w:ind w:firstLine="640"/>
      </w:pPr>
      <w:r>
        <w:t>大运河承载了中华民族悠久的历史和灿烂文明。大运河钟楼段历经千年、城河相依、贯穿全境、融汇古今，是常州大运河遗产最丰富、最厚重、最精华、最特色的区段之一。为进一步擦亮运河文化名片，要在大运河文化带文化遗产的保护基础上，通过“全线发展、重点突破，融合发展、文化塑魂，创新发展、水城一体，协调发展、区段联动”的发展战略，打造以大运河文化保护传承利用为核心，以运河两岸为区域，</w:t>
      </w:r>
      <w:r>
        <w:rPr>
          <w:rFonts w:hAnsi="仿宋_GB2312"/>
          <w:szCs w:val="32"/>
        </w:rPr>
        <w:t>以</w:t>
      </w:r>
      <w:r>
        <w:rPr>
          <w:szCs w:val="32"/>
        </w:rPr>
        <w:t>“</w:t>
      </w:r>
      <w:r>
        <w:rPr>
          <w:rFonts w:hAnsi="仿宋_GB2312"/>
          <w:szCs w:val="32"/>
        </w:rPr>
        <w:t>江湖汇秀，运河钟楼</w:t>
      </w:r>
      <w:r>
        <w:rPr>
          <w:szCs w:val="32"/>
        </w:rPr>
        <w:t>”</w:t>
      </w:r>
      <w:r>
        <w:rPr>
          <w:rFonts w:hAnsi="仿宋_GB2312"/>
          <w:szCs w:val="32"/>
        </w:rPr>
        <w:t>为地理标识，</w:t>
      </w:r>
      <w:r>
        <w:t>融红色旅游、都市旅游、时尚休闲、生态观光、文化研学等为一体，面向世界的“江南大运河文化核心体验游憩带”。</w:t>
      </w:r>
    </w:p>
    <w:p>
      <w:pPr>
        <w:ind w:firstLine="643"/>
      </w:pPr>
      <w:r>
        <w:rPr>
          <w:rFonts w:hAnsi="仿宋_GB2312"/>
          <w:b/>
          <w:szCs w:val="32"/>
        </w:rPr>
        <w:t>加快大运河生态环境修复。</w:t>
      </w:r>
      <w:r>
        <w:t>强化生态空间管控，调整优化大运河沿线空间布局，落实生态保护红线管控要求。保护运河生态系统，实施两岸自然及人文景观风貌提升工程，加快大运河生态走廊建设。全力治理流域污染，加强运河干线和主要支流的水质监测，开展沿岸排污口排查整治，取缔、整治非法及设置不合理排污口。持续开展沿河小码头、小企业、小堆场等场地环境综合整治工程。推进运河沿线污水处理设施、污泥处置设施以及城镇雨污分流管网建设，建立垃圾分类收运处置体系。持续推进河道治理，加强空间管控，杜绝河湖重大违法行为，实现水文动态检测全线覆盖。依据《生态河湖评价规范》，开展大运河生态状况评估工作。实施大运河堤防及穿堤建筑物除险加固工程，优化防洪排涝能力。</w:t>
      </w:r>
    </w:p>
    <w:p>
      <w:pPr>
        <w:ind w:firstLine="643"/>
      </w:pPr>
      <w:r>
        <w:rPr>
          <w:rFonts w:hAnsi="仿宋_GB2312"/>
          <w:b/>
          <w:szCs w:val="32"/>
        </w:rPr>
        <w:t>深化大运河文化挖掘传承。</w:t>
      </w:r>
      <w:r>
        <w:t>加强大运河钟楼段文脉整理和文化价值研究，发布一批重大研究课题，推出一批决策咨询成果。编辑出版《大运河故事》汇编丛书。做好文化遗产保护展示，加快推进“中吴第一楼”大观楼、“江南园林精髓”止园、“江湖汇秀”石龙嘴、“春秋古运”南市河等遗址遗迹保护展示工程建设。推动江南名士精神、名人文化融入旅游发展，加强名人故居等资源保护性开发利用。加强非物质文化遗产保护传承，推进锡剧、留青竹刻等国家级非遗项目的重点保护和品牌化打造，推动乱针绣、常州梳篦等省级非遗项目的生产性保护和产业化发展。实施非遗传承人群研修研习培训计划，推动运河沿线旅游景区景点植入传承人工作室（工坊）、非遗传习所、展示体验馆等内容。传承大运河水利文化，开展水文化遗产挖掘、保护和传承工作，创建水利风景区和水情教育基地，运用融媒体讲好当代“河与城”故事。</w:t>
      </w:r>
    </w:p>
    <w:p>
      <w:pPr>
        <w:ind w:firstLine="643"/>
      </w:pPr>
      <w:r>
        <w:rPr>
          <w:rFonts w:hAnsi="仿宋_GB2312"/>
          <w:b/>
          <w:szCs w:val="32"/>
        </w:rPr>
        <w:t>塑造大运河文化地标。</w:t>
      </w:r>
      <w:r>
        <w:t>构建大运河文化展示体系。依托城河相依城市肌理，梳理城河共生历史文化，通过文化主题景观呈现，植入数字科技表现手段，打造运河露天博物馆。建设“大运河·乡愁”主题场馆，持续开展展品征集，完成展陈设计，启动布展工作。启动西瀛里、三堡街、大庙弄等大运河核心展示区建设，将大运河“一街三段”（南市河历史文化街、锁桥湾历史文化地段、三堡</w:t>
      </w:r>
      <w:r>
        <w:rPr>
          <w:rFonts w:hAnsi="仿宋_GB2312"/>
        </w:rPr>
        <w:t>街</w:t>
      </w:r>
      <w:r>
        <w:t>-西直街历史地段、南河沿历史地段）文脉串珠成链。推动运河沿线导入应用大运河国家文化公园LOGO及标识系统。实施工商文化品牌提升工程，推进“工商文化旅游街区”建设，优化提升工业旅游项目，保护提升米码头、南河沿、陈渡桥等运河沿线特色展示点。加快推进“运河壹号”创意工坊建成运营，完成“运河五号”创意街区改造提升。围绕大运河主题，开展书籍、美术、音乐、舞蹈、戏剧、影视频等精品文艺创作。做大做强大运河文创节、江南运河插秧节、丰收节等运河文化品牌，开展大运河主题设计赛、网络电影评选、摄影寻美等活动，组织“大运河马拉松”“常走大运”等群众性活动，打造运河文化交流合作平台。做大做强沿线文化产业，培育与运河文化相关的数字内容、创意设计、会展演艺、影视动漫等新型文化业态，助力打造大运河江苏数字港。推进餐饮产业化、规模化、标准化，推出一批老字号特色主题餐饮、美食网红热点、“美食夜市”和美食街区（村镇），形成“寻味江南，食美钟楼”品牌效应。</w:t>
      </w:r>
    </w:p>
    <w:p>
      <w:pPr>
        <w:ind w:firstLine="643"/>
      </w:pPr>
      <w:r>
        <w:rPr>
          <w:rFonts w:hAnsi="仿宋_GB2312"/>
          <w:b/>
          <w:szCs w:val="32"/>
        </w:rPr>
        <w:t>强化大运河沿线协同。</w:t>
      </w:r>
      <w:r>
        <w:t>加强规划引领，全面实施《江苏省大运河文化保护传承利用实施规划》。编制出台大运河钟楼段文化遗产保护传承、文化价值阐释弘扬、生态长廊建设、河道水系治理管护、文化旅游融合发展等5个专项实施规划。强化工作统筹，建立健全督查督办、协调会办、沟通联络、信息通报等工作推进机制。积极参与常州全域运河文化旅游线路建设和世界运河城市论坛等国际性运河主题活动。组建和扩大“保护母亲河”等各类民间非营利性社会组织的数量与规模，推动全民参与运河生态治理。加大要素支撑，积极争取省市两级大运河文化旅游发展基金和省级文物保护、现代服务业（文化、新闻出版、广播电视）、旅游业、水利、交通运输、环保、生态补偿等各类专项资金，加大对大运河文化保护传承利用项目扶持力度。</w:t>
      </w:r>
    </w:p>
    <w:bookmarkEnd w:id="38"/>
    <w:p>
      <w:pPr>
        <w:pStyle w:val="6"/>
        <w:spacing w:before="156" w:after="156"/>
        <w:rPr>
          <w:rFonts w:eastAsia="楷体_GB2312"/>
          <w:b w:val="0"/>
          <w:bCs w:val="0"/>
        </w:rPr>
      </w:pPr>
      <w:bookmarkStart w:id="39" w:name="_Toc20258"/>
      <w:r>
        <w:rPr>
          <w:rFonts w:hAnsi="楷体_GB2312" w:eastAsia="楷体_GB2312"/>
          <w:b w:val="0"/>
          <w:bCs w:val="0"/>
        </w:rPr>
        <w:t>第二节</w:t>
      </w:r>
      <w:r>
        <w:rPr>
          <w:rFonts w:eastAsia="楷体_GB2312"/>
          <w:b w:val="0"/>
          <w:bCs w:val="0"/>
        </w:rPr>
        <w:t xml:space="preserve"> </w:t>
      </w:r>
      <w:r>
        <w:rPr>
          <w:rFonts w:hAnsi="楷体_GB2312" w:eastAsia="楷体_GB2312"/>
          <w:b w:val="0"/>
          <w:bCs w:val="0"/>
        </w:rPr>
        <w:t>深化文旅融合发展</w:t>
      </w:r>
      <w:bookmarkEnd w:id="39"/>
    </w:p>
    <w:p>
      <w:pPr>
        <w:ind w:firstLine="643"/>
        <w:rPr>
          <w:szCs w:val="32"/>
        </w:rPr>
      </w:pPr>
      <w:r>
        <w:rPr>
          <w:rFonts w:hAnsi="仿宋_GB2312"/>
          <w:b/>
          <w:szCs w:val="32"/>
        </w:rPr>
        <w:t>推进全域旅游发展。</w:t>
      </w:r>
      <w:r>
        <w:rPr>
          <w:szCs w:val="32"/>
        </w:rPr>
        <w:t>深入贯彻落实市委、市政府“文旅休闲明星城”工作部署，以发展全域化、供给品质化、治理规范化、效益最大化为目标</w:t>
      </w:r>
      <w:r>
        <w:rPr>
          <w:color w:val="000000"/>
          <w:szCs w:val="32"/>
        </w:rPr>
        <w:t>，构建“一带一核五片区”空间格局，创新驱动发展，多元融合共生，形成</w:t>
      </w:r>
      <w:r>
        <w:rPr>
          <w:szCs w:val="32"/>
        </w:rPr>
        <w:t>“</w:t>
      </w:r>
      <w:r>
        <w:rPr>
          <w:rFonts w:hAnsi="仿宋_GB2312"/>
          <w:szCs w:val="32"/>
        </w:rPr>
        <w:t>文旅融合、城景一体、主客共享</w:t>
      </w:r>
      <w:r>
        <w:rPr>
          <w:szCs w:val="32"/>
        </w:rPr>
        <w:t>”</w:t>
      </w:r>
      <w:r>
        <w:rPr>
          <w:color w:val="000000"/>
          <w:szCs w:val="32"/>
        </w:rPr>
        <w:t>全域旅游</w:t>
      </w:r>
      <w:r>
        <w:rPr>
          <w:rFonts w:hAnsi="仿宋_GB2312"/>
          <w:szCs w:val="32"/>
        </w:rPr>
        <w:t>发展新格局。</w:t>
      </w:r>
      <w:r>
        <w:rPr>
          <w:szCs w:val="32"/>
        </w:rPr>
        <w:t>坚持“大旅游”理念，实施“文</w:t>
      </w:r>
      <w:r>
        <w:rPr>
          <w:rFonts w:hAnsi="仿宋_GB2312"/>
          <w:szCs w:val="32"/>
        </w:rPr>
        <w:t>化</w:t>
      </w:r>
      <w:r>
        <w:rPr>
          <w:szCs w:val="32"/>
        </w:rPr>
        <w:t>+</w:t>
      </w:r>
      <w:r>
        <w:rPr>
          <w:rFonts w:hAnsi="仿宋_GB2312"/>
          <w:szCs w:val="32"/>
        </w:rPr>
        <w:t>、旅游</w:t>
      </w:r>
      <w:r>
        <w:rPr>
          <w:szCs w:val="32"/>
        </w:rPr>
        <w:t>+”</w:t>
      </w:r>
      <w:r>
        <w:rPr>
          <w:rFonts w:hAnsi="仿宋_GB2312"/>
          <w:szCs w:val="32"/>
        </w:rPr>
        <w:t>双向融合战略，</w:t>
      </w:r>
      <w:r>
        <w:rPr>
          <w:rFonts w:hAnsi="仿宋_GB2312"/>
          <w:color w:val="000000"/>
          <w:szCs w:val="32"/>
        </w:rPr>
        <w:t>文旅赋能钟楼老城厢复兴，文旅助力城乡融合发展。</w:t>
      </w:r>
      <w:r>
        <w:rPr>
          <w:rFonts w:hAnsi="仿宋_GB2312"/>
          <w:szCs w:val="32"/>
        </w:rPr>
        <w:t>加快古运河南大街文化旅游区、大庙弄片区、三堡街</w:t>
      </w:r>
      <w:r>
        <w:rPr>
          <w:szCs w:val="32"/>
        </w:rPr>
        <w:t>-西直街等重点片区提质升级，推动文化和旅游融合发展，培育文化底蕴丰厚、文化特色鲜明的国家级旅游休闲街区</w:t>
      </w:r>
      <w:r>
        <w:rPr>
          <w:color w:val="000000"/>
          <w:szCs w:val="32"/>
        </w:rPr>
        <w:t>。充分挖掘钟楼乡村资源，打造特色田园综合体，推动城乡交通互联互通，实现文旅公共服务共享，深化农文旅融合，丰富乡村经济业态，促进乡村振兴。实施数字科技赋能文旅高质量发展行动，推动旅游景区实现智慧化转型升级，构建智慧旅游服务和智慧消费体验体系，打造城市智慧导游导览系统。大力推进全域旅游示范区创建，力争三年内</w:t>
      </w:r>
      <w:r>
        <w:rPr>
          <w:rFonts w:hAnsi="仿宋_GB2312"/>
          <w:szCs w:val="32"/>
        </w:rPr>
        <w:t>创成省级全域旅游示范区。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专栏9-1 全域旅游发展空间格局</w:t>
            </w:r>
          </w:p>
          <w:p>
            <w:pPr>
              <w:spacing w:line="440" w:lineRule="exact"/>
              <w:ind w:firstLine="0" w:firstLineChars="0"/>
              <w:jc w:val="left"/>
              <w:rPr>
                <w:bCs/>
                <w:kern w:val="0"/>
                <w:sz w:val="28"/>
                <w:szCs w:val="28"/>
              </w:rPr>
            </w:pPr>
            <w:r>
              <w:rPr>
                <w:rFonts w:hAnsi="仿宋_GB2312"/>
                <w:b/>
                <w:kern w:val="0"/>
                <w:sz w:val="28"/>
                <w:szCs w:val="28"/>
              </w:rPr>
              <w:t>一带：</w:t>
            </w:r>
            <w:r>
              <w:rPr>
                <w:rFonts w:hAnsi="仿宋_GB2312"/>
                <w:bCs/>
                <w:kern w:val="0"/>
                <w:sz w:val="28"/>
                <w:szCs w:val="28"/>
              </w:rPr>
              <w:t>大运河历史文化旅游带。</w:t>
            </w:r>
          </w:p>
          <w:p>
            <w:pPr>
              <w:spacing w:line="440" w:lineRule="exact"/>
              <w:ind w:firstLine="0" w:firstLineChars="0"/>
              <w:jc w:val="left"/>
              <w:rPr>
                <w:bCs/>
                <w:kern w:val="0"/>
                <w:sz w:val="28"/>
                <w:szCs w:val="28"/>
              </w:rPr>
            </w:pPr>
            <w:r>
              <w:rPr>
                <w:rFonts w:hAnsi="仿宋_GB2312"/>
                <w:b/>
                <w:kern w:val="0"/>
                <w:sz w:val="28"/>
                <w:szCs w:val="28"/>
              </w:rPr>
              <w:t>一核：</w:t>
            </w:r>
            <w:r>
              <w:rPr>
                <w:rFonts w:hAnsi="仿宋_GB2312"/>
                <w:bCs/>
                <w:kern w:val="0"/>
                <w:sz w:val="28"/>
                <w:szCs w:val="28"/>
              </w:rPr>
              <w:t>城中文商旅融合发展核。</w:t>
            </w:r>
          </w:p>
          <w:p>
            <w:pPr>
              <w:spacing w:line="440" w:lineRule="exact"/>
              <w:ind w:firstLine="0" w:firstLineChars="0"/>
              <w:jc w:val="left"/>
              <w:rPr>
                <w:bCs/>
                <w:kern w:val="0"/>
                <w:szCs w:val="32"/>
              </w:rPr>
            </w:pPr>
            <w:r>
              <w:rPr>
                <w:rFonts w:hAnsi="仿宋_GB2312"/>
                <w:b/>
                <w:kern w:val="0"/>
                <w:sz w:val="28"/>
                <w:szCs w:val="28"/>
              </w:rPr>
              <w:t>五片区：</w:t>
            </w:r>
            <w:r>
              <w:rPr>
                <w:rFonts w:hAnsi="仿宋_GB2312"/>
                <w:bCs/>
                <w:kern w:val="0"/>
                <w:sz w:val="28"/>
                <w:szCs w:val="28"/>
              </w:rPr>
              <w:t>三堡街</w:t>
            </w:r>
            <w:r>
              <w:rPr>
                <w:kern w:val="0"/>
                <w:sz w:val="28"/>
                <w:szCs w:val="28"/>
              </w:rPr>
              <w:t>-</w:t>
            </w:r>
            <w:r>
              <w:rPr>
                <w:rFonts w:hAnsi="仿宋_GB2312"/>
                <w:bCs/>
                <w:kern w:val="0"/>
                <w:sz w:val="28"/>
                <w:szCs w:val="28"/>
              </w:rPr>
              <w:t>大观楼</w:t>
            </w:r>
            <w:r>
              <w:rPr>
                <w:kern w:val="0"/>
                <w:sz w:val="28"/>
                <w:szCs w:val="28"/>
              </w:rPr>
              <w:t>-</w:t>
            </w:r>
            <w:r>
              <w:rPr>
                <w:rFonts w:hAnsi="仿宋_GB2312"/>
                <w:bCs/>
                <w:kern w:val="0"/>
                <w:sz w:val="28"/>
                <w:szCs w:val="28"/>
              </w:rPr>
              <w:t>西直街创意文化片区、新港文旅融合发展片区、殷杏泰田园乡村生活片区、现代工业创新体验片区、城市花园文化体验片区。</w:t>
            </w:r>
          </w:p>
        </w:tc>
      </w:tr>
    </w:tbl>
    <w:p>
      <w:pPr>
        <w:ind w:firstLine="643"/>
        <w:rPr>
          <w:szCs w:val="32"/>
        </w:rPr>
      </w:pPr>
      <w:r>
        <w:rPr>
          <w:rFonts w:hAnsi="仿宋_GB2312"/>
          <w:b/>
          <w:szCs w:val="32"/>
        </w:rPr>
        <w:t>促进产业深度融合。</w:t>
      </w:r>
      <w:r>
        <w:rPr>
          <w:szCs w:val="32"/>
        </w:rPr>
        <w:t>推动文旅产业与相关产业融合发展，培育新业态，发展新模式，拓展文旅消费新空间，形成文旅消费新热点，促进文旅消费新升级。加快发展工业旅游、乡村旅游、研学旅游、夜间旅游。</w:t>
      </w:r>
      <w:r>
        <w:rPr>
          <w:rFonts w:hAnsi="仿宋_GB2312"/>
          <w:szCs w:val="32"/>
        </w:rPr>
        <w:t>彰显工业遗存特色，</w:t>
      </w:r>
      <w:r>
        <w:rPr>
          <w:szCs w:val="32"/>
        </w:rPr>
        <w:t>以三堡街为轴，以运河五号、航海仪器厂、仙鹤酱品厂、常州梳篦非遗文化园为点，串珠成线，</w:t>
      </w:r>
      <w:r>
        <w:rPr>
          <w:rFonts w:hAnsi="仿宋_GB2312"/>
          <w:szCs w:val="32"/>
        </w:rPr>
        <w:t>打造工业旅游廊道。彰显乡村生态特色，推进安基村美丽乡村建设，打造具有江南运河田园风光特色的</w:t>
      </w:r>
      <w:r>
        <w:rPr>
          <w:szCs w:val="32"/>
        </w:rPr>
        <w:t>“</w:t>
      </w:r>
      <w:r>
        <w:rPr>
          <w:rFonts w:hAnsi="仿宋_GB2312"/>
          <w:szCs w:val="32"/>
        </w:rPr>
        <w:t>运河慢村</w:t>
      </w:r>
      <w:r>
        <w:rPr>
          <w:szCs w:val="32"/>
        </w:rPr>
        <w:t>”</w:t>
      </w:r>
      <w:r>
        <w:rPr>
          <w:rFonts w:hAnsi="仿宋_GB2312"/>
          <w:szCs w:val="32"/>
        </w:rPr>
        <w:t>；以佳农探趣、临溪农庄、诺亚方舟等为载体，打造乡村休闲、亲子研学的现代都市农业综合体；推动殷杏泰片区开发建设，引入文旅项目提升产业层级，发展乡村旅游，实现一、三产业融合发展。</w:t>
      </w:r>
      <w:r>
        <w:rPr>
          <w:color w:val="000000"/>
          <w:szCs w:val="32"/>
        </w:rPr>
        <w:t>做强“夜色”文旅经济，</w:t>
      </w:r>
      <w:r>
        <w:rPr>
          <w:szCs w:val="32"/>
        </w:rPr>
        <w:t>以运河文化为“魂”，水陆空间为“形”，运河夜游为“线”，串联节点，打造主客共享的夜间文旅消费空间</w:t>
      </w:r>
      <w:r>
        <w:rPr>
          <w:rFonts w:hAnsi="仿宋_GB2312"/>
          <w:szCs w:val="32"/>
        </w:rPr>
        <w:t>；支持利用数字技术打造夜间文化和旅游产品，以数字重构助力夜间经济智慧增长。深入推进</w:t>
      </w:r>
      <w:r>
        <w:rPr>
          <w:szCs w:val="32"/>
        </w:rPr>
        <w:t>“</w:t>
      </w:r>
      <w:r>
        <w:rPr>
          <w:rFonts w:hAnsi="仿宋_GB2312"/>
          <w:szCs w:val="32"/>
        </w:rPr>
        <w:t>互联网</w:t>
      </w:r>
      <w:r>
        <w:rPr>
          <w:szCs w:val="32"/>
        </w:rPr>
        <w:t>+”</w:t>
      </w:r>
      <w:r>
        <w:rPr>
          <w:rFonts w:hAnsi="仿宋_GB2312"/>
          <w:szCs w:val="32"/>
        </w:rPr>
        <w:t>，发展云</w:t>
      </w:r>
      <w:r>
        <w:rPr>
          <w:szCs w:val="32"/>
        </w:rPr>
        <w:t>旅游、云演艺、云展览等新业态，培育定制消费、智能消费、互动消费等新模式，打造沉浸式文旅体验新场景，实现文旅消费</w:t>
      </w:r>
      <w:r>
        <w:rPr>
          <w:rFonts w:hAnsi="仿宋_GB2312"/>
          <w:szCs w:val="32"/>
        </w:rPr>
        <w:t>多样化。</w:t>
      </w:r>
    </w:p>
    <w:p>
      <w:pPr>
        <w:ind w:firstLine="643"/>
      </w:pPr>
      <w:r>
        <w:rPr>
          <w:rFonts w:hAnsi="仿宋_GB2312"/>
          <w:b/>
          <w:szCs w:val="32"/>
        </w:rPr>
        <w:t>构筑特色文旅品牌。</w:t>
      </w:r>
      <w:r>
        <w:rPr>
          <w:rFonts w:hAnsi="仿宋_GB2312"/>
          <w:szCs w:val="32"/>
        </w:rPr>
        <w:t>充分弘扬中心城区深厚的历史积淀，突出具有唯一性、独特性、代表性的钟楼元素，提升文旅品牌的文化内涵、区域特色，培育一批品质化、差异化、特色化的都市休闲度假产品，打造具有市场识别度、影响力的核心文旅</w:t>
      </w:r>
      <w:r>
        <w:rPr>
          <w:szCs w:val="32"/>
        </w:rPr>
        <w:t>IP</w:t>
      </w:r>
      <w:r>
        <w:rPr>
          <w:rFonts w:hAnsi="仿宋_GB2312"/>
          <w:szCs w:val="32"/>
        </w:rPr>
        <w:t>，推动文旅休闲成为展示和体验中心城区高质量发展成果的重要载体。进一步挖掘季札、盛宣怀、唐荆川、</w:t>
      </w:r>
      <w:r>
        <w:rPr>
          <w:szCs w:val="32"/>
        </w:rPr>
        <w:t>李伯元、</w:t>
      </w:r>
      <w:r>
        <w:rPr>
          <w:rFonts w:hAnsi="仿宋_GB2312"/>
          <w:szCs w:val="32"/>
        </w:rPr>
        <w:t>瞿秋白故居、中山纪念堂、大陆饭店等名人名居资源，对盛宣怀故居、夏家大院等文保单位进行有序修缮更新，不断丰富钟楼历史人文旅游内涵。深入挖掘本土红色文化，创新创意表达方式，推动红色旅游与绿色生态、文化演艺、休闲娱乐等业态融合渗透，形成</w:t>
      </w:r>
      <w:r>
        <w:rPr>
          <w:szCs w:val="32"/>
        </w:rPr>
        <w:t>“</w:t>
      </w:r>
      <w:r>
        <w:rPr>
          <w:rFonts w:hAnsi="仿宋_GB2312"/>
          <w:szCs w:val="32"/>
        </w:rPr>
        <w:t>红色</w:t>
      </w:r>
      <w:r>
        <w:rPr>
          <w:szCs w:val="32"/>
        </w:rPr>
        <w:t>+</w:t>
      </w:r>
      <w:r>
        <w:rPr>
          <w:rFonts w:hAnsi="仿宋_GB2312"/>
          <w:szCs w:val="32"/>
        </w:rPr>
        <w:t>运河</w:t>
      </w:r>
      <w:r>
        <w:rPr>
          <w:szCs w:val="32"/>
        </w:rPr>
        <w:t>”“</w:t>
      </w:r>
      <w:r>
        <w:rPr>
          <w:rFonts w:hAnsi="仿宋_GB2312"/>
          <w:szCs w:val="32"/>
        </w:rPr>
        <w:t>红色</w:t>
      </w:r>
      <w:r>
        <w:rPr>
          <w:szCs w:val="32"/>
        </w:rPr>
        <w:t>+</w:t>
      </w:r>
      <w:r>
        <w:rPr>
          <w:rFonts w:hAnsi="仿宋_GB2312"/>
          <w:szCs w:val="32"/>
        </w:rPr>
        <w:t>乡村</w:t>
      </w:r>
      <w:r>
        <w:rPr>
          <w:szCs w:val="32"/>
        </w:rPr>
        <w:t>”“</w:t>
      </w:r>
      <w:r>
        <w:rPr>
          <w:rFonts w:hAnsi="仿宋_GB2312"/>
          <w:szCs w:val="32"/>
        </w:rPr>
        <w:t>红色</w:t>
      </w:r>
      <w:r>
        <w:rPr>
          <w:szCs w:val="32"/>
        </w:rPr>
        <w:t>+</w:t>
      </w:r>
      <w:r>
        <w:rPr>
          <w:rFonts w:hAnsi="仿宋_GB2312"/>
          <w:szCs w:val="32"/>
        </w:rPr>
        <w:t>民俗</w:t>
      </w:r>
      <w:r>
        <w:rPr>
          <w:szCs w:val="32"/>
        </w:rPr>
        <w:t>”</w:t>
      </w:r>
      <w:r>
        <w:rPr>
          <w:rFonts w:hAnsi="仿宋_GB2312"/>
          <w:szCs w:val="32"/>
        </w:rPr>
        <w:t>等多元化旅游路线产品，构建红色旅游产品体系，打造红色旅游品牌。</w:t>
      </w:r>
      <w:r>
        <w:rPr>
          <w:szCs w:val="32"/>
        </w:rPr>
        <w:t>传承和弘扬非遗传统技艺、工艺美术，构建钟楼特色传统文化、非遗博物馆体系，打造“椿芳书苑”、“秋白微书房”等一批文化新地标。充分利用主流媒体、新媒体等各类推广渠道，最大化展示钟楼旅游形象。举办时尚感、潮流派文化旅游节庆活动，浓厚有体验、有回味的都市文旅休闲氛围，彰显钟楼千年积淀底蕴，凝结更为广泛的以城市认同感、归宿感为内核的精神合力</w:t>
      </w:r>
      <w:r>
        <w:t>。</w:t>
      </w:r>
      <w:bookmarkStart w:id="40" w:name="_Hlk58009907"/>
    </w:p>
    <w:p>
      <w:pPr>
        <w:pStyle w:val="6"/>
        <w:spacing w:before="156" w:after="156"/>
        <w:rPr>
          <w:rFonts w:eastAsia="楷体_GB2312"/>
          <w:b w:val="0"/>
          <w:bCs w:val="0"/>
        </w:rPr>
      </w:pPr>
      <w:bookmarkStart w:id="41" w:name="_Toc9755"/>
      <w:r>
        <w:rPr>
          <w:rFonts w:hAnsi="楷体_GB2312" w:eastAsia="楷体_GB2312"/>
          <w:b w:val="0"/>
          <w:bCs w:val="0"/>
        </w:rPr>
        <w:t>第三节</w:t>
      </w:r>
      <w:r>
        <w:rPr>
          <w:rFonts w:eastAsia="楷体_GB2312"/>
          <w:b w:val="0"/>
          <w:bCs w:val="0"/>
        </w:rPr>
        <w:t xml:space="preserve"> </w:t>
      </w:r>
      <w:r>
        <w:rPr>
          <w:rFonts w:hAnsi="楷体_GB2312" w:eastAsia="楷体_GB2312"/>
          <w:b w:val="0"/>
          <w:bCs w:val="0"/>
        </w:rPr>
        <w:t>推动商圈繁荣振兴</w:t>
      </w:r>
      <w:bookmarkEnd w:id="41"/>
    </w:p>
    <w:p>
      <w:pPr>
        <w:ind w:firstLine="643"/>
      </w:pPr>
      <w:bookmarkStart w:id="42" w:name="_Hlk58449747"/>
      <w:r>
        <w:rPr>
          <w:b/>
          <w:bCs/>
        </w:rPr>
        <w:t>优化商圈空间布局。</w:t>
      </w:r>
      <w:bookmarkStart w:id="43" w:name="_Hlk58010234"/>
      <w:r>
        <w:t>聚焦“老城复兴、西进提速、东西融合、产城一体”总体思路，抢抓地铁经济，打造“一轴一核多片区”联袂发展新格局。重点延轨道交通2号线，有效串联沿线主要商业网点和街区，打造多功能商贸服务发展轴。聚焦老城厢建设，以南北大街商圈为核心，打造文商旅创融合发展、充满活力的城市中心商圈。支持皇粮浜片区成为区域总部经济新高地，打造成为全市知名的集高端服务与区域总部经济于一体的生态宜居片区。加快新港、客车厂、邹区镇等片区生活配套商圈的开发建设和提档升级，提升区域能级和可持续发展。</w:t>
      </w:r>
    </w:p>
    <w:p>
      <w:pPr>
        <w:ind w:firstLine="643"/>
      </w:pPr>
      <w:r>
        <w:rPr>
          <w:b/>
          <w:bCs/>
        </w:rPr>
        <w:t>提升商圈发展能级。</w:t>
      </w:r>
      <w:bookmarkEnd w:id="43"/>
      <w:r>
        <w:t>积极引入第三方专业运营机构，充分发挥招商资源、管理经验、整体运营等优势，鼓励发展新兴消费、科技服务、创意设计等产业，培育协同互补的产业圈层。加快中心商圈消费能级扩容，南大街古运河步行街区创成省级高品位步行街，鼓励和支持吾悦、泰富、新世纪等重点企业提档升级，加快金鹰、碧桂园、运河天地等项目建设和招商，打造莱蒙“24小时香港滩”特色街区，提升大庙弄片区老城厢改造，构建中心商圈“黄金十字路口”，擦亮龙城第一商圈品牌。</w:t>
      </w:r>
    </w:p>
    <w:bookmarkEnd w:id="42"/>
    <w:p>
      <w:pPr>
        <w:ind w:firstLine="643"/>
      </w:pPr>
      <w:r>
        <w:rPr>
          <w:b/>
          <w:bCs/>
        </w:rPr>
        <w:t>加快商圈业态升级。</w:t>
      </w:r>
      <w:r>
        <w:t>唱响老字号、培育原字号，引进新字号，促进商圈业态更新和消费升级。依托现有府前楼、德泰恒等老字号餐饮企业带动，加快发展老字号特色餐饮街区。注重引进“新字号”业态，招引新零售、网红经济等业态率先布局。注重培育“原字号”品牌，深度开发“首创”产品，鼓励本土商贸企业和市场主体创新理念开发“地标”式创意品牌实体店和特色街区，打造深度沉浸式的体验场所。</w:t>
      </w:r>
    </w:p>
    <w:bookmarkEnd w:id="40"/>
    <w:p>
      <w:pPr>
        <w:ind w:firstLine="643"/>
      </w:pPr>
      <w:r>
        <w:rPr>
          <w:b/>
          <w:bCs/>
        </w:rPr>
        <w:t>推进商圈创新发展。</w:t>
      </w:r>
      <w:r>
        <w:t>加快数字经济赋能商圈发展，利用5G、AI、大数据等数字技术构建一站式智慧商圈服务体系。做大做强省级电子商务示范基地，支持电商企业向线下延伸拓展业务，引导实体企业更多开发数字产品和服务。加快培育国家和省级数字商务企业，推进商贸流通企业转型升级和降本增效。打通线上线下内外消费循环，推动从传统的购物消费街区升级为文化底蕴深厚、特色鲜明突出、商业模式先进、环境舒适便捷的商贸核心区。</w:t>
      </w:r>
    </w:p>
    <w:p>
      <w:pPr>
        <w:pStyle w:val="6"/>
        <w:spacing w:before="156" w:after="156"/>
        <w:rPr>
          <w:rFonts w:eastAsia="楷体_GB2312"/>
          <w:b w:val="0"/>
          <w:bCs w:val="0"/>
        </w:rPr>
      </w:pPr>
      <w:bookmarkStart w:id="44" w:name="_Toc17808"/>
      <w:r>
        <w:rPr>
          <w:rFonts w:hAnsi="楷体_GB2312" w:eastAsia="楷体_GB2312"/>
          <w:b w:val="0"/>
          <w:bCs w:val="0"/>
        </w:rPr>
        <w:t>第四节</w:t>
      </w:r>
      <w:r>
        <w:rPr>
          <w:rFonts w:eastAsia="楷体_GB2312"/>
          <w:b w:val="0"/>
          <w:bCs w:val="0"/>
        </w:rPr>
        <w:t xml:space="preserve"> </w:t>
      </w:r>
      <w:r>
        <w:rPr>
          <w:rFonts w:hAnsi="楷体_GB2312" w:eastAsia="楷体_GB2312"/>
          <w:b w:val="0"/>
          <w:bCs w:val="0"/>
        </w:rPr>
        <w:t>大力发展楼宇经济</w:t>
      </w:r>
      <w:bookmarkEnd w:id="44"/>
    </w:p>
    <w:p>
      <w:pPr>
        <w:ind w:firstLine="643"/>
      </w:pPr>
      <w:r>
        <w:rPr>
          <w:b/>
          <w:bCs/>
        </w:rPr>
        <w:t>加强楼宇经济规划引导。</w:t>
      </w:r>
      <w:r>
        <w:t>结合全区空间布局定位，规划不同区域楼宇经济发展主题，推动楼宇围绕定位进行产业生态链集聚，打造专业特色楼宇，形成结构合理、各有侧重的楼宇经济群，以老城区为核心重点发展对外贸易、法律金融、电子商务等为代表的商务楼宇经济，以大运河江苏数字港为核心重点发展以软件信息、研发设计、现代物流等为特色的生产性服务楼宇经济，以殷杏泰片区为核心发展自然生态与产业楼宇相融合为特色的乡村SOHO经济。引导楼宇集聚以“新产业、新业态、新商业”模式为特征的新经济市场主体，打造城市经济转型、产业升级的新引擎。制定完善楼宇经济发展政策，重点从鼓励自持整体运营、提升改造、产业集聚、物业管理、经济贡献等方面进行引导扶持。大力实施“楼宇经济511计划”，力争到2025年培育年税收超亿元楼宇5个，超5000万楼宇10个，楼宇新增入驻四上企业1000家。</w:t>
      </w:r>
    </w:p>
    <w:p>
      <w:pPr>
        <w:ind w:firstLine="643"/>
        <w:rPr>
          <w:b/>
          <w:bCs/>
        </w:rPr>
      </w:pPr>
      <w:r>
        <w:rPr>
          <w:b/>
          <w:bCs/>
        </w:rPr>
        <w:t>提升楼宇设施品质。</w:t>
      </w:r>
      <w:r>
        <w:t>对新建楼宇引导各类开发主体高起点、高标准进行楼宇功能和配套的设计，鼓励对老旧低效楼宇进行内部设施和立面外形实施改造更新，提升楼宇智能化、信息化水平，完善楼宇餐饮休闲、智慧停车等配套功能。推动提高楼宇物业管理品质，实施楼宇物业服务星级评定，提升楼宇物业服务的规范化、优质化</w:t>
      </w:r>
      <w:r>
        <w:rPr>
          <w:b/>
          <w:bCs/>
        </w:rPr>
        <w:t>。</w:t>
      </w:r>
    </w:p>
    <w:p>
      <w:pPr>
        <w:ind w:firstLine="643"/>
      </w:pPr>
      <w:r>
        <w:rPr>
          <w:b/>
          <w:bCs/>
        </w:rPr>
        <w:t>优化楼宇服务环境。</w:t>
      </w:r>
      <w:r>
        <w:t>优化政务服务功能，在重点楼宇和楼宇集聚区设立楼宇经济服务站，以“管家+专家”的服务模式，为楼宇入驻企业提供高效、全面、人性化的政务服务。引入社区工作理念，打造钟楼版社区型楼宇，将产业楼宇打造为有共同利益纽带和情感认同的共同体，助推项目信息、资源要素和创新人才的交流和汇聚。</w:t>
      </w:r>
    </w:p>
    <w:p>
      <w:pPr>
        <w:pStyle w:val="5"/>
        <w:spacing w:before="312" w:after="156"/>
        <w:rPr>
          <w:rFonts w:ascii="Times New Roman" w:hAnsi="Times New Roman" w:eastAsia="黑体"/>
        </w:rPr>
      </w:pPr>
      <w:bookmarkStart w:id="45" w:name="_Toc5827"/>
      <w:r>
        <w:rPr>
          <w:rFonts w:ascii="Times New Roman" w:hAnsi="黑体" w:eastAsia="黑体"/>
        </w:rPr>
        <w:t>第十章</w:t>
      </w:r>
      <w:r>
        <w:rPr>
          <w:rFonts w:ascii="Times New Roman" w:hAnsi="Times New Roman" w:eastAsia="黑体"/>
        </w:rPr>
        <w:t xml:space="preserve"> </w:t>
      </w:r>
      <w:r>
        <w:rPr>
          <w:rFonts w:ascii="Times New Roman" w:hAnsi="黑体" w:eastAsia="黑体"/>
        </w:rPr>
        <w:t>提升人民生活品质</w:t>
      </w:r>
      <w:bookmarkEnd w:id="45"/>
    </w:p>
    <w:p>
      <w:pPr>
        <w:ind w:firstLine="640"/>
      </w:pPr>
      <w:r>
        <w:rPr>
          <w:rFonts w:hAnsi="仿宋_GB2312"/>
          <w:szCs w:val="32"/>
        </w:rPr>
        <w:t>落实</w:t>
      </w:r>
      <w:r>
        <w:rPr>
          <w:szCs w:val="32"/>
        </w:rPr>
        <w:t>“</w:t>
      </w:r>
      <w:r>
        <w:rPr>
          <w:rFonts w:hAnsi="仿宋_GB2312"/>
          <w:szCs w:val="32"/>
        </w:rPr>
        <w:t>和谐幸福明星城</w:t>
      </w:r>
      <w:r>
        <w:rPr>
          <w:szCs w:val="32"/>
        </w:rPr>
        <w:t>”</w:t>
      </w:r>
      <w:r>
        <w:rPr>
          <w:rFonts w:hAnsi="仿宋_GB2312"/>
          <w:szCs w:val="32"/>
        </w:rPr>
        <w:t>建设部署，以人民为中心，持续推进富民增收，统筹就业、教育、养老、卫生健康、社会保障等民生事业的高质量发展，实现基本公共服务的全域协同全面均等，人民生活品质得到新提升。</w:t>
      </w:r>
    </w:p>
    <w:p>
      <w:pPr>
        <w:pStyle w:val="6"/>
        <w:spacing w:before="156" w:after="156"/>
        <w:rPr>
          <w:rFonts w:eastAsia="楷体_GB2312"/>
          <w:b w:val="0"/>
          <w:bCs w:val="0"/>
        </w:rPr>
      </w:pPr>
      <w:bookmarkStart w:id="46" w:name="_Toc32357"/>
      <w:r>
        <w:rPr>
          <w:rFonts w:hAnsi="楷体_GB2312" w:eastAsia="楷体_GB2312"/>
          <w:b w:val="0"/>
          <w:bCs w:val="0"/>
        </w:rPr>
        <w:t>第一节</w:t>
      </w:r>
      <w:r>
        <w:rPr>
          <w:rFonts w:eastAsia="楷体_GB2312"/>
          <w:b w:val="0"/>
          <w:bCs w:val="0"/>
        </w:rPr>
        <w:t xml:space="preserve"> </w:t>
      </w:r>
      <w:r>
        <w:rPr>
          <w:rFonts w:hAnsi="楷体_GB2312" w:eastAsia="楷体_GB2312"/>
          <w:b w:val="0"/>
          <w:bCs w:val="0"/>
        </w:rPr>
        <w:t>实现更高质量更充分就业</w:t>
      </w:r>
      <w:bookmarkEnd w:id="46"/>
    </w:p>
    <w:p>
      <w:pPr>
        <w:ind w:firstLine="643"/>
        <w:rPr>
          <w:b/>
          <w:bCs/>
        </w:rPr>
      </w:pPr>
      <w:r>
        <w:rPr>
          <w:b/>
          <w:bCs/>
        </w:rPr>
        <w:t>强化就业优先政策。</w:t>
      </w:r>
      <w:r>
        <w:rPr>
          <w:szCs w:val="32"/>
        </w:rPr>
        <w:t>坚持经济发展就业导向，充分发挥企业吸纳就业基本盘作用，落实稳就业保就业政策。强化托底安置保障，加大高校毕业生、退役军人、残疾人、零就业家庭</w:t>
      </w:r>
      <w:r>
        <w:rPr>
          <w:rFonts w:hAnsi="仿宋_GB2312"/>
          <w:szCs w:val="32"/>
        </w:rPr>
        <w:t>等重点群体就业帮扶力度，支持发展新就业形态。到</w:t>
      </w:r>
      <w:r>
        <w:rPr>
          <w:szCs w:val="32"/>
        </w:rPr>
        <w:t>2025</w:t>
      </w:r>
      <w:r>
        <w:rPr>
          <w:rFonts w:hAnsi="仿宋_GB2312"/>
          <w:szCs w:val="32"/>
        </w:rPr>
        <w:t>年，累计实现城乡新增就业</w:t>
      </w:r>
      <w:r>
        <w:rPr>
          <w:szCs w:val="32"/>
        </w:rPr>
        <w:t>80000</w:t>
      </w:r>
      <w:r>
        <w:rPr>
          <w:rFonts w:hAnsi="仿宋_GB2312"/>
          <w:szCs w:val="32"/>
        </w:rPr>
        <w:t>人，失业人员再就业</w:t>
      </w:r>
      <w:r>
        <w:rPr>
          <w:szCs w:val="32"/>
        </w:rPr>
        <w:t>40000</w:t>
      </w:r>
      <w:r>
        <w:rPr>
          <w:rFonts w:hAnsi="仿宋_GB2312"/>
          <w:szCs w:val="32"/>
        </w:rPr>
        <w:t>人，城乡</w:t>
      </w:r>
      <w:r>
        <w:rPr>
          <w:szCs w:val="32"/>
        </w:rPr>
        <w:t>“</w:t>
      </w:r>
      <w:r>
        <w:rPr>
          <w:rFonts w:hAnsi="仿宋_GB2312"/>
          <w:szCs w:val="32"/>
        </w:rPr>
        <w:t>零就业家庭</w:t>
      </w:r>
      <w:r>
        <w:rPr>
          <w:szCs w:val="32"/>
        </w:rPr>
        <w:t>”</w:t>
      </w:r>
      <w:r>
        <w:rPr>
          <w:rFonts w:hAnsi="仿宋_GB2312"/>
          <w:szCs w:val="32"/>
        </w:rPr>
        <w:t>动态清</w:t>
      </w:r>
      <w:r>
        <w:rPr>
          <w:szCs w:val="32"/>
        </w:rPr>
        <w:t>零</w:t>
      </w:r>
      <w:r>
        <w:rPr>
          <w:rFonts w:hAnsi="仿宋_GB2312"/>
          <w:szCs w:val="32"/>
        </w:rPr>
        <w:t>。</w:t>
      </w:r>
    </w:p>
    <w:p>
      <w:pPr>
        <w:ind w:firstLine="643"/>
        <w:rPr>
          <w:rFonts w:eastAsia="仿宋"/>
          <w:szCs w:val="32"/>
        </w:rPr>
      </w:pPr>
      <w:r>
        <w:rPr>
          <w:b/>
          <w:bCs/>
        </w:rPr>
        <w:t>坚持创业带动就业。</w:t>
      </w:r>
      <w:r>
        <w:rPr>
          <w:szCs w:val="32"/>
        </w:rPr>
        <w:t>提升线上线下创业服务能力，持续加大大学生创业载体建设力度，新增省级以上创业载体2家、市级以上创业载体3家。激发就业创业活力，发放创业担保贷款5000万元以上，支持自主创业8000人</w:t>
      </w:r>
      <w:r>
        <w:rPr>
          <w:rFonts w:hAnsi="仿宋_GB2312"/>
          <w:szCs w:val="32"/>
        </w:rPr>
        <w:t>。</w:t>
      </w:r>
    </w:p>
    <w:p>
      <w:pPr>
        <w:ind w:firstLine="643"/>
        <w:rPr>
          <w:szCs w:val="32"/>
        </w:rPr>
      </w:pPr>
      <w:r>
        <w:rPr>
          <w:b/>
          <w:bCs/>
        </w:rPr>
        <w:t>完善就业公共服务。</w:t>
      </w:r>
      <w:r>
        <w:rPr>
          <w:rFonts w:hAnsi="仿宋_GB2312"/>
          <w:szCs w:val="32"/>
        </w:rPr>
        <w:t>持续打造全覆盖、全过程、全方位的就业公共服务体系，推动服务信息化、智能化。深化人力资源服务平台转型升级，构建与地方发展相适应、相促进的人力资源新生态、新社群。深化</w:t>
      </w:r>
      <w:r>
        <w:rPr>
          <w:szCs w:val="32"/>
        </w:rPr>
        <w:t>“</w:t>
      </w:r>
      <w:r>
        <w:rPr>
          <w:rFonts w:hAnsi="仿宋_GB2312"/>
          <w:szCs w:val="32"/>
        </w:rPr>
        <w:t>快办行动</w:t>
      </w:r>
      <w:r>
        <w:rPr>
          <w:szCs w:val="32"/>
        </w:rPr>
        <w:t>”</w:t>
      </w:r>
      <w:r>
        <w:rPr>
          <w:rFonts w:hAnsi="仿宋_GB2312"/>
          <w:szCs w:val="32"/>
        </w:rPr>
        <w:t>，推进综合柜员制改革，构建服务全链条。</w:t>
      </w:r>
      <w:r>
        <w:rPr>
          <w:bCs/>
          <w:szCs w:val="32"/>
        </w:rPr>
        <w:t>推进新时代产业工人队伍建设，</w:t>
      </w:r>
      <w:r>
        <w:rPr>
          <w:rFonts w:hAnsi="仿宋_GB2312"/>
          <w:szCs w:val="32"/>
        </w:rPr>
        <w:t>深化</w:t>
      </w:r>
      <w:r>
        <w:rPr>
          <w:szCs w:val="32"/>
        </w:rPr>
        <w:t>“</w:t>
      </w:r>
      <w:r>
        <w:rPr>
          <w:rFonts w:hAnsi="仿宋_GB2312"/>
          <w:szCs w:val="32"/>
        </w:rPr>
        <w:t>职业技能提升行动</w:t>
      </w:r>
      <w:r>
        <w:rPr>
          <w:szCs w:val="32"/>
        </w:rPr>
        <w:t>”</w:t>
      </w:r>
      <w:r>
        <w:rPr>
          <w:rFonts w:hAnsi="仿宋_GB2312"/>
          <w:szCs w:val="32"/>
        </w:rPr>
        <w:t>。大力推行</w:t>
      </w:r>
      <w:r>
        <w:rPr>
          <w:szCs w:val="32"/>
        </w:rPr>
        <w:t>“</w:t>
      </w:r>
      <w:r>
        <w:rPr>
          <w:rFonts w:hAnsi="仿宋_GB2312"/>
          <w:szCs w:val="32"/>
        </w:rPr>
        <w:t>企业新型学徒制</w:t>
      </w:r>
      <w:r>
        <w:rPr>
          <w:szCs w:val="32"/>
        </w:rPr>
        <w:t>”</w:t>
      </w:r>
      <w:r>
        <w:rPr>
          <w:rFonts w:hAnsi="仿宋_GB2312"/>
          <w:szCs w:val="32"/>
        </w:rPr>
        <w:t>，全面开展企业技能等级认定，健全职业技能竞赛机制，推动落实终身职业技能培训制度。深化和谐劳动关系建设，强化劳动关系监测预警与调处能力。</w:t>
      </w:r>
    </w:p>
    <w:p>
      <w:pPr>
        <w:pStyle w:val="6"/>
        <w:spacing w:before="156" w:after="156"/>
        <w:rPr>
          <w:rFonts w:eastAsia="楷体_GB2312"/>
          <w:b w:val="0"/>
          <w:bCs w:val="0"/>
        </w:rPr>
      </w:pPr>
      <w:bookmarkStart w:id="47" w:name="_Toc14336"/>
      <w:r>
        <w:rPr>
          <w:rFonts w:hAnsi="楷体_GB2312" w:eastAsia="楷体_GB2312"/>
          <w:b w:val="0"/>
          <w:bCs w:val="0"/>
        </w:rPr>
        <w:t>第二节</w:t>
      </w:r>
      <w:r>
        <w:rPr>
          <w:rFonts w:eastAsia="楷体_GB2312"/>
          <w:b w:val="0"/>
          <w:bCs w:val="0"/>
        </w:rPr>
        <w:t xml:space="preserve"> </w:t>
      </w:r>
      <w:r>
        <w:rPr>
          <w:rFonts w:hAnsi="楷体_GB2312" w:eastAsia="楷体_GB2312"/>
          <w:b w:val="0"/>
          <w:bCs w:val="0"/>
        </w:rPr>
        <w:t>构建更优质更均衡现代教育</w:t>
      </w:r>
      <w:bookmarkEnd w:id="47"/>
    </w:p>
    <w:p>
      <w:pPr>
        <w:ind w:firstLine="643"/>
      </w:pPr>
      <w:r>
        <w:rPr>
          <w:rFonts w:hAnsi="仿宋_GB2312"/>
          <w:b/>
          <w:bCs/>
        </w:rPr>
        <w:t>办好公平普惠学前教育。</w:t>
      </w:r>
      <w:r>
        <w:rPr>
          <w:rFonts w:hAnsi="仿宋_GB2312"/>
          <w:szCs w:val="32"/>
        </w:rPr>
        <w:t>创建全国学前教育普及普惠区。落实《钟楼区学前教育布局专项规划》，实施</w:t>
      </w:r>
      <w:r>
        <w:rPr>
          <w:szCs w:val="32"/>
        </w:rPr>
        <w:t>“</w:t>
      </w:r>
      <w:r>
        <w:rPr>
          <w:rFonts w:hAnsi="仿宋_GB2312"/>
          <w:szCs w:val="32"/>
        </w:rPr>
        <w:t>完善服务体系、规范办园管理、促进内涵发展</w:t>
      </w:r>
      <w:r>
        <w:rPr>
          <w:szCs w:val="32"/>
        </w:rPr>
        <w:t>”</w:t>
      </w:r>
      <w:r>
        <w:rPr>
          <w:rFonts w:hAnsi="仿宋_GB2312"/>
          <w:szCs w:val="32"/>
        </w:rPr>
        <w:t>三大行动，新建、改扩建幼儿园</w:t>
      </w:r>
      <w:r>
        <w:rPr>
          <w:szCs w:val="32"/>
        </w:rPr>
        <w:t>12</w:t>
      </w:r>
      <w:r>
        <w:rPr>
          <w:rFonts w:hAnsi="仿宋_GB2312"/>
          <w:szCs w:val="32"/>
        </w:rPr>
        <w:t>所以上，公办园及普惠性民办园幼儿数占幼儿总数</w:t>
      </w:r>
      <w:r>
        <w:rPr>
          <w:szCs w:val="32"/>
        </w:rPr>
        <w:t>90%</w:t>
      </w:r>
      <w:r>
        <w:rPr>
          <w:rFonts w:hAnsi="仿宋_GB2312"/>
          <w:szCs w:val="32"/>
        </w:rPr>
        <w:t>以上，公办园幼儿数占比</w:t>
      </w:r>
      <w:r>
        <w:rPr>
          <w:szCs w:val="32"/>
        </w:rPr>
        <w:t>75%</w:t>
      </w:r>
      <w:r>
        <w:rPr>
          <w:rFonts w:hAnsi="仿宋_GB2312"/>
          <w:szCs w:val="32"/>
        </w:rPr>
        <w:t>以上，省市优质园占比</w:t>
      </w:r>
      <w:r>
        <w:rPr>
          <w:szCs w:val="32"/>
        </w:rPr>
        <w:t>80%</w:t>
      </w:r>
      <w:r>
        <w:rPr>
          <w:rFonts w:hAnsi="仿宋_GB2312"/>
          <w:szCs w:val="32"/>
        </w:rPr>
        <w:t>以上，</w:t>
      </w:r>
      <w:r>
        <w:rPr>
          <w:szCs w:val="32"/>
        </w:rPr>
        <w:t>8</w:t>
      </w:r>
      <w:r>
        <w:rPr>
          <w:rFonts w:hAnsi="仿宋_GB2312"/>
          <w:szCs w:val="32"/>
        </w:rPr>
        <w:t>大名园集团化办园覆盖率</w:t>
      </w:r>
      <w:r>
        <w:rPr>
          <w:szCs w:val="32"/>
        </w:rPr>
        <w:t>100%</w:t>
      </w:r>
      <w:r>
        <w:rPr>
          <w:rFonts w:hAnsi="仿宋_GB2312"/>
          <w:szCs w:val="32"/>
        </w:rPr>
        <w:t>，建成</w:t>
      </w:r>
      <w:r>
        <w:rPr>
          <w:szCs w:val="32"/>
        </w:rPr>
        <w:t>“</w:t>
      </w:r>
      <w:r>
        <w:rPr>
          <w:rFonts w:hAnsi="仿宋_GB2312"/>
          <w:szCs w:val="32"/>
        </w:rPr>
        <w:t>广覆盖、保基本、公益性、普惠性</w:t>
      </w:r>
      <w:r>
        <w:rPr>
          <w:szCs w:val="32"/>
        </w:rPr>
        <w:t>”</w:t>
      </w:r>
      <w:r>
        <w:rPr>
          <w:rFonts w:hAnsi="仿宋_GB2312"/>
          <w:szCs w:val="32"/>
        </w:rPr>
        <w:t>的学前教育公共服务体系。</w:t>
      </w:r>
    </w:p>
    <w:p>
      <w:pPr>
        <w:ind w:firstLine="643"/>
      </w:pPr>
      <w:r>
        <w:rPr>
          <w:rFonts w:hAnsi="仿宋_GB2312"/>
          <w:b/>
          <w:bCs/>
        </w:rPr>
        <w:t>发展优质均衡义务教育。</w:t>
      </w:r>
      <w:r>
        <w:rPr>
          <w:rFonts w:hAnsi="仿宋_GB2312"/>
          <w:szCs w:val="32"/>
        </w:rPr>
        <w:t>创建全国义务教育优质均衡发展区。提升觅渡桥小学、常州市实验小学、荆川小学等百年老校的教育品质，以</w:t>
      </w:r>
      <w:r>
        <w:rPr>
          <w:szCs w:val="32"/>
        </w:rPr>
        <w:t>“</w:t>
      </w:r>
      <w:r>
        <w:rPr>
          <w:rFonts w:hAnsi="仿宋_GB2312"/>
          <w:szCs w:val="32"/>
        </w:rPr>
        <w:t>优质教育长出来</w:t>
      </w:r>
      <w:r>
        <w:rPr>
          <w:szCs w:val="32"/>
        </w:rPr>
        <w:t>”</w:t>
      </w:r>
      <w:r>
        <w:rPr>
          <w:rFonts w:hAnsi="仿宋_GB2312"/>
          <w:szCs w:val="32"/>
        </w:rPr>
        <w:t>理念，推进</w:t>
      </w:r>
      <w:r>
        <w:rPr>
          <w:szCs w:val="32"/>
        </w:rPr>
        <w:t>889</w:t>
      </w:r>
      <w:r>
        <w:rPr>
          <w:rFonts w:hAnsi="仿宋_GB2312"/>
          <w:szCs w:val="32"/>
        </w:rPr>
        <w:t>优质教育工程。新建改建小学</w:t>
      </w:r>
      <w:r>
        <w:rPr>
          <w:szCs w:val="32"/>
        </w:rPr>
        <w:t>7</w:t>
      </w:r>
      <w:r>
        <w:rPr>
          <w:rFonts w:hAnsi="仿宋_GB2312"/>
          <w:szCs w:val="32"/>
        </w:rPr>
        <w:t>所、初中</w:t>
      </w:r>
      <w:r>
        <w:rPr>
          <w:szCs w:val="32"/>
        </w:rPr>
        <w:t>3</w:t>
      </w:r>
      <w:r>
        <w:rPr>
          <w:rFonts w:hAnsi="仿宋_GB2312"/>
          <w:szCs w:val="32"/>
        </w:rPr>
        <w:t>所以上，创成常州市新优质学校</w:t>
      </w:r>
      <w:r>
        <w:rPr>
          <w:szCs w:val="32"/>
        </w:rPr>
        <w:t>9</w:t>
      </w:r>
      <w:r>
        <w:rPr>
          <w:rFonts w:hAnsi="仿宋_GB2312"/>
          <w:szCs w:val="32"/>
        </w:rPr>
        <w:t>所。皇粮浜片区</w:t>
      </w:r>
      <w:r>
        <w:rPr>
          <w:szCs w:val="32"/>
        </w:rPr>
        <w:t>“</w:t>
      </w:r>
      <w:r>
        <w:rPr>
          <w:rFonts w:hAnsi="仿宋_GB2312"/>
          <w:szCs w:val="32"/>
        </w:rPr>
        <w:t>未来教育港</w:t>
      </w:r>
      <w:r>
        <w:rPr>
          <w:szCs w:val="32"/>
        </w:rPr>
        <w:t>”</w:t>
      </w:r>
      <w:r>
        <w:rPr>
          <w:rFonts w:hAnsi="仿宋_GB2312"/>
          <w:szCs w:val="32"/>
        </w:rPr>
        <w:t>依托觅渡、市教科院附中等教育集团资源，建成</w:t>
      </w:r>
      <w:r>
        <w:rPr>
          <w:szCs w:val="32"/>
        </w:rPr>
        <w:t>1</w:t>
      </w:r>
      <w:r>
        <w:rPr>
          <w:rFonts w:hAnsi="仿宋_GB2312"/>
          <w:szCs w:val="32"/>
        </w:rPr>
        <w:t>所公办初中、</w:t>
      </w:r>
      <w:r>
        <w:rPr>
          <w:szCs w:val="32"/>
        </w:rPr>
        <w:t>1</w:t>
      </w:r>
      <w:r>
        <w:rPr>
          <w:rFonts w:hAnsi="仿宋_GB2312"/>
          <w:szCs w:val="32"/>
        </w:rPr>
        <w:t>所公办小学。完善德智体美劳全面发展培养体系，创建</w:t>
      </w:r>
      <w:r>
        <w:rPr>
          <w:szCs w:val="32"/>
        </w:rPr>
        <w:t>45</w:t>
      </w:r>
      <w:r>
        <w:rPr>
          <w:rFonts w:hAnsi="仿宋_GB2312"/>
          <w:szCs w:val="32"/>
        </w:rPr>
        <w:t>家尚德学堂。完善中小学办学激励机制，形成品牌多元发展特色，推进</w:t>
      </w:r>
      <w:r>
        <w:rPr>
          <w:szCs w:val="32"/>
        </w:rPr>
        <w:t>“</w:t>
      </w:r>
      <w:r>
        <w:rPr>
          <w:rFonts w:hAnsi="仿宋_GB2312"/>
          <w:szCs w:val="32"/>
        </w:rPr>
        <w:t>十百千教师培养工程</w:t>
      </w:r>
      <w:r>
        <w:rPr>
          <w:szCs w:val="32"/>
        </w:rPr>
        <w:t>”</w:t>
      </w:r>
      <w:r>
        <w:rPr>
          <w:rFonts w:hAnsi="仿宋_GB2312"/>
          <w:szCs w:val="32"/>
        </w:rPr>
        <w:t>，新增学科带头人</w:t>
      </w:r>
      <w:r>
        <w:rPr>
          <w:szCs w:val="32"/>
        </w:rPr>
        <w:t>40</w:t>
      </w:r>
      <w:r>
        <w:rPr>
          <w:rFonts w:hAnsi="仿宋_GB2312"/>
          <w:szCs w:val="32"/>
        </w:rPr>
        <w:t>余人、骨干教师</w:t>
      </w:r>
      <w:r>
        <w:rPr>
          <w:szCs w:val="32"/>
        </w:rPr>
        <w:t>60</w:t>
      </w:r>
      <w:r>
        <w:rPr>
          <w:rFonts w:hAnsi="仿宋_GB2312"/>
          <w:szCs w:val="32"/>
        </w:rPr>
        <w:t>余人。</w:t>
      </w:r>
    </w:p>
    <w:p>
      <w:pPr>
        <w:ind w:firstLine="643"/>
      </w:pPr>
      <w:r>
        <w:rPr>
          <w:rFonts w:hAnsi="仿宋_GB2312"/>
          <w:b/>
          <w:bCs/>
        </w:rPr>
        <w:t>推动多元参与社区教育。</w:t>
      </w:r>
      <w:r>
        <w:rPr>
          <w:rFonts w:hAnsi="仿宋_GB2312"/>
          <w:szCs w:val="32"/>
        </w:rPr>
        <w:t>以促进全民终身学习为目标，</w:t>
      </w:r>
      <w:r>
        <w:rPr>
          <w:szCs w:val="32"/>
        </w:rPr>
        <w:t>推动学习型组织建设，城乡社区教育全面发展。</w:t>
      </w:r>
      <w:r>
        <w:rPr>
          <w:rFonts w:hAnsi="仿宋_GB2312"/>
          <w:szCs w:val="32"/>
        </w:rPr>
        <w:t>打造本土化</w:t>
      </w:r>
      <w:r>
        <w:rPr>
          <w:szCs w:val="32"/>
        </w:rPr>
        <w:t>“</w:t>
      </w:r>
      <w:r>
        <w:rPr>
          <w:rFonts w:hAnsi="仿宋_GB2312"/>
          <w:szCs w:val="32"/>
        </w:rPr>
        <w:t>钟声课堂</w:t>
      </w:r>
      <w:r>
        <w:rPr>
          <w:szCs w:val="32"/>
        </w:rPr>
        <w:t>”</w:t>
      </w:r>
      <w:r>
        <w:rPr>
          <w:rFonts w:hAnsi="仿宋_GB2312"/>
          <w:szCs w:val="32"/>
        </w:rPr>
        <w:t>。引导开放大学、社会组织、广大居民共同开发课程，制作百门以上微视频课程，建成千人以上的专兼职教师资源库，招募万人以上志愿者。发挥在线教育优势，开展远程学习、体验学习、团队学习，探索建立终身教育学分银行。</w:t>
      </w:r>
    </w:p>
    <w:p>
      <w:pPr>
        <w:ind w:firstLine="643"/>
        <w:rPr>
          <w:szCs w:val="32"/>
        </w:rPr>
      </w:pPr>
      <w:r>
        <w:rPr>
          <w:rFonts w:hAnsi="仿宋_GB2312"/>
          <w:b/>
          <w:bCs/>
        </w:rPr>
        <w:t>助力常州特色职业教育。</w:t>
      </w:r>
      <w:r>
        <w:rPr>
          <w:rFonts w:hAnsi="仿宋_GB2312"/>
          <w:szCs w:val="32"/>
        </w:rPr>
        <w:t>依托殷村职教特色小镇建设，通过职教产学研资源共享载体，加强经开区、高新园与</w:t>
      </w:r>
      <w:r>
        <w:rPr>
          <w:szCs w:val="32"/>
        </w:rPr>
        <w:t>生态高教区</w:t>
      </w:r>
      <w:r>
        <w:rPr>
          <w:rFonts w:hAnsi="仿宋_GB2312"/>
          <w:szCs w:val="32"/>
        </w:rPr>
        <w:t>的校企合作。引导院校培养服务钟楼主导产业和新兴产业的应用型人才，提升职业教育服务钟楼经济发展能力。积极参与苏锡常都市圈职业教育改革，争取纳入世界技能大赛中国集训基地，助力常州市建设</w:t>
      </w:r>
      <w:r>
        <w:rPr>
          <w:szCs w:val="32"/>
        </w:rPr>
        <w:t>“</w:t>
      </w:r>
      <w:r>
        <w:rPr>
          <w:rFonts w:hAnsi="仿宋_GB2312"/>
          <w:szCs w:val="32"/>
        </w:rPr>
        <w:t>国家现代职业教育示范区</w:t>
      </w:r>
      <w:r>
        <w:rPr>
          <w:szCs w:val="32"/>
        </w:rPr>
        <w:t>”</w:t>
      </w:r>
      <w:r>
        <w:rPr>
          <w:rFonts w:hAnsi="仿宋_GB2312"/>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3" w:type="dxa"/>
          </w:tcPr>
          <w:p>
            <w:pPr>
              <w:pStyle w:val="3"/>
              <w:ind w:firstLine="360"/>
              <w:rPr>
                <w:kern w:val="0"/>
              </w:rPr>
            </w:pPr>
          </w:p>
          <w:p>
            <w:pPr>
              <w:spacing w:line="440" w:lineRule="exact"/>
              <w:ind w:firstLine="0" w:firstLineChars="0"/>
              <w:jc w:val="center"/>
              <w:rPr>
                <w:b/>
                <w:bCs/>
                <w:kern w:val="0"/>
                <w:sz w:val="28"/>
                <w:szCs w:val="28"/>
              </w:rPr>
            </w:pPr>
            <w:r>
              <w:rPr>
                <w:rFonts w:hAnsi="仿宋_GB2312"/>
                <w:b/>
                <w:bCs/>
                <w:kern w:val="0"/>
                <w:sz w:val="28"/>
                <w:szCs w:val="28"/>
              </w:rPr>
              <w:t>专栏</w:t>
            </w:r>
            <w:r>
              <w:rPr>
                <w:b/>
                <w:bCs/>
                <w:kern w:val="0"/>
                <w:sz w:val="28"/>
                <w:szCs w:val="28"/>
              </w:rPr>
              <w:t xml:space="preserve">10-1 </w:t>
            </w:r>
            <w:r>
              <w:rPr>
                <w:rFonts w:hAnsi="仿宋_GB2312"/>
                <w:b/>
                <w:bCs/>
                <w:kern w:val="0"/>
                <w:sz w:val="28"/>
                <w:szCs w:val="28"/>
              </w:rPr>
              <w:t>教育重点项目工程</w:t>
            </w:r>
          </w:p>
          <w:p>
            <w:pPr>
              <w:spacing w:line="440" w:lineRule="exact"/>
              <w:ind w:firstLine="0" w:firstLineChars="0"/>
              <w:rPr>
                <w:kern w:val="0"/>
                <w:sz w:val="28"/>
                <w:szCs w:val="28"/>
              </w:rPr>
            </w:pPr>
            <w:r>
              <w:rPr>
                <w:b/>
                <w:bCs/>
                <w:kern w:val="0"/>
                <w:sz w:val="28"/>
                <w:szCs w:val="28"/>
              </w:rPr>
              <w:t>“</w:t>
            </w:r>
            <w:r>
              <w:rPr>
                <w:rFonts w:hAnsi="仿宋_GB2312"/>
                <w:b/>
                <w:bCs/>
                <w:kern w:val="0"/>
                <w:sz w:val="28"/>
                <w:szCs w:val="28"/>
              </w:rPr>
              <w:t>未来教育港</w:t>
            </w:r>
            <w:r>
              <w:rPr>
                <w:b/>
                <w:bCs/>
                <w:kern w:val="0"/>
                <w:sz w:val="28"/>
                <w:szCs w:val="28"/>
              </w:rPr>
              <w:t>”</w:t>
            </w:r>
            <w:r>
              <w:rPr>
                <w:rFonts w:hAnsi="仿宋_GB2312"/>
                <w:b/>
                <w:bCs/>
                <w:kern w:val="0"/>
                <w:sz w:val="28"/>
                <w:szCs w:val="28"/>
              </w:rPr>
              <w:t>建设项目</w:t>
            </w:r>
            <w:r>
              <w:rPr>
                <w:b/>
                <w:bCs/>
                <w:kern w:val="0"/>
                <w:sz w:val="28"/>
                <w:szCs w:val="28"/>
              </w:rPr>
              <w:t>4</w:t>
            </w:r>
            <w:r>
              <w:rPr>
                <w:rFonts w:hAnsi="仿宋_GB2312"/>
                <w:b/>
                <w:bCs/>
                <w:kern w:val="0"/>
                <w:sz w:val="28"/>
                <w:szCs w:val="28"/>
              </w:rPr>
              <w:t>个</w:t>
            </w:r>
            <w:r>
              <w:rPr>
                <w:rFonts w:hAnsi="仿宋_GB2312"/>
                <w:kern w:val="0"/>
                <w:sz w:val="28"/>
                <w:szCs w:val="28"/>
              </w:rPr>
              <w:t>：依托鸣幼、刘美幼、觅渡、市教科院附中等教育集团资源，建成</w:t>
            </w:r>
            <w:r>
              <w:rPr>
                <w:kern w:val="0"/>
                <w:sz w:val="28"/>
                <w:szCs w:val="28"/>
              </w:rPr>
              <w:t>1</w:t>
            </w:r>
            <w:r>
              <w:rPr>
                <w:rFonts w:hAnsi="仿宋_GB2312"/>
                <w:kern w:val="0"/>
                <w:sz w:val="28"/>
                <w:szCs w:val="28"/>
              </w:rPr>
              <w:t>所公办初中、</w:t>
            </w:r>
            <w:r>
              <w:rPr>
                <w:kern w:val="0"/>
                <w:sz w:val="28"/>
                <w:szCs w:val="28"/>
              </w:rPr>
              <w:t>1</w:t>
            </w:r>
            <w:r>
              <w:rPr>
                <w:rFonts w:hAnsi="仿宋_GB2312"/>
                <w:kern w:val="0"/>
                <w:sz w:val="28"/>
                <w:szCs w:val="28"/>
              </w:rPr>
              <w:t>所公办小学和</w:t>
            </w:r>
            <w:r>
              <w:rPr>
                <w:kern w:val="0"/>
                <w:sz w:val="28"/>
                <w:szCs w:val="28"/>
              </w:rPr>
              <w:t>2</w:t>
            </w:r>
            <w:r>
              <w:rPr>
                <w:rFonts w:hAnsi="仿宋_GB2312"/>
                <w:kern w:val="0"/>
                <w:sz w:val="28"/>
                <w:szCs w:val="28"/>
              </w:rPr>
              <w:t>所幼儿园。</w:t>
            </w:r>
          </w:p>
          <w:p>
            <w:pPr>
              <w:spacing w:line="440" w:lineRule="exact"/>
              <w:ind w:firstLine="0" w:firstLineChars="0"/>
              <w:rPr>
                <w:kern w:val="0"/>
                <w:sz w:val="28"/>
                <w:szCs w:val="28"/>
              </w:rPr>
            </w:pPr>
            <w:r>
              <w:rPr>
                <w:rFonts w:hAnsi="仿宋_GB2312"/>
                <w:b/>
                <w:bCs/>
                <w:kern w:val="0"/>
                <w:sz w:val="28"/>
                <w:szCs w:val="28"/>
              </w:rPr>
              <w:t>幼儿园建设项目</w:t>
            </w:r>
            <w:r>
              <w:rPr>
                <w:b/>
                <w:bCs/>
                <w:kern w:val="0"/>
                <w:sz w:val="28"/>
                <w:szCs w:val="28"/>
              </w:rPr>
              <w:t>10</w:t>
            </w:r>
            <w:r>
              <w:rPr>
                <w:rFonts w:hAnsi="仿宋_GB2312"/>
                <w:b/>
                <w:bCs/>
                <w:kern w:val="0"/>
                <w:sz w:val="28"/>
                <w:szCs w:val="28"/>
              </w:rPr>
              <w:t>个：</w:t>
            </w:r>
            <w:r>
              <w:rPr>
                <w:rFonts w:hAnsi="仿宋_GB2312"/>
                <w:kern w:val="0"/>
                <w:sz w:val="28"/>
                <w:szCs w:val="28"/>
              </w:rPr>
              <w:t>新建市教科院附幼及金茂府、丁香路、星鑫家园、大板房、童子河、林机厂、曙光厂、新闸芮家塘等配建幼儿园</w:t>
            </w:r>
            <w:r>
              <w:rPr>
                <w:kern w:val="0"/>
                <w:sz w:val="28"/>
                <w:szCs w:val="28"/>
              </w:rPr>
              <w:t>10</w:t>
            </w:r>
            <w:r>
              <w:rPr>
                <w:rFonts w:hAnsi="仿宋_GB2312"/>
                <w:kern w:val="0"/>
                <w:sz w:val="28"/>
                <w:szCs w:val="28"/>
              </w:rPr>
              <w:t>所。</w:t>
            </w:r>
          </w:p>
          <w:p>
            <w:pPr>
              <w:spacing w:line="440" w:lineRule="exact"/>
              <w:ind w:firstLine="0" w:firstLineChars="0"/>
              <w:rPr>
                <w:kern w:val="0"/>
              </w:rPr>
            </w:pPr>
            <w:r>
              <w:rPr>
                <w:rFonts w:hAnsi="仿宋_GB2312"/>
                <w:b/>
                <w:bCs/>
                <w:kern w:val="0"/>
                <w:sz w:val="28"/>
                <w:szCs w:val="28"/>
              </w:rPr>
              <w:t>中小学校建设项目</w:t>
            </w:r>
            <w:r>
              <w:rPr>
                <w:b/>
                <w:bCs/>
                <w:kern w:val="0"/>
                <w:sz w:val="28"/>
                <w:szCs w:val="28"/>
              </w:rPr>
              <w:t>9</w:t>
            </w:r>
            <w:r>
              <w:rPr>
                <w:rFonts w:hAnsi="仿宋_GB2312"/>
                <w:b/>
                <w:bCs/>
                <w:kern w:val="0"/>
                <w:sz w:val="28"/>
                <w:szCs w:val="28"/>
              </w:rPr>
              <w:t>个：</w:t>
            </w:r>
            <w:r>
              <w:rPr>
                <w:rFonts w:hAnsi="仿宋_GB2312"/>
                <w:kern w:val="0"/>
                <w:sz w:val="28"/>
                <w:szCs w:val="28"/>
              </w:rPr>
              <w:t>新建、改扩建钟楼二实小、有光实验学校、常州实小、青少年活动中心（平冈校区）、西林实验学校、清潭三校区、芦墅小学、初中等</w:t>
            </w:r>
            <w:r>
              <w:rPr>
                <w:kern w:val="0"/>
                <w:sz w:val="28"/>
                <w:szCs w:val="28"/>
              </w:rPr>
              <w:t>9</w:t>
            </w:r>
            <w:r>
              <w:rPr>
                <w:rFonts w:hAnsi="仿宋_GB2312"/>
                <w:kern w:val="0"/>
                <w:sz w:val="28"/>
                <w:szCs w:val="28"/>
              </w:rPr>
              <w:t>所中小学（含九年一贯制学校）。</w:t>
            </w:r>
          </w:p>
        </w:tc>
      </w:tr>
    </w:tbl>
    <w:p>
      <w:pPr>
        <w:pStyle w:val="6"/>
        <w:spacing w:before="156" w:after="156"/>
        <w:rPr>
          <w:rFonts w:eastAsia="楷体_GB2312"/>
          <w:b w:val="0"/>
          <w:bCs w:val="0"/>
        </w:rPr>
      </w:pPr>
      <w:bookmarkStart w:id="48" w:name="_Toc29472"/>
      <w:r>
        <w:rPr>
          <w:rFonts w:hAnsi="楷体_GB2312" w:eastAsia="楷体_GB2312"/>
          <w:b w:val="0"/>
          <w:bCs w:val="0"/>
        </w:rPr>
        <w:t>第三节</w:t>
      </w:r>
      <w:r>
        <w:rPr>
          <w:rFonts w:eastAsia="楷体_GB2312"/>
          <w:b w:val="0"/>
          <w:bCs w:val="0"/>
        </w:rPr>
        <w:t xml:space="preserve"> </w:t>
      </w:r>
      <w:r>
        <w:rPr>
          <w:rFonts w:hAnsi="楷体_GB2312" w:eastAsia="楷体_GB2312"/>
          <w:b w:val="0"/>
          <w:bCs w:val="0"/>
        </w:rPr>
        <w:t>推进健康钟楼建设</w:t>
      </w:r>
      <w:bookmarkEnd w:id="48"/>
    </w:p>
    <w:p>
      <w:pPr>
        <w:ind w:firstLine="643"/>
        <w:rPr>
          <w:szCs w:val="32"/>
        </w:rPr>
      </w:pPr>
      <w:r>
        <w:rPr>
          <w:b/>
          <w:bCs/>
        </w:rPr>
        <w:t>优化医疗卫生资源配置。</w:t>
      </w:r>
      <w:r>
        <w:rPr>
          <w:szCs w:val="32"/>
        </w:rPr>
        <w:t>引进1家三甲综合医院，建成常州市中医医院钟楼院区，打造区域性健康促进中心、治未病中心和医养结合中心。实施基层医疗卫生机构中医综合服务区标准化和示范化建设。邹区镇卫生院建成二级医院。改扩建3-5家基层中心（站、室），进一步优化15分钟健康服务圈。加强人才培养和统筹使用，提高基层高级专业技术岗位比例，落实全科医生高级职称超岗位聘用。</w:t>
      </w:r>
    </w:p>
    <w:p>
      <w:pPr>
        <w:ind w:firstLine="643"/>
      </w:pPr>
      <w:r>
        <w:rPr>
          <w:b/>
          <w:bCs/>
        </w:rPr>
        <w:t>完善公共卫生体系建设。</w:t>
      </w:r>
      <w:r>
        <w:rPr>
          <w:szCs w:val="32"/>
        </w:rPr>
        <w:t>以公共安全为底线，建立稳定的公共卫生事业投入机制，加快紧急医学救援、突发急性传染病、化学中毒等应急处置人才的引进储备，加大设备物资储备。建成启用钟楼区公共卫生中心，改善疾控基础条件。健全防治网络和应急网络，加强专业队伍建设，提升突发公共卫生事件的应急处置能力和综合救治能力。夯实完善卫生健康综合监管和执法监督体系，优化充实执法监督队伍，创新监管机制，提高监管效能，筑牢公共卫生防线。</w:t>
      </w:r>
    </w:p>
    <w:p>
      <w:pPr>
        <w:ind w:firstLine="643"/>
      </w:pPr>
      <w:r>
        <w:rPr>
          <w:b/>
          <w:bCs/>
        </w:rPr>
        <w:t>统筹健康促进全过程。</w:t>
      </w:r>
      <w:r>
        <w:rPr>
          <w:color w:val="000000"/>
          <w:szCs w:val="32"/>
        </w:rPr>
        <w:t>广泛开展爱国卫生运动，全面推</w:t>
      </w:r>
      <w:r>
        <w:rPr>
          <w:szCs w:val="32"/>
        </w:rPr>
        <w:t>动“将健康融入所有政策”</w:t>
      </w:r>
      <w:r>
        <w:rPr>
          <w:color w:val="000000"/>
          <w:szCs w:val="32"/>
        </w:rPr>
        <w:t>，创建国家级健康促进区。与国家健康医疗大数据（东部）中心合作“智慧健康云”，改造升级医疗数据平台，建设覆盖生命全周期的健康档案，优化健康服务，发展健康产业。深化医联体建设，增强基层医疗卫生服务水平。坚持中西医并重和优势互补，提升老年健康服务能力，重视精神卫生和心理健康</w:t>
      </w:r>
      <w:r>
        <w:t>。</w:t>
      </w:r>
    </w:p>
    <w:p>
      <w:pPr>
        <w:pStyle w:val="6"/>
        <w:spacing w:before="156" w:after="156"/>
        <w:rPr>
          <w:rFonts w:eastAsia="楷体_GB2312"/>
          <w:b w:val="0"/>
          <w:bCs w:val="0"/>
        </w:rPr>
      </w:pPr>
      <w:bookmarkStart w:id="49" w:name="_Toc7580"/>
      <w:r>
        <w:rPr>
          <w:rFonts w:eastAsia="楷体_GB2312"/>
          <w:b w:val="0"/>
          <w:bCs w:val="0"/>
        </w:rPr>
        <w:t>第四节 全力推进文体事业</w:t>
      </w:r>
      <w:bookmarkEnd w:id="49"/>
    </w:p>
    <w:p>
      <w:pPr>
        <w:ind w:firstLine="643"/>
        <w:rPr>
          <w:szCs w:val="32"/>
        </w:rPr>
      </w:pPr>
      <w:r>
        <w:rPr>
          <w:b/>
          <w:bCs/>
          <w:szCs w:val="32"/>
        </w:rPr>
        <w:t>提升公共文化服务效能。</w:t>
      </w:r>
      <w:r>
        <w:rPr>
          <w:szCs w:val="32"/>
        </w:rPr>
        <w:t>完善普惠均衡公共文化服务网络，优化完善“区级、街（镇）级、社区（行政村）级”三级公共文化服务体系，坚持区级文化设施中心化、组团化，街道、社区级聚集化、网络化原则，启动区文化中心建设，形成综合性较强的区级设施聚落。均衡布置镇（街道）、村（社区）文化站（中心），满足服务半径要求。鼓励文化服务与体育、养老、宣传等服务融合发展，形成文化引领、功能复合的“文化+”簇群，打造一批“文化+”公共服务试点工程。结合社区生活圈设施提升改造，加大对人口居住密集地区的公共文化设施建设，进一步提升公共文化建设水平与服务效率。充分整合文化服务资源资讯，实现云端展示、阅读、交流等功能，构建便捷、高效、实惠、智能的公共文化云服务体系。丰富公共文化产品服务供给，面向全社会配置公共文化资源，建立灵活适应群众文化需求的公共文化产品供给机制，积极推广文化消费专项资金政府购买公共文化服务模式。实施文化钟楼精品文化创作工程，聚力精品文艺创作，激发基层创作活力，推出一批彰显钟楼地域特色、文化底蕴的精品力作，促进文化高质量发展。</w:t>
      </w:r>
    </w:p>
    <w:p>
      <w:pPr>
        <w:ind w:firstLine="643"/>
      </w:pPr>
      <w:r>
        <w:rPr>
          <w:b/>
          <w:bCs/>
          <w:szCs w:val="32"/>
        </w:rPr>
        <w:t>优化公共体育服务体系。</w:t>
      </w:r>
      <w:r>
        <w:rPr>
          <w:color w:val="000000"/>
          <w:szCs w:val="32"/>
        </w:rPr>
        <w:t>全面落实全民健身国家战略，大力推动全民健身与全民健康深度融合。持续优化完善“区级-街（镇）级-社区（行政村）级-小区（自然村）级”四级基本公共体育服务网络，实现公共体育服务城乡全覆盖、一体化发展。老城区着力提升载体能级，新城区聚力补充短板，高新园区完善功能布局。充分利用空闲地、边角地、公园绿地等空间资源，结合钟楼区运河水环、生态绿道和“5/10/15分钟”社区生活圈，加强多功能运动场、体育公园、健身步道、健身广场、骑行道等全民健身设施建设，推动学校体育场馆免低收费开放。重点开展永红、南大街街道全民健身活动中心改造提升、五星街道全民健身活动中心异地新建和玉兰路智慧健身步道工程等项目。加强与各类体育组织的交流合作，积极参与和承办各级大众赛事，打响钟楼全民健身运动会和全社会参与、多项目覆盖、多层级联动的“社区运动会”等群体赛事品牌，展现钟楼良好形象。至2025年，实现街道（镇）全民健身活动中心全覆盖，人均体育场地面积超4平方米，推进不少于10处口袋公园或社区健身广场建设。</w:t>
      </w:r>
    </w:p>
    <w:p>
      <w:pPr>
        <w:pStyle w:val="6"/>
        <w:spacing w:before="156" w:after="156"/>
        <w:rPr>
          <w:rFonts w:eastAsia="楷体_GB2312"/>
          <w:b w:val="0"/>
          <w:bCs w:val="0"/>
        </w:rPr>
      </w:pPr>
      <w:bookmarkStart w:id="50" w:name="_Toc3969"/>
      <w:r>
        <w:rPr>
          <w:rFonts w:eastAsia="楷体_GB2312"/>
          <w:b w:val="0"/>
          <w:bCs w:val="0"/>
        </w:rPr>
        <w:t>第五节 努力提升社会保障水平</w:t>
      </w:r>
      <w:bookmarkEnd w:id="50"/>
    </w:p>
    <w:p>
      <w:pPr>
        <w:ind w:firstLine="643"/>
      </w:pPr>
      <w:r>
        <w:rPr>
          <w:b/>
          <w:bCs/>
        </w:rPr>
        <w:t>完善更基础的社会保险保障。</w:t>
      </w:r>
      <w:r>
        <w:rPr>
          <w:szCs w:val="32"/>
        </w:rPr>
        <w:t>按照“坚守底线、突出重点、完善制度、引导预期”的要求，完善社会保障体系。实现城乡居民养老保险应保尽保，稳步提高被征地农民社会保障标准。完善全民参保和社保扩面的长效机制，深化机关事业单位养老保险制度改革。实现养老金逐年增长，城乡基本养老保险、基本医疗保险覆盖率98%以上。</w:t>
      </w:r>
    </w:p>
    <w:p>
      <w:pPr>
        <w:ind w:firstLine="643"/>
      </w:pPr>
      <w:r>
        <w:rPr>
          <w:b/>
          <w:bCs/>
        </w:rPr>
        <w:t>完善更可靠的社会救助保障。</w:t>
      </w:r>
      <w:r>
        <w:rPr>
          <w:bCs/>
          <w:szCs w:val="32"/>
        </w:rPr>
        <w:t>深化常州市民政局“</w:t>
      </w:r>
      <w:r>
        <w:rPr>
          <w:szCs w:val="32"/>
        </w:rPr>
        <w:t>党建+社会救助”的民政部社会救助试点工作，</w:t>
      </w:r>
      <w:r>
        <w:rPr>
          <w:bCs/>
        </w:rPr>
        <w:t>促进村社区基层党建引领社会救助和深度融合。</w:t>
      </w:r>
      <w:r>
        <w:rPr>
          <w:szCs w:val="32"/>
        </w:rPr>
        <w:t>完善基层行政审批机制，实现分层分类救助，持续提升最低生活保障、特困供养、临时救助等兜底救助标准，精准救助率99.5%以上。运用“智慧大救助平台”信息手段，社会救助与网格化治理联动，推动“一门受理、主动发现、一网通办”。创新“物质保障+服务帮扶”救助方式，开展助老扶困、邻里守望、公益慈善等活动。</w:t>
      </w:r>
    </w:p>
    <w:p>
      <w:pPr>
        <w:ind w:firstLine="643"/>
      </w:pPr>
      <w:r>
        <w:rPr>
          <w:b/>
          <w:bCs/>
        </w:rPr>
        <w:t>完善更惠民的城镇住房保障。</w:t>
      </w:r>
      <w:r>
        <w:rPr>
          <w:szCs w:val="32"/>
        </w:rPr>
        <w:t>三年内完成纳入2020年-2025年改造目标的90个老旧小区，改造建筑面积490万平方米，惠及6万户以上居民。完成大板房置换住房建设项目，推进农房环境整治、基础设施完善及农房改善工作，实现物业管理公共服务平台全覆盖。全面推进安置房的权证办理，保障拆迁安置户的合法权益。做好公共租赁住房、经济适用住房申请家庭的受理、审核和年审，中低收入住房困难家庭的公共租赁住房、经济适用住房保障应保尽保。</w:t>
      </w:r>
    </w:p>
    <w:p>
      <w:pPr>
        <w:ind w:firstLine="643"/>
      </w:pPr>
      <w:r>
        <w:rPr>
          <w:b/>
          <w:bCs/>
        </w:rPr>
        <w:t>完善更精细的退役军人保障。</w:t>
      </w:r>
      <w:r>
        <w:rPr>
          <w:szCs w:val="32"/>
        </w:rPr>
        <w:t>创建“省双拥模范区”。提升信息化水平，为安置就业、教育培训、抚恤优待等工作的开展提供信息化保障。统筹教育、就业等政策资源，提升保障效能。鼓励退役军人创业就业，加大创业支持力度，助力退役军人“再社会化”。落实双拥办实事任务，开展“关爱革命功臣”等活动。维护退役军人和其他优抚对象的合法权益，引导企业、社会组织、个人等社会力量参与，营造全社会拥军爱军的良好氛围，增强退役军人的幸福感、荣誉感和获得感。</w:t>
      </w:r>
    </w:p>
    <w:p>
      <w:pPr>
        <w:ind w:firstLine="643"/>
      </w:pPr>
      <w:r>
        <w:rPr>
          <w:b/>
          <w:bCs/>
        </w:rPr>
        <w:t>完善更全面的残弱群体保障。</w:t>
      </w:r>
      <w:r>
        <w:rPr>
          <w:szCs w:val="32"/>
        </w:rPr>
        <w:t>完善帮扶残疾人社会福利救助，落实残疾人“两项补贴”制度。提升残疾人康复、教育和职业技能水平，巩固并延展残疾人脱贫攻坚成果。建成投运标准化“德康驿站”精神障碍社区康复服务站15个，推进康复辅具社区租赁和精神障碍社区康复服务。强化困境儿童关爱保护联席会议制度，对6大类困境儿童实施分类保护，从困境儿童保障向未成年人保护转变，在重点保障基础上实现扩面保障。建成一个省级标准儿童“关爱之家”。</w:t>
      </w:r>
    </w:p>
    <w:p>
      <w:pPr>
        <w:pStyle w:val="6"/>
        <w:spacing w:before="156" w:after="156"/>
        <w:rPr>
          <w:rFonts w:eastAsia="楷体_GB2312"/>
          <w:b w:val="0"/>
          <w:bCs w:val="0"/>
        </w:rPr>
      </w:pPr>
      <w:bookmarkStart w:id="51" w:name="_Toc5875"/>
      <w:r>
        <w:rPr>
          <w:rFonts w:eastAsia="楷体_GB2312"/>
          <w:b w:val="0"/>
          <w:bCs w:val="0"/>
        </w:rPr>
        <w:t>第六节 促进人口长期均衡发展</w:t>
      </w:r>
      <w:bookmarkEnd w:id="51"/>
    </w:p>
    <w:p>
      <w:pPr>
        <w:ind w:firstLine="643"/>
      </w:pPr>
      <w:r>
        <w:rPr>
          <w:b/>
          <w:bCs/>
        </w:rPr>
        <w:t>推动新生人口有序增长。</w:t>
      </w:r>
      <w:r>
        <w:rPr>
          <w:bCs/>
        </w:rPr>
        <w:t>加大“生态宜居家园”推介力度，吸引更多人群在钟楼居住生活。完善人口基础信息和预测预报制度。</w:t>
      </w:r>
      <w:r>
        <w:t>形成公共卫生中心和常州市妇幼保健医院婚育前后服务链，提升母婴安全、妇幼健康保障能力，提高优生优育服务水平。借助社会科学育儿教育机构资源，为0-3岁婴幼儿及其家长提供公益性科学育儿咨询、指导、体验等便民服务，大力发展普惠托育服务，降低生育、养育成本，促进新生人口增加。</w:t>
      </w:r>
    </w:p>
    <w:p>
      <w:pPr>
        <w:ind w:firstLine="643"/>
      </w:pPr>
      <w:r>
        <w:rPr>
          <w:b/>
          <w:bCs/>
        </w:rPr>
        <w:t>促进青年群体健康成长。</w:t>
      </w:r>
      <w:r>
        <w:t>贯彻落实《江苏省中长期青年发展规划（2019-2025年）》，全面推进青年十大发展领域工作。持续深化“钟楼新力量”品牌建设，传递“钟楼共青团在你身边”理念。聚焦青年骑手、新社会组织从业人员等新兴青年领域，积极推动出台就业落户、创业扶持、人才吸纳等方面的普惠性青年政策和青年民生实事项目。打击和遏制侵害未成年人合法权益的行为，加强预防未成年人违法犯罪</w:t>
      </w:r>
      <w:r>
        <w:rPr>
          <w:szCs w:val="32"/>
        </w:rPr>
        <w:t>。</w:t>
      </w:r>
    </w:p>
    <w:p>
      <w:pPr>
        <w:ind w:firstLine="643"/>
      </w:pPr>
      <w:bookmarkStart w:id="52" w:name="_Toc58440322"/>
      <w:r>
        <w:rPr>
          <w:b/>
          <w:bCs/>
        </w:rPr>
        <w:t>推动妇儿事业全面发展。</w:t>
      </w:r>
      <w:r>
        <w:t>坚持男女平等基本国策，持续深化政策文件性别平等评估，保障妇女儿童合法权益。建设线上“钟爱她”线下“钟@她”品牌，推动实施“巾帼建功”六大行动。深耕家庭文明建设，构建覆盖城乡的家庭教育指导服务体系，开展五好家庭创建和最美家庭寻找等活动。</w:t>
      </w:r>
    </w:p>
    <w:p>
      <w:pPr>
        <w:ind w:firstLine="643"/>
        <w:rPr>
          <w:rFonts w:eastAsia="仿宋"/>
          <w:szCs w:val="32"/>
        </w:rPr>
      </w:pPr>
      <w:r>
        <w:rPr>
          <w:b/>
          <w:bCs/>
        </w:rPr>
        <w:t>加强外来人才精准服务</w:t>
      </w:r>
      <w:bookmarkEnd w:id="52"/>
      <w:r>
        <w:rPr>
          <w:b/>
          <w:bCs/>
        </w:rPr>
        <w:t>。</w:t>
      </w:r>
      <w:r>
        <w:rPr>
          <w:color w:val="000000"/>
          <w:szCs w:val="32"/>
        </w:rPr>
        <w:t>完善面向外来</w:t>
      </w:r>
      <w:r>
        <w:rPr>
          <w:szCs w:val="32"/>
        </w:rPr>
        <w:t>人才的市民化服务政策，提供同质化基本公共服务。探索离岸孵化等引才新模式，引进一批掌握核心技术的人才团队和高技能人才，建设运行好人才公寓。构建人口与产业发展、社会治理的联动机制，促进更多产业链人才集聚钟楼创新创业。</w:t>
      </w:r>
    </w:p>
    <w:p>
      <w:pPr>
        <w:ind w:firstLine="643"/>
        <w:rPr>
          <w:b/>
        </w:rPr>
      </w:pPr>
      <w:r>
        <w:rPr>
          <w:b/>
        </w:rPr>
        <w:t>推动养老服务协同发展。</w:t>
      </w:r>
      <w:r>
        <w:rPr>
          <w:color w:val="000000"/>
          <w:szCs w:val="32"/>
        </w:rPr>
        <w:t>深</w:t>
      </w:r>
      <w:r>
        <w:rPr>
          <w:szCs w:val="32"/>
        </w:rPr>
        <w:t>化“幸福养老在钟楼”系列品牌建设，融入长三角一体化，形成区域性养老示范。推动国家支持的城企联动普惠养老项目继续落户，推进机构养老更多由优质化机构连锁或合作运营，加快机构嵌入式服务布点，实现区域性为老服务综合体全覆盖，护理型床位占比80%以上，城乡标准化居家养老服务中心（站）城乡覆盖率达90%、60%以上，居家上门服务人数占比20%以上。优先将经济困难的高龄、空巢独居、失能（失智）、农村留守、计划生育特殊家庭等老年人纳入基本养老服务保障重点。培育“互联网+”的智慧养老街区，推广向困难群体、需要群体的分类居家智能照护设备服务，推进家庭养老床位试点。设立养老服务顾问，发展银发经济。形成以居家服务中心（站）为点、为老服务综合体为面、养老机构为链、医疗康养嵌入服务为动能的设施布局和服务体系。</w:t>
      </w:r>
    </w:p>
    <w:p>
      <w:pPr>
        <w:pStyle w:val="5"/>
        <w:spacing w:before="312" w:after="156"/>
        <w:rPr>
          <w:rFonts w:ascii="Times New Roman" w:hAnsi="Times New Roman" w:eastAsia="黑体"/>
        </w:rPr>
      </w:pPr>
      <w:bookmarkStart w:id="53" w:name="_Toc5547"/>
      <w:bookmarkStart w:id="54" w:name="_Hlk58187972"/>
      <w:r>
        <w:rPr>
          <w:rFonts w:ascii="Times New Roman" w:hAnsi="Times New Roman" w:eastAsia="黑体"/>
        </w:rPr>
        <w:t>第十一章 建设生态宜居家园</w:t>
      </w:r>
      <w:bookmarkEnd w:id="53"/>
    </w:p>
    <w:p>
      <w:pPr>
        <w:ind w:firstLine="640"/>
      </w:pPr>
      <w:r>
        <w:t>落实“宜居美丽明星城”建设部署，坚持生态优先、绿色发展，践行“两山”绿色发展理念，落实长江经济带大保护和生态文明建设新要求，着力提升区域品质与功能，全面推进乡村振兴，促进城乡融合发展，建设生态宜居的美丽钟楼。</w:t>
      </w:r>
    </w:p>
    <w:p>
      <w:pPr>
        <w:pStyle w:val="6"/>
        <w:spacing w:before="156" w:after="156"/>
        <w:rPr>
          <w:rFonts w:eastAsia="楷体_GB2312"/>
          <w:b w:val="0"/>
          <w:bCs w:val="0"/>
        </w:rPr>
      </w:pPr>
      <w:bookmarkStart w:id="55" w:name="_Toc5382"/>
      <w:r>
        <w:rPr>
          <w:rFonts w:eastAsia="楷体_GB2312"/>
          <w:b w:val="0"/>
          <w:bCs w:val="0"/>
        </w:rPr>
        <w:t>第一节 筑牢美丽钟楼生态基底</w:t>
      </w:r>
      <w:bookmarkEnd w:id="55"/>
    </w:p>
    <w:p>
      <w:pPr>
        <w:ind w:firstLine="643"/>
      </w:pPr>
      <w:r>
        <w:rPr>
          <w:b/>
          <w:bCs/>
        </w:rPr>
        <w:t>构筑生态安全屏障。</w:t>
      </w:r>
      <w:r>
        <w:t>构建生产空间集约高效、生活空间宜居适度、生态空间山清水秀、可持续发展的高品质空间布局。统筹划定落实生态保护红线、永久基本农田、城镇开发边界三条控制线，严格落实耕地保护制度，探索规划“留白”制度。深入开展危废处置、水气污染治理、土壤修复等专项整治，守住自然生态安全边界。牢固树立长江经济带“共抓大保护、不搞大开发”的责任感和使命感，坚持在发展中保护、在保护中发展。树立系统思维和整体观念，着眼经济社会发展全局，统筹推进大运河保护、传承、利用等各项工作。以生态环保、产业提升、融合发展为主线，加快推进环境治理和人居环境提升，建成高质量的生态环境新格局。</w:t>
      </w:r>
    </w:p>
    <w:p>
      <w:pPr>
        <w:ind w:firstLine="643"/>
      </w:pPr>
      <w:r>
        <w:rPr>
          <w:b/>
          <w:bCs/>
        </w:rPr>
        <w:t>强化生态保护修复。</w:t>
      </w:r>
      <w:r>
        <w:t>坚持生态底线，突出问题导向、目标导向，妥善处理保护和发展、整体和重点、当前和长远的关系，推进形成生态保护和修复新格局。严格保护基本农田，建立健全区、镇（街道）、村三级耕地保护巡查网络，贯彻耕地保护“三禁止”、基本农田“五不准”规定。持续推进生态绿城建设，实施“推围还绿”“破墙增绿”，提升城区绿化覆盖面；开展生态环道建设，推进新运河西林段和老运河南岸龙江路至童子河生态廊道和“钟楼（北港）生态环（廊）道”建设；以青枫公园、环保主题园等已建成的生态节点为重点，见缝插绿打造精品游园，推动园林绿化景观联网成片，打造“一心多点，一环多廊”的生态系统；在江宜高速以东、星港路与312国道之间打造生态湿地公园，在312国道至常金路、常泰高速西侧、邹区东环路围绕的区域建设生态缓冲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3"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专栏11-1 生态保护修复重点工程</w:t>
            </w:r>
          </w:p>
          <w:p>
            <w:pPr>
              <w:spacing w:line="440" w:lineRule="exact"/>
              <w:ind w:firstLine="0" w:firstLineChars="0"/>
              <w:rPr>
                <w:bCs/>
                <w:kern w:val="0"/>
                <w:szCs w:val="32"/>
              </w:rPr>
            </w:pPr>
            <w:r>
              <w:rPr>
                <w:kern w:val="0"/>
                <w:sz w:val="28"/>
                <w:szCs w:val="28"/>
              </w:rPr>
              <w:t>老运河北港段生态廊道项目、钟楼新城生态连廊项目、运河（邹区段）生态缓冲区项目、三八河生态修复项目。</w:t>
            </w:r>
          </w:p>
        </w:tc>
      </w:tr>
    </w:tbl>
    <w:p>
      <w:pPr>
        <w:ind w:firstLine="643"/>
      </w:pPr>
      <w:r>
        <w:rPr>
          <w:b/>
          <w:bCs/>
        </w:rPr>
        <w:t>完善生态环境治理。</w:t>
      </w:r>
      <w:r>
        <w:t>坚持科学治理，推进综合施策，着力打好蓝天、碧水、净土三大保卫战。持续改善大气环境质量，科学实施污染“削峰”管理，建立健全“点位长”制和“网格长”制，加大工业企业、建筑工地、道路运输、餐饮油烟等各领域专项治理，加快“散乱污危低”企业腾退转型，对工业源实现全流程污染控制，对扬尘源实施全天候精准管控，实现PM</w:t>
      </w:r>
      <w:r>
        <w:rPr>
          <w:vertAlign w:val="subscript"/>
        </w:rPr>
        <w:t>2.5</w:t>
      </w:r>
      <w:r>
        <w:t>浓度大幅下降，优良天数大幅增加。全面开展水环境治理，围绕连江桥、钟楼大桥、厚余等考核断面水质，实施城镇污水处理提质增效精准攻坚“333”行动，开展农村生活污水治理，持续推进入河（湖）排污口整治工作。到2025年底，80%以上面积建成“污水处理提质增效达标区”，污水管网全覆盖、全收集、全处理系统基本建成。围绕“预防污染，严控风险，扩大修复”的总体思路，加强土壤污染源头防控，加大危险废物、医疗废物收集处置力度，打击固体废物非法转移倾倒等环境违法犯罪行为，落实土壤污染治理与修复工作。</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专栏11-2 环境综合整治重点工程</w:t>
            </w:r>
          </w:p>
          <w:p>
            <w:pPr>
              <w:spacing w:line="440" w:lineRule="exact"/>
              <w:ind w:firstLine="0" w:firstLineChars="0"/>
              <w:rPr>
                <w:bCs/>
                <w:kern w:val="0"/>
                <w:szCs w:val="32"/>
              </w:rPr>
            </w:pPr>
            <w:r>
              <w:rPr>
                <w:kern w:val="0"/>
                <w:sz w:val="28"/>
                <w:szCs w:val="28"/>
              </w:rPr>
              <w:t>邹区镇水环境综合整治项目、南运河及其支浜水环境综合整治项目、运河新闸片区小流域综合整治项目。</w:t>
            </w:r>
          </w:p>
        </w:tc>
      </w:tr>
    </w:tbl>
    <w:p>
      <w:pPr>
        <w:ind w:firstLine="643"/>
      </w:pPr>
      <w:r>
        <w:rPr>
          <w:b/>
          <w:bCs/>
        </w:rPr>
        <w:t>有效防控重大环境风险。</w:t>
      </w:r>
      <w:r>
        <w:t>始终坚持污染减排和生态扩容两手发力，加快工业、农业、生活污染源系统整治，切实防范化解生态环境领域重大风险。加强监管体系建设，落实“三线一单”，推进排污许可，强化项目环评与规划环评、区域环境质量联动机制；推进污染防治信息化建设，完善业务系统与监管平台的数据对接，提升智能化监管水平。加强重大环境违法案件督查督办，严格落实生态环境保护责任追究制度和生态环境损害赔偿制度，严厉打击环境违法行为。继续开展生态文明示范村、绿色学校等系列创建活动，加强生态文明理念和绿色消费理念宣传教育，推行绿色消费，倡导绿色居住，鼓励简约生活、绿色出行。</w:t>
      </w:r>
    </w:p>
    <w:p>
      <w:pPr>
        <w:pStyle w:val="6"/>
        <w:spacing w:before="156" w:after="156"/>
        <w:rPr>
          <w:rFonts w:eastAsia="楷体_GB2312"/>
          <w:b w:val="0"/>
          <w:bCs w:val="0"/>
        </w:rPr>
      </w:pPr>
      <w:bookmarkStart w:id="56" w:name="_Toc13404"/>
      <w:r>
        <w:rPr>
          <w:rFonts w:eastAsia="楷体_GB2312"/>
          <w:b w:val="0"/>
          <w:bCs w:val="0"/>
        </w:rPr>
        <w:t>第二节 加快城市更新进程</w:t>
      </w:r>
      <w:bookmarkEnd w:id="56"/>
    </w:p>
    <w:p>
      <w:pPr>
        <w:ind w:firstLine="643"/>
      </w:pPr>
      <w:r>
        <w:rPr>
          <w:b/>
          <w:bCs/>
        </w:rPr>
        <w:t>全面推进老城复兴。</w:t>
      </w:r>
      <w:r>
        <w:t>加快推进老城厢中心商圈业态调整、历史文化街区保护修缮、老旧小区改造、背街里弄整治、沿街立面出新、便民服务完善等工作，逐步提升中心城区承载力、吸引力和文化底蕴。推动文商旅创深度融合，发展高品质消费经济，提升楼宇经济质效，建设有机联动的活力老城厢。坚持点、线、面联动，统筹道路、小区、片区整治出新，畅通堵点、补上断点、缓解停车难等痛点。推进改造老旧厂房与闲置楼宇，深化主题产业园建设，大力发展都市经济、2.5产业，打造转型升级新样板。充分挖掘文脉、水脉、工业遗存等，编织城市“秀带”，积极培育服务型、体验型休闲产业，做好旧貌保护与改造更新的有效衔接、内涵挖掘与旅游开发的有机结合、百年品牌与现代商业的相融共生，策划网红打卡地和消费新地标，全面提升品位和颜值，打造特色精致的城市会客厅和文商旅融合新高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专栏11-3老城厢复兴发展重点项目</w:t>
            </w:r>
          </w:p>
          <w:p>
            <w:pPr>
              <w:spacing w:line="440" w:lineRule="exact"/>
              <w:ind w:firstLine="0" w:firstLineChars="0"/>
              <w:jc w:val="left"/>
              <w:rPr>
                <w:bCs/>
                <w:kern w:val="0"/>
                <w:sz w:val="28"/>
                <w:szCs w:val="28"/>
              </w:rPr>
            </w:pPr>
            <w:r>
              <w:rPr>
                <w:b/>
                <w:bCs/>
                <w:kern w:val="0"/>
                <w:sz w:val="28"/>
                <w:szCs w:val="28"/>
              </w:rPr>
              <w:t>片区改造：</w:t>
            </w:r>
            <w:r>
              <w:rPr>
                <w:bCs/>
                <w:kern w:val="0"/>
                <w:sz w:val="28"/>
                <w:szCs w:val="28"/>
              </w:rPr>
              <w:t>完成大庙弄片区提升改造、南大街商圈振兴等重点工作。</w:t>
            </w:r>
          </w:p>
          <w:p>
            <w:pPr>
              <w:spacing w:line="440" w:lineRule="exact"/>
              <w:ind w:firstLine="0" w:firstLineChars="0"/>
              <w:jc w:val="left"/>
              <w:rPr>
                <w:bCs/>
                <w:kern w:val="0"/>
                <w:sz w:val="28"/>
                <w:szCs w:val="28"/>
              </w:rPr>
            </w:pPr>
            <w:r>
              <w:rPr>
                <w:b/>
                <w:bCs/>
                <w:kern w:val="0"/>
                <w:sz w:val="28"/>
                <w:szCs w:val="28"/>
              </w:rPr>
              <w:t>老旧小区改造：</w:t>
            </w:r>
            <w:r>
              <w:rPr>
                <w:bCs/>
                <w:kern w:val="0"/>
                <w:sz w:val="28"/>
                <w:szCs w:val="28"/>
              </w:rPr>
              <w:t>新开工并完成吴家场公寓、城中苑、红星新村、荷花池公寓、荷花池社区散居楼等老旧小区整治工作。</w:t>
            </w:r>
          </w:p>
          <w:p>
            <w:pPr>
              <w:spacing w:line="440" w:lineRule="exact"/>
              <w:ind w:firstLine="0" w:firstLineChars="0"/>
              <w:jc w:val="left"/>
              <w:rPr>
                <w:bCs/>
                <w:kern w:val="0"/>
                <w:sz w:val="28"/>
                <w:szCs w:val="28"/>
              </w:rPr>
            </w:pPr>
            <w:r>
              <w:rPr>
                <w:b/>
                <w:bCs/>
                <w:kern w:val="0"/>
                <w:sz w:val="28"/>
                <w:szCs w:val="28"/>
              </w:rPr>
              <w:t>环境综合整治：</w:t>
            </w:r>
            <w:r>
              <w:rPr>
                <w:bCs/>
                <w:kern w:val="0"/>
                <w:sz w:val="28"/>
                <w:szCs w:val="28"/>
              </w:rPr>
              <w:t>完成延陵西路、晋陵中路、民元里、横沟弄、邮电路、三堡街、东横街、西横街、吊桥路、北大街、健身路、广化街等30余条道路的综合整治工作。</w:t>
            </w:r>
          </w:p>
          <w:p>
            <w:pPr>
              <w:spacing w:line="440" w:lineRule="exact"/>
              <w:ind w:firstLine="0" w:firstLineChars="0"/>
              <w:jc w:val="left"/>
              <w:rPr>
                <w:bCs/>
                <w:kern w:val="0"/>
                <w:sz w:val="28"/>
                <w:szCs w:val="28"/>
              </w:rPr>
            </w:pPr>
            <w:r>
              <w:rPr>
                <w:b/>
                <w:bCs/>
                <w:kern w:val="0"/>
                <w:sz w:val="28"/>
                <w:szCs w:val="28"/>
              </w:rPr>
              <w:t>文保建筑修缮：</w:t>
            </w:r>
            <w:r>
              <w:rPr>
                <w:bCs/>
                <w:kern w:val="0"/>
                <w:sz w:val="28"/>
                <w:szCs w:val="28"/>
              </w:rPr>
              <w:t>完成盛宣怀故居、夏家大院、南河沿沿线等文保修缮项目。</w:t>
            </w:r>
          </w:p>
          <w:p>
            <w:pPr>
              <w:spacing w:line="440" w:lineRule="exact"/>
              <w:ind w:firstLine="0" w:firstLineChars="0"/>
              <w:jc w:val="left"/>
              <w:rPr>
                <w:bCs/>
                <w:kern w:val="0"/>
                <w:szCs w:val="32"/>
              </w:rPr>
            </w:pPr>
            <w:r>
              <w:rPr>
                <w:b/>
                <w:bCs/>
                <w:kern w:val="0"/>
                <w:sz w:val="28"/>
                <w:szCs w:val="28"/>
              </w:rPr>
              <w:t>老旧厂房改造：</w:t>
            </w:r>
            <w:r>
              <w:rPr>
                <w:bCs/>
                <w:kern w:val="0"/>
                <w:sz w:val="28"/>
                <w:szCs w:val="28"/>
              </w:rPr>
              <w:t>完成航海仪器厂、梳篦厂、仙鹤酱品厂等老旧厂房改造项目</w:t>
            </w:r>
            <w:r>
              <w:rPr>
                <w:b/>
                <w:bCs/>
                <w:kern w:val="0"/>
                <w:sz w:val="28"/>
                <w:szCs w:val="28"/>
              </w:rPr>
              <w:t>。</w:t>
            </w:r>
          </w:p>
        </w:tc>
      </w:tr>
    </w:tbl>
    <w:p>
      <w:pPr>
        <w:ind w:firstLine="643"/>
      </w:pPr>
      <w:r>
        <w:rPr>
          <w:b/>
          <w:bCs/>
        </w:rPr>
        <w:t>有序推进片区开发。</w:t>
      </w:r>
      <w:r>
        <w:t>按照老城复兴“加快推进民生改善和功能提升”、西进提速“加快推进重大基础设施建设和片区开发”的总体思路，结合经营性地块上市、旧城改造、重大基础设施建设、历史文化街区保护、商圈振兴等工作需要和进展程度，精心研究规划方案，合理制定征收拆迁计划，重点开展客车厂、龙江路西侧等片区征收拆迁工作，为后续发展腾挪空间，提升城市环境品质。</w:t>
      </w:r>
    </w:p>
    <w:p>
      <w:pPr>
        <w:ind w:firstLine="643"/>
      </w:pPr>
      <w:r>
        <w:rPr>
          <w:b/>
          <w:bCs/>
        </w:rPr>
        <w:t>优化土地利用方式。</w:t>
      </w:r>
      <w:r>
        <w:t>充分保障重点项目用地，争取省市重点项目名额，明确专人负责、专人跟踪，加快土地报批、规划审批工作，确保重点项目及时顺利落地。健全资源优配机制，统筹谋划经营性用地更新、整备和供应项目库建设，落实区级土地高效优配实施办法，重点推进邹区镇已批道路、河道供地工作。积极争取用地指标，加快推进实施土地整治项目，提升土地整治项目的质量和效益。提升节约集约水平，坚持以“亩产论英雄”，改革创新土地节约集约利用各种政策措施，持续争创自然资源节约集约利用模范区。创新土地供应方式，全面推进弹性出让（先租后让）、履约保函、带规划条件补办出让、补办出让地价评估等工作，差别化供地率保持在60%以上。攻坚存量用地盘活，全面推进批而未供、低效用地和闲置土地处置，力争“十四五”期间盘活批而未供土地5500亩，低效用地4000亩，闲置土地1500亩以上。</w:t>
      </w:r>
    </w:p>
    <w:p>
      <w:pPr>
        <w:ind w:firstLine="643"/>
      </w:pPr>
      <w:r>
        <w:rPr>
          <w:b/>
          <w:bCs/>
        </w:rPr>
        <w:t>完善市政综合设施建设。</w:t>
      </w:r>
      <w:r>
        <w:t>加快实施振中路跨运河桥、桂花路桥项目，及时完善皇粮浜生态居住区、荷园周边、曙光化工厂地块等已出让地块的配套基础设施。结合道路、桥梁建设和整治同步推进景观绿化、夜景照明、地下管网、公共停车泊位等配套工程，推动城镇功能不断完善，新增道路里程90公里，新增公共停车泊位7000个。持续优化市容景观建设品质，打造“精品街道”。完善环卫基础设施，加快补齐垃圾处理设施短板，配套完善与生活垃圾分类相衔接的收集、运输、资源化利用等设施，积极推进“厕所革命”，推进“厕所革命”向精细化和智能化发展，提升改造70座公厕，加大“厕所开放联盟”构建力度，强化城市服务功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专栏11-4市政综合设施建设重点项目</w:t>
            </w:r>
          </w:p>
          <w:p>
            <w:pPr>
              <w:spacing w:line="440" w:lineRule="exact"/>
              <w:ind w:firstLine="0" w:firstLineChars="0"/>
              <w:rPr>
                <w:bCs/>
                <w:kern w:val="0"/>
                <w:szCs w:val="32"/>
              </w:rPr>
            </w:pPr>
            <w:r>
              <w:rPr>
                <w:bCs/>
                <w:kern w:val="0"/>
                <w:sz w:val="28"/>
                <w:szCs w:val="28"/>
              </w:rPr>
              <w:t>轨道交通2号线沿线综合整治工程；大运河沿线大庙弄及周边片区提升工程；皇粮浜生态居住区配套工程；振中路跨运河桥；大运河城区段交通疏导工程-广化桥两侧慢行桥；棕榈路以南、月季路以东地块配套道路；荷园及周边地块配套工程。</w:t>
            </w:r>
          </w:p>
        </w:tc>
      </w:tr>
    </w:tbl>
    <w:p>
      <w:pPr>
        <w:ind w:firstLine="643"/>
      </w:pPr>
      <w:r>
        <w:rPr>
          <w:b/>
          <w:bCs/>
        </w:rPr>
        <w:t>加快海绵城市建设。</w:t>
      </w:r>
      <w:r>
        <w:t>准确把握治水方针的丰富内涵、水治理体制机制关系和水利改革发展总基调，在水环境治理、民生服务、防汛安全、河湖长制等方面有新提升。落实建设管理基调，做好五星街道谈家塘排涝泵站迁建工程及后塘河清淤整治工程、童子河入南运河排涝泵站、城区水环境综合整治、经开区北区防洪除涝工程等新建项目的开工建设，积极配合市水利局做好凤凰河节制闸、皇粮浜节制闸工程建设，完成大包围节点工作，补齐工程建设短板、严格建设管理标准，确保汛期发挥工程效益。推进水利行业监管，做好全区生产建设单位水土保持项目审批工作，加强水资源开发利用管理，实施国家节水行动，加强依法治水管水，全力防御水旱灾害。践行人与自然和谐共生理念，强化水土保持治理、打造河湖长制钟楼特色，聚力科技兴水，推进海绵城市建设。</w:t>
      </w:r>
    </w:p>
    <w:p>
      <w:pPr>
        <w:pStyle w:val="6"/>
        <w:spacing w:before="156" w:after="156"/>
        <w:rPr>
          <w:rFonts w:eastAsia="楷体_GB2312"/>
          <w:b w:val="0"/>
          <w:bCs w:val="0"/>
        </w:rPr>
      </w:pPr>
      <w:bookmarkStart w:id="57" w:name="_Toc3671"/>
      <w:r>
        <w:rPr>
          <w:rFonts w:eastAsia="楷体_GB2312"/>
          <w:b w:val="0"/>
          <w:bCs w:val="0"/>
        </w:rPr>
        <w:t>第三节 提升城市管理水平</w:t>
      </w:r>
      <w:bookmarkEnd w:id="57"/>
    </w:p>
    <w:p>
      <w:pPr>
        <w:ind w:firstLine="643"/>
      </w:pPr>
      <w:r>
        <w:rPr>
          <w:b/>
          <w:bCs/>
          <w:szCs w:val="32"/>
        </w:rPr>
        <w:t>完善大城管工作格局。</w:t>
      </w:r>
      <w:r>
        <w:rPr>
          <w:szCs w:val="32"/>
        </w:rPr>
        <w:t>坚持“12个没有”“20个有”标准，聚焦市民关心的热点难点问题，下足“绣花”功夫，对标先进城市标杆，补短板、强弱项、提品质、抓长效，持续提升城市管理效能和精细化水平，力争“一年一个样、三年大变样”。进一步明确城管与其他部门、镇（街道）之间的工作界限和职责关系，理顺管理体制，形成“条块结合、以块为主、上下联动、多方协调”的工作格局。加快推进城市管理综合服务平台与社会综合治理平台的整合，实现部门信息资源共享，建立部门协同管理体制机制，有效解决城市运行方面的各类问题，实现“一网统管”。</w:t>
      </w:r>
    </w:p>
    <w:tbl>
      <w:tblPr>
        <w:tblStyle w:val="1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8" w:type="dxa"/>
          </w:tcPr>
          <w:p>
            <w:pPr>
              <w:spacing w:line="560" w:lineRule="exact"/>
              <w:ind w:firstLine="0" w:firstLineChars="0"/>
              <w:jc w:val="center"/>
              <w:rPr>
                <w:rFonts w:eastAsia="楷体_GB2312"/>
                <w:b/>
                <w:kern w:val="0"/>
                <w:sz w:val="28"/>
                <w:szCs w:val="28"/>
              </w:rPr>
            </w:pPr>
            <w:r>
              <w:rPr>
                <w:rFonts w:eastAsia="楷体_GB2312"/>
                <w:b/>
                <w:kern w:val="0"/>
                <w:sz w:val="28"/>
                <w:szCs w:val="28"/>
              </w:rPr>
              <w:t>专栏11-5 城市精细化管理目标</w:t>
            </w:r>
          </w:p>
          <w:p>
            <w:pPr>
              <w:spacing w:line="440" w:lineRule="exact"/>
              <w:ind w:firstLine="0" w:firstLineChars="0"/>
              <w:rPr>
                <w:kern w:val="0"/>
                <w:sz w:val="28"/>
                <w:szCs w:val="28"/>
              </w:rPr>
            </w:pPr>
            <w:r>
              <w:rPr>
                <w:b/>
                <w:bCs/>
                <w:kern w:val="0"/>
                <w:sz w:val="28"/>
                <w:szCs w:val="28"/>
              </w:rPr>
              <w:t>“12个没有”：</w:t>
            </w:r>
            <w:r>
              <w:rPr>
                <w:kern w:val="0"/>
                <w:sz w:val="28"/>
                <w:szCs w:val="28"/>
              </w:rPr>
              <w:t>没有危房棚户、没有违法建筑（用地）、没有断头路（河）、没有直排污水、没有黑臭水体、没有暴露垃圾渣土、没有遮挡广告、没有破损公共设施、没有架空管线、没有店外出摊（占道经营）、没有乱停放汽车（非机动车）、没有破损人行道（绿化、坑洼）。</w:t>
            </w:r>
          </w:p>
          <w:p>
            <w:pPr>
              <w:spacing w:line="440" w:lineRule="exact"/>
              <w:ind w:firstLine="0" w:firstLineChars="0"/>
              <w:rPr>
                <w:bCs/>
                <w:kern w:val="0"/>
                <w:sz w:val="28"/>
                <w:szCs w:val="28"/>
              </w:rPr>
            </w:pPr>
            <w:r>
              <w:rPr>
                <w:b/>
                <w:kern w:val="0"/>
                <w:sz w:val="28"/>
                <w:szCs w:val="28"/>
              </w:rPr>
              <w:t>“</w:t>
            </w:r>
            <w:r>
              <w:rPr>
                <w:b/>
                <w:bCs/>
                <w:kern w:val="0"/>
                <w:sz w:val="28"/>
                <w:szCs w:val="28"/>
              </w:rPr>
              <w:t>20</w:t>
            </w:r>
            <w:r>
              <w:rPr>
                <w:b/>
                <w:kern w:val="0"/>
                <w:sz w:val="28"/>
                <w:szCs w:val="28"/>
              </w:rPr>
              <w:t>个有”：</w:t>
            </w:r>
            <w:r>
              <w:rPr>
                <w:bCs/>
                <w:kern w:val="0"/>
                <w:sz w:val="28"/>
                <w:szCs w:val="28"/>
              </w:rPr>
              <w:t>有道路绿化街头绿地、有路灯照明、有路牌门牌、有消防通道设施、有公交车站、有公共自行车和共享单车、有机动车非机动车停车位、有自来水供应、有雨污分流、有天然气管道、有公共厕所、有分类垃圾箱、有信报快递投递箱、有视频探头和警务室、有菜场超市、有幼儿园小学、有社区卫生室、有健身设施场地和避难场所、有文体活动场所、有老年人和残疾人服务点。</w:t>
            </w:r>
          </w:p>
        </w:tc>
      </w:tr>
    </w:tbl>
    <w:p>
      <w:pPr>
        <w:ind w:firstLine="643"/>
        <w:rPr>
          <w:szCs w:val="32"/>
        </w:rPr>
      </w:pPr>
      <w:r>
        <w:rPr>
          <w:b/>
          <w:bCs/>
          <w:szCs w:val="32"/>
        </w:rPr>
        <w:t>提升精细化城市管理。</w:t>
      </w:r>
      <w:r>
        <w:rPr>
          <w:szCs w:val="32"/>
        </w:rPr>
        <w:t>以城市主要道路、老城厢等为重点，大力推进精品道路建设，实现全要素规划建设管理，并充分发挥示范引领作用，以点带面，促进全区市容环境品质整体性提升。以常州市创建“国家生态园林城市”为契机，深入推进绿化养护管理和公园园容园景专项整治行动，建立绿化数据资源库，全面提升城乡绿化养护质量和景观水平。全面建成生活垃圾分类处理系统，各类城乡生活固废处理设施实现全覆盖，建成区90%以上街道（镇）基本建成生活垃圾分类示范片区，垃圾分类集中处理率达95%以上。加强餐厨废弃物管理，不断扩大收运范围，保持签约收集率100%，有效管控废弃食用油脂回流餐桌的风险。强化道路保洁管理，大力提升道路环卫机械化作业力度，确保道路环卫机械化作业率达94%以上。</w:t>
      </w:r>
    </w:p>
    <w:p>
      <w:pPr>
        <w:ind w:firstLine="643"/>
        <w:rPr>
          <w:szCs w:val="32"/>
        </w:rPr>
      </w:pPr>
      <w:r>
        <w:rPr>
          <w:b/>
          <w:bCs/>
          <w:szCs w:val="32"/>
        </w:rPr>
        <w:t>推进常态化违法治理。</w:t>
      </w:r>
      <w:r>
        <w:rPr>
          <w:szCs w:val="32"/>
        </w:rPr>
        <w:t>加大违法建设治理力度，落实违法建设信息共享、日常巡查、协调联动及责任追究等制度，探索“无人机”远程摇控、巡航探测等创新方式，实现违法建设的全过程智能管控。聚焦城市顽疾，扎实开展户外广告设施、餐厨废弃物收运、露天焚烧和露天烧烤、渣土运输、流动摊贩等专项整治行动，做到执法与服务相结合、堵与疏相结合，形成标本兼治、长效管理的新格局。</w:t>
      </w:r>
    </w:p>
    <w:p>
      <w:pPr>
        <w:pStyle w:val="6"/>
        <w:spacing w:before="156" w:after="156"/>
        <w:rPr>
          <w:rFonts w:eastAsia="楷体_GB2312"/>
          <w:b w:val="0"/>
          <w:bCs w:val="0"/>
        </w:rPr>
      </w:pPr>
      <w:bookmarkStart w:id="58" w:name="_Toc26592"/>
      <w:r>
        <w:rPr>
          <w:rFonts w:eastAsia="楷体_GB2312"/>
          <w:b w:val="0"/>
          <w:bCs w:val="0"/>
        </w:rPr>
        <w:t>第四节 推进城乡融合发展</w:t>
      </w:r>
      <w:bookmarkEnd w:id="58"/>
    </w:p>
    <w:p>
      <w:pPr>
        <w:ind w:firstLine="643"/>
      </w:pPr>
      <w:r>
        <w:rPr>
          <w:b/>
          <w:bCs/>
        </w:rPr>
        <w:t>要素流动顺畅。</w:t>
      </w:r>
      <w:r>
        <w:t>建立健全城乡统一的人才、资本、技术与土地市场体系。深化实施“百名精英人才培养”“龙城英才乡土人才”“乡土人才三带”等行动计划，统筹推动教育、医卫、文化、科技等领域人才下乡，加强乡村教师、基层医疗卫生人员、农业科技特派员等队伍建设，全面建立乡土人才职称评审制度，健全城乡人才交流共享机制。加快推动科技成果下乡，实施一批农业科技计划项目，鼓励开展农业产学研活动，推进农业科技发展重大平台载体建设，培育壮大农业科技服务业。完善农村承包地“三权分置”制度，深入实施农村土地资源统筹配置，加快推进国土空间全域综合整治，依法推进集体经营性建设用地有序入市和承包经营权流转。继续推动农村集体经营性建设用地使用权抵押贷款，缓解农村经营主体融资担保难题。</w:t>
      </w:r>
    </w:p>
    <w:p>
      <w:pPr>
        <w:ind w:firstLine="643"/>
        <w:rPr>
          <w:b/>
          <w:bCs/>
        </w:rPr>
      </w:pPr>
      <w:r>
        <w:rPr>
          <w:b/>
          <w:bCs/>
        </w:rPr>
        <w:t>城乡基础设施一体化。</w:t>
      </w:r>
      <w:r>
        <w:t>加快建设提升覆盖城乡的公路、电力、燃气、供水和垃圾污水收集处理等基础设施，健全管理网络和建管长效机制，健全乡村物流基础设施和配送网络体系。长效巩固并扩展农村人居环境整治成效，落实农村河道、道路交通、绿化美化、环境保洁、公共设施“五位一体”综合管护。优化发展农村教育、健康、医疗、养老、文化等公共服务，加快农村学校标准化建设，推进农村区域性医疗卫生中心和基层特色科室建设，落实城乡居民基本养老保险待遇确定和基础养老金正常调整机制，提高乡村文化和体育服务水平，全面缩小城乡社会保障差距。</w:t>
      </w:r>
    </w:p>
    <w:p>
      <w:pPr>
        <w:ind w:firstLine="643"/>
      </w:pPr>
      <w:r>
        <w:rPr>
          <w:b/>
          <w:bCs/>
        </w:rPr>
        <w:t>公共服务管理一体化。</w:t>
      </w:r>
      <w:r>
        <w:t>立足西进战略，推进城乡公共服务均衡化，形成“集镇区—行政村”两级公共服务设施体系，新建或改造区域采用雨污分流制或截流式合流制，大力提高天然气覆盖率。对照城市基本公共服务功能配置标准，提高社会保障水平，推动区内教育、医疗、养老机构服务、资源下沉。</w:t>
      </w:r>
      <w:r>
        <w:rPr>
          <w:snapToGrid w:val="0"/>
          <w:color w:val="000000"/>
          <w:kern w:val="0"/>
          <w:szCs w:val="32"/>
        </w:rPr>
        <w:t>拓展村级服务中心功能，打造“一站式服务”综合服务平台，力争实现农民办事不出村。</w:t>
      </w:r>
    </w:p>
    <w:p>
      <w:pPr>
        <w:ind w:firstLine="643"/>
      </w:pPr>
      <w:r>
        <w:rPr>
          <w:b/>
          <w:bCs/>
        </w:rPr>
        <w:t>全面推进乡村振兴。</w:t>
      </w:r>
      <w:r>
        <w:t>推动乡村产业振兴，着力提升村集体经济收入。加快邹区农业现代产业园等重点园区发展，围绕优质果蔬、水产养殖等领域打造钟楼特色农业品牌。引导社会资本参与“职教小镇”建设，重点推进职教核心区、中华工匠文创西区、滨水生态共享带等板块发展。优化邹区镇村布局，明确村庄功能定位与建设标准，引导民房向重点保留村集中，改造提升传统民居、老旧院落。有序推进农村各项改革工作，完善“三资”监管平台的使用及管理和农村股权登记管理。启动宅基地改革，制定科学的补偿方式，按照“一户一宅”的基本原则，集中建设农村公寓或农民住宅小区。深化农村产权制度改革，以宣塘为试点，坚持一村一策，成熟一个、推进一个，逐步修订完善合作社章程。推进企村联建有序开展，建立“村申报、镇把关、区审核”项目申报三级管理机制，加大跟踪推进力度，指导项目规范有序实施。加快殷杏泰片区产教融合试验区建设，建设全域美丽乡村；支持殷村创建国家级特色小镇，对村庄进行并迁提升，建成“产-旅-景-村”融合发展的田园综合体，让“职教小镇”“运河慢村”“杏花春雨”串起乡村的最美风景线。以数字化全面提高乡村治理能力和治理体系现代化水平，推动“互联网+社区”向农村延伸，探索开展农村人居环境整治综合监测，大力推进重要农产品全产业链大数据建设。</w:t>
      </w:r>
    </w:p>
    <w:p>
      <w:pPr>
        <w:pStyle w:val="5"/>
        <w:spacing w:before="312" w:after="156"/>
        <w:rPr>
          <w:rFonts w:ascii="Times New Roman" w:hAnsi="Times New Roman" w:eastAsia="黑体"/>
        </w:rPr>
      </w:pPr>
      <w:bookmarkStart w:id="59" w:name="_Toc13961"/>
      <w:r>
        <w:rPr>
          <w:rFonts w:ascii="Times New Roman" w:hAnsi="Times New Roman" w:eastAsia="黑体"/>
        </w:rPr>
        <w:t>第十二章 持续深化改革攻坚</w:t>
      </w:r>
      <w:bookmarkEnd w:id="59"/>
    </w:p>
    <w:p>
      <w:pPr>
        <w:ind w:firstLine="640"/>
      </w:pPr>
      <w:r>
        <w:rPr>
          <w:bCs/>
          <w:szCs w:val="32"/>
        </w:rPr>
        <w:t>围绕发展抓改革、抓好改革促发展，找准制约高质量发展的体制机制障碍，持之以恒推进重点领域和关键环节改革，增强改革的系统性、整体性、协同性，更好应对风险挑战，有效破解高质量发展中的难题，充分释放发展的活力动力</w:t>
      </w:r>
      <w:r>
        <w:t>。</w:t>
      </w:r>
    </w:p>
    <w:p>
      <w:pPr>
        <w:pStyle w:val="6"/>
        <w:spacing w:before="156" w:after="156"/>
        <w:rPr>
          <w:rFonts w:eastAsia="楷体_GB2312"/>
          <w:b w:val="0"/>
          <w:bCs w:val="0"/>
        </w:rPr>
      </w:pPr>
      <w:bookmarkStart w:id="60" w:name="_Toc17325"/>
      <w:r>
        <w:rPr>
          <w:rFonts w:eastAsia="楷体_GB2312"/>
          <w:b w:val="0"/>
          <w:bCs w:val="0"/>
        </w:rPr>
        <w:t>第一节 打造一流营商环境</w:t>
      </w:r>
      <w:bookmarkEnd w:id="60"/>
    </w:p>
    <w:p>
      <w:pPr>
        <w:ind w:firstLine="643"/>
        <w:jc w:val="left"/>
        <w:rPr>
          <w:szCs w:val="32"/>
        </w:rPr>
      </w:pPr>
      <w:r>
        <w:rPr>
          <w:b/>
          <w:bCs/>
          <w:szCs w:val="32"/>
        </w:rPr>
        <w:t>激发市场主体活力。</w:t>
      </w:r>
      <w:r>
        <w:rPr>
          <w:szCs w:val="32"/>
        </w:rPr>
        <w:t>支持民营企业发展壮大，加强涉企政策引导，落实各级支持民营企业改革发展的政策，推进要素市场化配置体制机制改革，进一步减轻企业税费负担。加强企银政深度合作，拓宽民营企业融资途径，支持民营企业通过资本市场实现裂变式发展，力争到2025年上市企业数实现翻番；提升金融服务水平，帮助已上市企业通过资本市场进一步做大做强；发展普惠金融，帮扶中小企业获取资金扶持。大力传承不畏困难、开拓进取的企业家精神，培育一支懂经营、会管理、善决策、干创新的新一代企业家队伍。深化国资国企改革，加快“1+N+X”体系构建，不断增强国有经济竞争力、创新力、抗风险能力。</w:t>
      </w:r>
    </w:p>
    <w:p>
      <w:pPr>
        <w:ind w:firstLine="643"/>
        <w:jc w:val="left"/>
        <w:rPr>
          <w:szCs w:val="32"/>
        </w:rPr>
      </w:pPr>
      <w:r>
        <w:rPr>
          <w:b/>
          <w:bCs/>
          <w:szCs w:val="32"/>
        </w:rPr>
        <w:t>全面提升政务服务效能。</w:t>
      </w:r>
      <w:r>
        <w:rPr>
          <w:szCs w:val="32"/>
        </w:rPr>
        <w:t>推动政府部门协同联动、流程再造、系统整合，依托政务服务“一张网”，强化线上、线下政务服务能力，推行“全程代办”制度，提升政务服务体验感和办事便利度。深化政务信息公开，推动资源整合和政务数据共享开放。推进“双随机、一公开”监管和跨部门联合监管。</w:t>
      </w:r>
      <w:r>
        <w:rPr>
          <w:szCs w:val="32"/>
          <w:shd w:val="clear" w:color="auto" w:fill="FFFFFF"/>
        </w:rPr>
        <w:t>进一步推进重点领域政务诚信建设，着力推进以信用为基础的新型监管，推进行政管理由“门槛管理”向“信用管理”转变。</w:t>
      </w:r>
      <w:r>
        <w:rPr>
          <w:szCs w:val="32"/>
        </w:rPr>
        <w:t>加强与供电、自来水、燃气公司等对接协作，建立企业接入水电气的长效沟通机制。</w:t>
      </w:r>
    </w:p>
    <w:p>
      <w:pPr>
        <w:ind w:firstLine="643"/>
        <w:jc w:val="left"/>
        <w:rPr>
          <w:b/>
          <w:bCs/>
          <w:szCs w:val="32"/>
        </w:rPr>
      </w:pPr>
      <w:r>
        <w:rPr>
          <w:b/>
          <w:bCs/>
          <w:szCs w:val="32"/>
        </w:rPr>
        <w:t>完善公平竞争法治保障。</w:t>
      </w:r>
      <w:r>
        <w:rPr>
          <w:szCs w:val="32"/>
        </w:rPr>
        <w:t>强化涉企司法保护，推广应用网上立案平台，提升诉讼便利度和诉讼办理效率，科学运用多元化纠纷解决机制，规范审理商事纠纷。加强知识产权保护，加大打击侵权违法行为力度，突出知识产权人才支撑，培育一批能够引领、支撑产业发展的高价值专利。加大涉企法律服务扶持力度，充分发挥法律服务在促进企业依法经营管理、维护企业合法权益、防范企业经营风险等方面的积极作用。</w:t>
      </w:r>
    </w:p>
    <w:p>
      <w:pPr>
        <w:ind w:firstLine="643"/>
        <w:jc w:val="left"/>
        <w:rPr>
          <w:b/>
          <w:bCs/>
          <w:szCs w:val="32"/>
        </w:rPr>
      </w:pPr>
      <w:r>
        <w:rPr>
          <w:b/>
          <w:bCs/>
          <w:szCs w:val="32"/>
        </w:rPr>
        <w:t>不断优化社会环境。</w:t>
      </w:r>
      <w:r>
        <w:rPr>
          <w:szCs w:val="32"/>
        </w:rPr>
        <w:t>强化“人人都是营商环境”的服务意识，全力打造“人人服务、事事周到”的钟楼营商环境品牌。落实市场准入负面清单制度，深化“证照分离”改革，加强和规范事中事后监管，对新业态新模式积极探索创新包容审慎监管。建立规范化机制化政企沟通渠道，完善领导挂钩联系重点民营企业制度，构建亲清政商关系。</w:t>
      </w:r>
      <w:r>
        <w:rPr>
          <w:bCs/>
          <w:szCs w:val="32"/>
        </w:rPr>
        <w:t>加强营商环境政策宣传和形象推广，树立“政商互动亲清、科技创新活跃、优秀人才集聚、钟楼品牌突出”的社会形象。</w:t>
      </w:r>
    </w:p>
    <w:p>
      <w:pPr>
        <w:pStyle w:val="6"/>
        <w:spacing w:before="156" w:after="156"/>
        <w:rPr>
          <w:rFonts w:eastAsia="楷体_GB2312"/>
          <w:b w:val="0"/>
          <w:bCs w:val="0"/>
        </w:rPr>
      </w:pPr>
      <w:bookmarkStart w:id="61" w:name="_Toc20503"/>
      <w:r>
        <w:rPr>
          <w:rFonts w:eastAsia="楷体_GB2312"/>
          <w:b w:val="0"/>
          <w:bCs w:val="0"/>
        </w:rPr>
        <w:t>第二节 加快转变政府职能</w:t>
      </w:r>
      <w:bookmarkEnd w:id="61"/>
    </w:p>
    <w:p>
      <w:pPr>
        <w:ind w:firstLine="643"/>
        <w:jc w:val="left"/>
        <w:rPr>
          <w:b/>
          <w:bCs/>
          <w:szCs w:val="32"/>
        </w:rPr>
      </w:pPr>
      <w:r>
        <w:rPr>
          <w:b/>
          <w:bCs/>
          <w:szCs w:val="32"/>
        </w:rPr>
        <w:t>优化完善基层治理架构。</w:t>
      </w:r>
      <w:r>
        <w:rPr>
          <w:szCs w:val="32"/>
        </w:rPr>
        <w:t>落实区街两级权责清单制度，建立镇、街道上级交办事项准入机制，逐步建立起边界清晰、分工合理、权责对等、履职高效、依法保障的基层管理体制。深入推进基层机构改革，进一步理顺经开区、高新园管理体制。加强区级区域治理现代化指挥中心建设，充实完善基层综合指挥中心功能，构建集成、高效、顺畅的基层治理指挥体系。完善“集中高效审批、强化监管服务、综合行政执法”基层治理运行机制，将社会治理重心继续向基层下移，向基层放权赋能。</w:t>
      </w:r>
    </w:p>
    <w:p>
      <w:pPr>
        <w:ind w:firstLine="643"/>
        <w:jc w:val="left"/>
        <w:rPr>
          <w:szCs w:val="32"/>
        </w:rPr>
      </w:pPr>
      <w:r>
        <w:rPr>
          <w:b/>
          <w:bCs/>
          <w:szCs w:val="32"/>
        </w:rPr>
        <w:t>稳步推进事业单位改革。</w:t>
      </w:r>
      <w:r>
        <w:rPr>
          <w:szCs w:val="32"/>
        </w:rPr>
        <w:t>坚持优化协同高效的原则，进一步深化公益类事业单位改革。统筹制定并实施全区事业单位改革方案，从规范设置标准、调整职责职能等方面入手，整合优化事业单位设置，促进其更好发挥保障服务公益事业发展的功能。</w:t>
      </w:r>
    </w:p>
    <w:p>
      <w:pPr>
        <w:ind w:firstLine="643"/>
        <w:jc w:val="left"/>
      </w:pPr>
      <w:r>
        <w:rPr>
          <w:b/>
          <w:bCs/>
          <w:szCs w:val="32"/>
        </w:rPr>
        <w:t>深化财政体制机制改革。</w:t>
      </w:r>
      <w:r>
        <w:rPr>
          <w:bCs/>
          <w:szCs w:val="32"/>
        </w:rPr>
        <w:t>推进预算管理制度改革，加快构建全方位、全过程、全覆盖的预算绩效管理体系。厘清区对各板块财权划分，增强基层公共服务保障能力。聚焦政府采购、镇（街道）内控制度等改革，建好财税大数据系统，用好资产云平台，提升财政治理效能</w:t>
      </w:r>
      <w:r>
        <w:t>。</w:t>
      </w:r>
    </w:p>
    <w:p>
      <w:pPr>
        <w:pStyle w:val="5"/>
        <w:spacing w:before="312" w:after="156"/>
        <w:rPr>
          <w:rFonts w:ascii="Times New Roman" w:hAnsi="Times New Roman" w:eastAsia="黑体"/>
        </w:rPr>
      </w:pPr>
      <w:bookmarkStart w:id="62" w:name="_Toc29127"/>
      <w:r>
        <w:rPr>
          <w:rFonts w:ascii="Times New Roman" w:hAnsi="Times New Roman" w:eastAsia="黑体"/>
        </w:rPr>
        <w:t>第十三章 高水平推进区域治理现代化</w:t>
      </w:r>
      <w:bookmarkEnd w:id="62"/>
    </w:p>
    <w:p>
      <w:pPr>
        <w:ind w:firstLine="640"/>
      </w:pPr>
      <w:r>
        <w:t>坚持依法治区，坚守安全底线，加快推进新时代文明实践中心建设，着力提升现代化社会治理体系与治理能力，推进全域文明建设，高质量建成苏南城区治理引领区。</w:t>
      </w:r>
    </w:p>
    <w:p>
      <w:pPr>
        <w:pStyle w:val="6"/>
        <w:spacing w:before="156" w:after="156"/>
        <w:rPr>
          <w:rFonts w:eastAsia="楷体_GB2312"/>
          <w:b w:val="0"/>
          <w:bCs w:val="0"/>
        </w:rPr>
      </w:pPr>
      <w:bookmarkStart w:id="63" w:name="_Toc20636"/>
      <w:r>
        <w:rPr>
          <w:rFonts w:eastAsia="楷体_GB2312"/>
          <w:b w:val="0"/>
          <w:bCs w:val="0"/>
        </w:rPr>
        <w:t>第一节 建设法治钟楼</w:t>
      </w:r>
      <w:bookmarkEnd w:id="63"/>
    </w:p>
    <w:p>
      <w:pPr>
        <w:ind w:firstLine="643"/>
      </w:pPr>
      <w:r>
        <w:rPr>
          <w:b/>
          <w:bCs/>
        </w:rPr>
        <w:t>法治政府建设。</w:t>
      </w:r>
      <w:r>
        <w:t>实现区、镇（街道）法律顾问、公职律师制度全覆盖，全面落实重大决策项目依法决策机制，确保重大决策和政策于法有据。严格规范公正执法，推行行政执法公示制度、执法全过程记录制度、重大执法决定法律审核制度，</w:t>
      </w:r>
      <w:r>
        <w:rPr>
          <w:bCs/>
          <w:szCs w:val="32"/>
        </w:rPr>
        <w:t>突出抓好公正司法，深化司法责任制综合配套改革</w:t>
      </w:r>
      <w:r>
        <w:t>。谋划落实“八五”普法规划，完善普法教育机制，</w:t>
      </w:r>
      <w:r>
        <w:rPr>
          <w:bCs/>
          <w:szCs w:val="32"/>
        </w:rPr>
        <w:t>努力打造一支德才兼备的高素质法治工作队伍。</w:t>
      </w:r>
      <w:r>
        <w:t>进一步推动机关部门全面落实“谁执法谁普法”“谁主管谁普法”“谁服务谁普法”的主体责任，落实行政机关负责人出庭应诉制度。</w:t>
      </w:r>
    </w:p>
    <w:p>
      <w:pPr>
        <w:ind w:firstLine="643"/>
      </w:pPr>
      <w:r>
        <w:rPr>
          <w:b/>
          <w:bCs/>
        </w:rPr>
        <w:t>法治社会建设。</w:t>
      </w:r>
      <w:r>
        <w:t>开展群众性法治文化活动，深入开展市场主体、基层社区、社会组织法治创建活动，</w:t>
      </w:r>
      <w:r>
        <w:rPr>
          <w:szCs w:val="32"/>
        </w:rPr>
        <w:t>建成一批有主题、有特色、有影响的法治文化阵地，构建法治文化主题公园地图</w:t>
      </w:r>
      <w:r>
        <w:t>。坚持和完善新时代“枫桥经验”，建立健全“一站式”非诉讼纠纷解决机制，完善调解、仲裁、行政裁决、行政复议、诉讼等有机衔接、相互协调的多元化纠纷解决机制。加强法治工作队伍建设，建立法治人才激励机制。深入开展“公共法律服务进网格”行动，建立完善“一村（社区）一法律顾问”制度，律师万人比不低于4，</w:t>
      </w:r>
      <w:r>
        <w:rPr>
          <w:szCs w:val="32"/>
        </w:rPr>
        <w:t>法律援助覆盖率达万分之10以上，公共法律服务“知晓率”“首选率”“满意率”实现90%以上，</w:t>
      </w:r>
      <w:r>
        <w:t>加快形成公共法律服务产品体系。</w:t>
      </w:r>
    </w:p>
    <w:p>
      <w:pPr>
        <w:pStyle w:val="6"/>
        <w:spacing w:before="156" w:after="156"/>
        <w:rPr>
          <w:rFonts w:eastAsia="楷体_GB2312"/>
          <w:b w:val="0"/>
          <w:bCs w:val="0"/>
        </w:rPr>
      </w:pPr>
      <w:bookmarkStart w:id="64" w:name="_Toc24158"/>
      <w:r>
        <w:rPr>
          <w:rFonts w:eastAsia="楷体_GB2312"/>
          <w:b w:val="0"/>
          <w:bCs w:val="0"/>
        </w:rPr>
        <w:t>第</w:t>
      </w:r>
      <w:bookmarkStart w:id="65" w:name="_Toc57197138"/>
      <w:r>
        <w:rPr>
          <w:rFonts w:eastAsia="楷体_GB2312"/>
          <w:b w:val="0"/>
          <w:bCs w:val="0"/>
        </w:rPr>
        <w:t>二节 打造全域文明建设先行区</w:t>
      </w:r>
      <w:bookmarkEnd w:id="64"/>
      <w:bookmarkEnd w:id="65"/>
    </w:p>
    <w:p>
      <w:pPr>
        <w:spacing w:line="560" w:lineRule="exact"/>
        <w:ind w:firstLine="643"/>
        <w:rPr>
          <w:rFonts w:eastAsia="宋体"/>
          <w:szCs w:val="32"/>
        </w:rPr>
      </w:pPr>
      <w:r>
        <w:rPr>
          <w:b/>
          <w:bCs/>
          <w:szCs w:val="32"/>
        </w:rPr>
        <w:t>巩固壮大主流思想舆论。</w:t>
      </w:r>
      <w:r>
        <w:rPr>
          <w:szCs w:val="32"/>
        </w:rPr>
        <w:t>坚持马克思主义在意识形态领域指导地位的根本制度，持续深入学习贯彻习近平新时代中国特色社会主义思想，完善理网、净网专项行动，实施网络同心圆工程，提升网络安全管理和处置能力。</w:t>
      </w:r>
    </w:p>
    <w:p>
      <w:pPr>
        <w:spacing w:line="560" w:lineRule="exact"/>
        <w:ind w:firstLine="643"/>
        <w:rPr>
          <w:rFonts w:eastAsia="宋体"/>
          <w:b/>
          <w:bCs/>
          <w:szCs w:val="32"/>
        </w:rPr>
      </w:pPr>
      <w:r>
        <w:rPr>
          <w:b/>
          <w:bCs/>
          <w:szCs w:val="32"/>
        </w:rPr>
        <w:t>强化核心价值引领作用。</w:t>
      </w:r>
      <w:r>
        <w:rPr>
          <w:szCs w:val="32"/>
        </w:rPr>
        <w:t>认真贯彻《新时代公民道德建设实施纲要》和《新时代爱国主义教育实施纲要》，发挥社会主义核心价值观引领风尚和凝心聚力的作用，培育和深化中国特色社会主义价值认同，打造一批社会主义核心价值观建设示范基地。加强党史、新中国史、改革开放史、社会主义发展史学习教育，深化爱国主义、集体主义、社会主义教育。广泛开展全民阅读，加快“书香钟楼”建设。</w:t>
      </w:r>
    </w:p>
    <w:p>
      <w:pPr>
        <w:spacing w:line="560" w:lineRule="exact"/>
        <w:ind w:firstLine="643"/>
        <w:rPr>
          <w:szCs w:val="32"/>
        </w:rPr>
      </w:pPr>
      <w:r>
        <w:rPr>
          <w:b/>
          <w:bCs/>
          <w:szCs w:val="32"/>
        </w:rPr>
        <w:t>构筑道德风尚建设高地。</w:t>
      </w:r>
      <w:r>
        <w:rPr>
          <w:szCs w:val="32"/>
        </w:rPr>
        <w:t>实施公民道德建设提升工程，深化道德讲堂品牌建设，实现新时代文明实践中心（所、站）镇（街道）、村（社区）全覆盖，打造“常人尚德”精神文明高地。组织实施“时间银行”志愿服务平台等志愿服务品牌提升工程，加快推进志愿服务发展中心、志愿服务标准化站点建设，实现志愿服务的精准对接，注册志愿者占城镇人口比重争取达到20%。加强未成年人思想道德建设，加强理想信念教育、中华优秀传统文化教育、文明礼仪教育，发展区级未成年人社会基地不少于30家，形成红色传承、民俗传习、诵读传讲、爱心传递、科技传播、健康传导等基地矩阵，建设未成年人心理健康服务体系，完善社会实践教育网络。大力弘扬劳动精神、劳模精神和工匠精神，积极选树时代楷模、道德楷模、龙城先锋、最美常州人、优秀志愿者等各类典型</w:t>
      </w:r>
      <w:r>
        <w:rPr>
          <w:rFonts w:eastAsia="宋体"/>
          <w:szCs w:val="32"/>
        </w:rPr>
        <w:t>。</w:t>
      </w:r>
    </w:p>
    <w:p>
      <w:pPr>
        <w:spacing w:line="560" w:lineRule="exact"/>
        <w:ind w:firstLine="643"/>
        <w:rPr>
          <w:szCs w:val="32"/>
        </w:rPr>
      </w:pPr>
      <w:r>
        <w:rPr>
          <w:b/>
          <w:bCs/>
          <w:szCs w:val="32"/>
        </w:rPr>
        <w:t>推进“常州精神”在钟楼实践发展。</w:t>
      </w:r>
      <w:r>
        <w:rPr>
          <w:szCs w:val="32"/>
        </w:rPr>
        <w:t>丰富“勇争一流、耻为二手”的新时代常州精神，推进“攻坚克难、苦干实干”钟楼实践，不断凝聚共同理想、价值追求和文化认同，强化“干则一流、出则精品”的实绩导向。组织先进典型开展“传帮带”，利用“巡讲+服务”“线上+线下”的多元宣传形式，积极在全区范围内开展各类弘扬“常州精神”和“钟楼实践”的学习宣传活动、主题实践活动及公益宣传活动</w:t>
      </w:r>
      <w:r>
        <w:rPr>
          <w:rFonts w:eastAsia="宋体"/>
          <w:szCs w:val="32"/>
        </w:rPr>
        <w:t>。</w:t>
      </w:r>
    </w:p>
    <w:p>
      <w:pPr>
        <w:spacing w:line="560" w:lineRule="exact"/>
        <w:ind w:firstLine="643"/>
        <w:rPr>
          <w:szCs w:val="32"/>
        </w:rPr>
      </w:pPr>
      <w:r>
        <w:rPr>
          <w:b/>
          <w:bCs/>
          <w:szCs w:val="32"/>
        </w:rPr>
        <w:t>提升全域文明建设水平。</w:t>
      </w:r>
      <w:r>
        <w:rPr>
          <w:szCs w:val="32"/>
        </w:rPr>
        <w:t>持续加强全域文明城市建设，深入开展交通秩序提升、集贸市场及周边秩序提升、老旧小区改造等专项行动，着力提高文明城市建设精细化常态化水平。深化群众性精神文明创建，扎实开展“爱我常州、建设家乡”活动，深入开展文明行为习惯养成行动，加快《常州市文明行为促进条例》落地见效</w:t>
      </w:r>
      <w:r>
        <w:rPr>
          <w:rFonts w:eastAsia="宋体"/>
          <w:szCs w:val="32"/>
        </w:rPr>
        <w:t>。</w:t>
      </w:r>
    </w:p>
    <w:p>
      <w:pPr>
        <w:pStyle w:val="6"/>
        <w:spacing w:before="156" w:after="156"/>
        <w:rPr>
          <w:rFonts w:eastAsia="楷体_GB2312"/>
          <w:b w:val="0"/>
          <w:bCs w:val="0"/>
        </w:rPr>
      </w:pPr>
      <w:bookmarkStart w:id="66" w:name="_Toc5250"/>
      <w:r>
        <w:rPr>
          <w:rFonts w:eastAsia="楷体_GB2312"/>
          <w:b w:val="0"/>
          <w:bCs w:val="0"/>
        </w:rPr>
        <w:t>第三节 建成苏南城区治理引领区</w:t>
      </w:r>
      <w:bookmarkEnd w:id="66"/>
    </w:p>
    <w:p>
      <w:pPr>
        <w:ind w:firstLine="643"/>
      </w:pPr>
      <w:r>
        <w:rPr>
          <w:b/>
          <w:bCs/>
        </w:rPr>
        <w:t>完善社会治理体系。</w:t>
      </w:r>
      <w:r>
        <w:t>推动区域社会治理现代化建设，建立健全主管部门牵头，相关部门协作的全区域、跨行业矛盾风险联动处置、综合治理机制，将综治、网格、城管“12345”、应急等多中心合并升级为区域治理现代化指挥中心，实现资源要素集成管理、全区联动、融合发展“一中心指挥调度”模式。依托新一代雪亮技防工程，推进智能化技防城建设，筑牢社会治安屏障，形成“第一时间发现问题、高效迅速解决问题”的治理能力。推动网格化社会治理集成改革和规范运行，加强网格员队伍建设，完善绩效考核制度，优化网格事项，利用“苏证通”建设契机，将综合网格的服务管理延伸至专属网格。加快推进新一轮派出所营房建设，打造“平安前哨”一体化站室，搭建“民警+网格员”的力量体系，推动“网格+警格”建设项目。</w:t>
      </w:r>
    </w:p>
    <w:p>
      <w:pPr>
        <w:ind w:firstLine="643"/>
      </w:pPr>
      <w:r>
        <w:rPr>
          <w:b/>
          <w:bCs/>
        </w:rPr>
        <w:t>优化基层治理格局。</w:t>
      </w:r>
      <w:r>
        <w:rPr>
          <w:szCs w:val="32"/>
        </w:rPr>
        <w:t>深入推进“一居一品”工程，打造一批精品特色社区。提炼推广一批社区“微自治”、社区工作法、社区优秀服务案例，健全“三治融合”基层群众自治机制，加快构建人人有责、人人尽责、人人享有的基层社会治理共同体。以“三岗十八级”为内核，健全薪酬提升机制，加强城乡社区工作者职业体系建设，优化提升“全科社工”服务模式，高效建成“社工培训学院”，深入推进“333”全链式教育培训体系，提高社会治理专业化水平。探索村居专职化管理干部交流机制，畅通流动发展渠道，不断拓宽任职空间。坚持社会组织培育和监管并重，建立基层公共服务多元供给机制，完善政府购买社会组织服务机制，切实发挥行业协会商会自律功能，把钟楼打造成优秀社会组织、品牌公益项目和领军公益人才集聚区</w:t>
      </w:r>
      <w:r>
        <w:t>。</w:t>
      </w:r>
    </w:p>
    <w:p>
      <w:pPr>
        <w:ind w:firstLine="643"/>
      </w:pPr>
      <w:r>
        <w:rPr>
          <w:b/>
          <w:bCs/>
        </w:rPr>
        <w:t>创新社会治理手段。</w:t>
      </w:r>
      <w:r>
        <w:rPr>
          <w:szCs w:val="32"/>
        </w:rPr>
        <w:t>持续深化“政社互动”和社区“减负增效”工作，构建“1+4全域化”社区资源整合模式，高质量创成全国社区治理和服务创新实验区。统筹推进“撤村建居”“村居融合”，推动“三社联动”，积极打造以“睦邻会客厅”“居民议事厅”“文化展示厅”为功能定位的特色社区。推广“智慧社区”建设模式，贯彻落实“网格化+大数据+铁脚板”社会治理有关要求，构建以未来邻里、教育、健康、创业、建筑、交通、治理等场景为重点的社区集成系统。完善“社工+志愿者”联动机制，实现镇（街道）社会工作站全覆盖，打造社会工作和公益服务品牌。深化矛盾纠纷大排查大化解，加强风险防控</w:t>
      </w:r>
      <w:r>
        <w:t>。严厉打击非法宗教活动，坚决抵御境外势力利用宗教进行渗透。深入推进扫黑除恶专项斗争，深化公共安全专项整治，实行常态化排查、清单化整改、挂单化销号，进一步维护安全稳定。</w:t>
      </w:r>
    </w:p>
    <w:p>
      <w:pPr>
        <w:ind w:firstLine="643"/>
      </w:pPr>
      <w:r>
        <w:rPr>
          <w:b/>
          <w:bCs/>
        </w:rPr>
        <w:t>推进诚信钟楼建设。</w:t>
      </w:r>
      <w:r>
        <w:t>聚焦金融、商业与行政管理等领域，健全信用法治体系和标准规范，完善公共信用信息记录、征集、管理和应用等规范制度。优化信用基础设施，推进“互联网+信用”，建立统一的公共信用信息体系和管理系统，健全个人、企业、社会组织等信用信息数据库，促进信用信息和信用产品运用，推动“信用有价”落地。努力构建覆盖全域的诚信体系，建立健全“政府承诺+社会监督+失信问责”机制、信用红黑名单制度，鼓励设立各类征信机构，积极发展第三方信用中介服务市场。</w:t>
      </w:r>
    </w:p>
    <w:p>
      <w:pPr>
        <w:pStyle w:val="6"/>
        <w:spacing w:before="156" w:after="156"/>
        <w:rPr>
          <w:rFonts w:eastAsia="楷体_GB2312"/>
          <w:b w:val="0"/>
          <w:bCs w:val="0"/>
        </w:rPr>
      </w:pPr>
      <w:bookmarkStart w:id="67" w:name="_Toc31047"/>
      <w:r>
        <w:rPr>
          <w:rFonts w:eastAsia="楷体_GB2312"/>
          <w:b w:val="0"/>
          <w:bCs w:val="0"/>
        </w:rPr>
        <w:t>第四节 打造安全发展示范城区</w:t>
      </w:r>
      <w:bookmarkEnd w:id="67"/>
    </w:p>
    <w:p>
      <w:pPr>
        <w:ind w:firstLine="643"/>
      </w:pPr>
      <w:r>
        <w:rPr>
          <w:b/>
          <w:bCs/>
        </w:rPr>
        <w:t>坚守安全生产底线。</w:t>
      </w:r>
      <w:r>
        <w:t>健全安全生产责任体系，强化“党政同责、一岗双责”“三管三必须”要求，压实属地责任、部门监管责任、企业主体责任。巩固“一年小灶”专项整治成果，推进“三年大灶”专项整治行动，深入开展危化品、物流行业、“三合一”、群租房等重点行业、重点场所专项整治，建立健全安全生产长效治理机制。持续开展安全生产宣讲“五进”“安全生产月”“消防安全月”等活动，营造全社会共同参与安全生产的浓厚氛围。提升安全生产执法水平，深入推进规范执法、高效执法、精准执法，严格查处违法违规行为。</w:t>
      </w:r>
    </w:p>
    <w:p>
      <w:pPr>
        <w:ind w:firstLine="643"/>
      </w:pPr>
      <w:r>
        <w:rPr>
          <w:b/>
          <w:bCs/>
        </w:rPr>
        <w:t>狠抓食品安全监管。</w:t>
      </w:r>
      <w:r>
        <w:t>围绕食品安全示范区创建，巩固提升“安心菜场”“阳光餐饮”等食品安全成果。针对食品安全风险点，进一步加强食品安全监管，开展凌家塘批发市场食品安全提质工程，保障市民菜篮子安全。建立与经济社会发展水平相适应的地方政府储备粮储备规模、品种结构等动态调整机制，完善与对口支援地响水的粮食协作应急预案，确保粮食安全。</w:t>
      </w:r>
    </w:p>
    <w:p>
      <w:pPr>
        <w:ind w:firstLine="643"/>
      </w:pPr>
      <w:r>
        <w:rPr>
          <w:b/>
          <w:bCs/>
        </w:rPr>
        <w:t>健全公共卫生体系。</w:t>
      </w:r>
      <w:r>
        <w:t>加强公共卫生体系建设，提高公共卫生人员待遇，全力改善基础设施条件，加快推进区公共卫生中心建设，完善城市传染病防治网络。健全公共卫生应急管理体系，增强基层医疗服务能力。依托国家健康医疗大数据（东部）中心，更好发挥大数据、人工智能、云计算等数字技术在疫情监测分析、防控救治、资源调配等方面的支撑作用。</w:t>
      </w:r>
    </w:p>
    <w:p>
      <w:pPr>
        <w:ind w:firstLine="643"/>
      </w:pPr>
      <w:r>
        <w:rPr>
          <w:b/>
          <w:bCs/>
        </w:rPr>
        <w:t>防范化解重大风险。</w:t>
      </w:r>
      <w:r>
        <w:t>深化风险防控四项机制，提高预测预警预防能力，加强情报信息研判，研究分析涉稳形势、完善社会风险评估机制，发挥稳评在社会风险矛盾化解中的基础性作用。完善防范化解和妥善处置群体性事件各项工作机制，发挥指标体系预警作用，加强分析研究，提高快速妥善处置能力。提升金融风险防范和化解能力，严厉打击非法金融活动，稳步压降政府性债务，确保不发生系统性风险。利用“苏稳通”平台，及时部署重点工作、解决重大问题，有效化解群体性事件风险隐患。完善网信工作基础数据库，常态化开展网络安全监测，确保不发生重大网络安全事件。加强流动人口和特殊人群服务管理，开展群租房、危爆物品、寄递物流、重点目标等专项整治，加强重点物品、重点场所、重点行业、新业态新技术新领域等安全监管。</w:t>
      </w:r>
    </w:p>
    <w:p>
      <w:pPr>
        <w:ind w:firstLine="643"/>
      </w:pPr>
      <w:r>
        <w:rPr>
          <w:b/>
          <w:bCs/>
        </w:rPr>
        <w:t>完善应急管理机制。</w:t>
      </w:r>
      <w:r>
        <w:t>建设区应急指挥中心，以信息化、智能化为杠杆培育应急管理综合能力，实现管理便捷高效，灾害事故处置快速。开展自然灾害综合风险普查，摸清灾害风险隐患底数。加强救援队伍建设，建立救援力量参与应急救援的工作机制、评价机制、共训共练机制。加快推进应急管理能力现代化建设，加强应急物资保障体系建设，提升重大突发事件处置能力。</w:t>
      </w:r>
    </w:p>
    <w:bookmarkEnd w:id="54"/>
    <w:p>
      <w:pPr>
        <w:pStyle w:val="4"/>
        <w:spacing w:before="624" w:after="312"/>
        <w:rPr>
          <w:rFonts w:eastAsia="方正小标宋简体"/>
          <w:b w:val="0"/>
          <w:bCs w:val="0"/>
          <w:sz w:val="44"/>
        </w:rPr>
      </w:pPr>
      <w:bookmarkStart w:id="68" w:name="_Toc1304"/>
      <w:r>
        <w:rPr>
          <w:rFonts w:eastAsia="方正小标宋简体"/>
          <w:b w:val="0"/>
          <w:bCs w:val="0"/>
          <w:sz w:val="44"/>
        </w:rPr>
        <w:t>第三篇 凝心聚力构建高质量发展新优势</w:t>
      </w:r>
      <w:bookmarkEnd w:id="68"/>
    </w:p>
    <w:p>
      <w:pPr>
        <w:pStyle w:val="5"/>
        <w:spacing w:before="312" w:after="156"/>
        <w:rPr>
          <w:rFonts w:ascii="Times New Roman" w:hAnsi="Times New Roman" w:eastAsia="黑体"/>
        </w:rPr>
      </w:pPr>
      <w:bookmarkStart w:id="69" w:name="_Toc1078"/>
      <w:r>
        <w:rPr>
          <w:rFonts w:ascii="Times New Roman" w:hAnsi="Times New Roman" w:eastAsia="黑体"/>
        </w:rPr>
        <w:t>第十四章  坚持和加强党的全面领导</w:t>
      </w:r>
      <w:bookmarkEnd w:id="69"/>
    </w:p>
    <w:p>
      <w:pPr>
        <w:ind w:firstLine="640"/>
        <w:jc w:val="left"/>
        <w:rPr>
          <w:bCs/>
          <w:szCs w:val="32"/>
        </w:rPr>
      </w:pPr>
      <w:r>
        <w:rPr>
          <w:bCs/>
          <w:szCs w:val="32"/>
        </w:rPr>
        <w:t>坚持党对一切工作的领导，充分发挥党总揽全局、协调各方的领导核心作用，构建“不忘初心、牢记使命”长效机制，增强“四个意识”，坚定“四个自信”，做到“两个维护”，把党的领导落实到“十四五”规划组织实施各方面各环节。</w:t>
      </w:r>
      <w:r>
        <w:rPr>
          <w:szCs w:val="32"/>
        </w:rPr>
        <w:t>坚定不移深化全面从严治党，健全党统一领导、全面覆盖、权威高效的监督体系，形成决策科学、执行坚决、监督有力的权力运行机制，营造风清气正的良好政治生态。</w:t>
      </w:r>
    </w:p>
    <w:p>
      <w:pPr>
        <w:ind w:firstLine="640"/>
        <w:jc w:val="left"/>
        <w:rPr>
          <w:bCs/>
          <w:szCs w:val="32"/>
        </w:rPr>
      </w:pPr>
      <w:r>
        <w:rPr>
          <w:bCs/>
          <w:szCs w:val="32"/>
        </w:rPr>
        <w:t>加强思想政治引领。坚持马克思主义在意识形态领域指导地位的根本制度，用习近平新时代中国特色社会主义思想定向领航，</w:t>
      </w:r>
      <w:r>
        <w:rPr>
          <w:szCs w:val="32"/>
        </w:rPr>
        <w:t>学习贯彻党的十九大、十九届二中、三中、四中、五中全会精神和习近平总书记在视察江苏时的讲话精神，</w:t>
      </w:r>
      <w:r>
        <w:rPr>
          <w:bCs/>
          <w:szCs w:val="32"/>
        </w:rPr>
        <w:t>完善理论武装工作体系，创新传播手段和表达方式，</w:t>
      </w:r>
      <w:r>
        <w:rPr>
          <w:szCs w:val="32"/>
        </w:rPr>
        <w:t>加强党报党刊主阵地运用，进一步发挥“学习强国”学习平台的作用，办好“觅渡学堂”，深化“学习书香下午茶”活动品牌化建设</w:t>
      </w:r>
      <w:r>
        <w:rPr>
          <w:bCs/>
          <w:szCs w:val="32"/>
        </w:rPr>
        <w:t>。推动理想信念教育常态化、制度化，推进党的创新理论通俗化大众化。加强全民国防教育，提高全民国防意识。</w:t>
      </w:r>
    </w:p>
    <w:p>
      <w:pPr>
        <w:ind w:firstLine="640"/>
        <w:jc w:val="left"/>
        <w:rPr>
          <w:bCs/>
          <w:szCs w:val="32"/>
        </w:rPr>
      </w:pPr>
      <w:r>
        <w:rPr>
          <w:bCs/>
          <w:szCs w:val="32"/>
        </w:rPr>
        <w:t>加强领导班子和干部队伍建设。强化实绩导向、基层导向，调动各级干部干事创业的积极性、主动性、创造性，打造忠诚干净担当的高素质干部队伍，形成“干部为事业担当、组织为干部担当”的良好发展氛围，为实现钟楼“十四五”规划提供坚强保证。</w:t>
      </w:r>
    </w:p>
    <w:p>
      <w:pPr>
        <w:ind w:firstLine="640"/>
      </w:pPr>
      <w:r>
        <w:rPr>
          <w:bCs/>
          <w:szCs w:val="32"/>
        </w:rPr>
        <w:t>创新形态、深化改革，巩固和发展最广泛的爱国统一战线，注重发挥工会、共青团、妇联等群团组织作用，广泛团结民主党派、工商联和无党派人士等一切可以团结的力量，充分调动一切积极因素，最大限度凝聚全社会智慧共识，形成推动钟楼“十四五”发展的强大合力</w:t>
      </w:r>
      <w:r>
        <w:t>。</w:t>
      </w:r>
    </w:p>
    <w:p>
      <w:pPr>
        <w:pStyle w:val="5"/>
        <w:spacing w:before="312" w:after="156"/>
        <w:rPr>
          <w:rFonts w:ascii="Times New Roman" w:hAnsi="Times New Roman" w:eastAsia="黑体"/>
        </w:rPr>
      </w:pPr>
      <w:bookmarkStart w:id="70" w:name="_Toc27738"/>
      <w:r>
        <w:rPr>
          <w:rFonts w:ascii="Times New Roman" w:hAnsi="Times New Roman" w:eastAsia="黑体"/>
        </w:rPr>
        <w:t>第十五章  保障规划实施</w:t>
      </w:r>
      <w:bookmarkEnd w:id="70"/>
    </w:p>
    <w:p>
      <w:pPr>
        <w:ind w:firstLine="640"/>
        <w:rPr>
          <w:bCs/>
          <w:szCs w:val="32"/>
        </w:rPr>
      </w:pPr>
      <w:r>
        <w:rPr>
          <w:bCs/>
          <w:szCs w:val="32"/>
        </w:rPr>
        <w:t>坚持以规划确定项目、以项目落实规划，围绕产业发展、社会民生、生态治理、基础设施等领域，组织实施一批重大项目。强化资金、土地等要素保障，优化财政支出结构和政府投资结构，鼓励和引导社会资本投资重大项目，优先满足资金需求，优先保证重大产业项目、重大基础设施、重大民生工程的资金和用地需求。加强重大项目管理。完善重大项目储备机制、管理机制、协调机制、评估机制，加快项目落地，保障项目建设质量。</w:t>
      </w:r>
    </w:p>
    <w:p>
      <w:pPr>
        <w:ind w:firstLine="640"/>
      </w:pPr>
      <w:r>
        <w:t>加强本规划纲要与总体发展规划、国土空间规划、各专项规划的衔接，完善区级规划体系建设。健全规划管理衔接协调机制，统筹制定规划实施方案，明确实施责任，落实实施进度与年度工作计划。加强政策配套与引导，研究制定规划实施的财政、金融、税收、价格、投资、产业、土地、人口、环保等相关配套政策，加强项目实施的要素保障，合理配置公共资源，有效引导社会资源，确保规划有效实施。</w:t>
      </w:r>
    </w:p>
    <w:p>
      <w:pPr>
        <w:ind w:firstLine="640"/>
      </w:pPr>
      <w:r>
        <w:rPr>
          <w:bCs/>
          <w:szCs w:val="32"/>
        </w:rPr>
        <w:t>加强规划监测评估，开展对规划指标、政策措施和重大项目实施情况的跟踪监测分析。分解落实指标到部门、镇（街道），实行规划目标责任制，强化规划专家论证、社会评议、年度执行情况分析、中期评估等评估机制。畅通监督渠道，发挥纪委监委、组织人事等部门的监督作用，完善政府向人大、政协的报告和沟通机制。坚持单位自评和统计部门监测相结合，综合运用定量考核与定性评估方法，探索引入第三方评估，提高规划评估考核的科学性、客观性。</w:t>
      </w:r>
    </w:p>
    <w:p>
      <w:pPr>
        <w:pStyle w:val="5"/>
        <w:spacing w:before="312" w:after="156"/>
        <w:rPr>
          <w:rFonts w:ascii="Times New Roman" w:hAnsi="Times New Roman" w:eastAsia="黑体"/>
        </w:rPr>
      </w:pPr>
      <w:bookmarkStart w:id="71" w:name="_Toc23531"/>
      <w:r>
        <w:rPr>
          <w:rFonts w:ascii="Times New Roman" w:hAnsi="Times New Roman" w:eastAsia="黑体"/>
        </w:rPr>
        <w:t>第十六章  凝聚社会力量</w:t>
      </w:r>
      <w:bookmarkEnd w:id="71"/>
    </w:p>
    <w:p>
      <w:pPr>
        <w:ind w:firstLine="640"/>
        <w:rPr>
          <w:bCs/>
          <w:szCs w:val="32"/>
        </w:rPr>
      </w:pPr>
      <w:r>
        <w:rPr>
          <w:bCs/>
          <w:szCs w:val="32"/>
        </w:rPr>
        <w:t>坚持开门问策、集思广益，把加强顶层设计和问计于民统一起来，完善协商民主制度和工作机制、重大决策专家咨询和公众建言机制、政府与企业社会的互动机制，充分听取“两代表一委员”、专家学者、企业家和人民群众的意见，构建全民参与的社会行动体系，充分发挥社会各界的积极性、主动性和创造性，形成全区人民群策群力、共建共享的生动局面。充分发挥科研机构、智库等对规划编制实施的辅助支持作用。</w:t>
      </w:r>
    </w:p>
    <w:p>
      <w:pPr>
        <w:ind w:firstLine="640"/>
      </w:pPr>
      <w:r>
        <w:rPr>
          <w:bCs/>
          <w:szCs w:val="32"/>
        </w:rPr>
        <w:t>加强规划民主监督，发挥社会各界对规划实施情况的监督作用，畅通公众参与规划实施与监督渠道，积极开展公众评价。发挥新闻媒体、群众社团的桥梁和监督作用，增强公众对规划的认知、认可和认同，调动全社会力量共同参与规划实施，主动接受全社会监督。</w:t>
      </w:r>
    </w:p>
    <w:p>
      <w:pPr>
        <w:ind w:left="640" w:firstLine="0" w:firstLineChars="0"/>
      </w:pPr>
      <w:bookmarkStart w:id="72" w:name="_Toc14753"/>
    </w:p>
    <w:p>
      <w:pPr>
        <w:ind w:left="640" w:firstLine="0" w:firstLineChars="0"/>
      </w:pPr>
    </w:p>
    <w:bookmarkEnd w:id="72"/>
    <w:p>
      <w:pPr>
        <w:ind w:left="640" w:firstLine="0" w:firstLineChars="0"/>
        <w:rPr>
          <w:rFonts w:hint="eastAsia"/>
        </w:rPr>
      </w:pPr>
    </w:p>
    <w:p>
      <w:pPr>
        <w:ind w:left="640" w:firstLine="0" w:firstLineChars="0"/>
        <w:rPr>
          <w:rFonts w:hint="eastAsia"/>
        </w:rPr>
      </w:pPr>
    </w:p>
    <w:p>
      <w:pPr>
        <w:pStyle w:val="3"/>
        <w:ind w:firstLine="360"/>
        <w:rPr>
          <w:rFonts w:hint="eastAsia"/>
          <w:lang w:bidi="ar"/>
        </w:rPr>
      </w:pPr>
    </w:p>
    <w:p>
      <w:pPr>
        <w:ind w:firstLine="0" w:firstLineChars="0"/>
        <w:rPr>
          <w:rFonts w:hint="eastAsia"/>
        </w:rPr>
      </w:pPr>
    </w:p>
    <w:sectPr>
      <w:pgSz w:w="11906" w:h="16838"/>
      <w:pgMar w:top="2098" w:right="1531" w:bottom="1985" w:left="1531" w:header="851" w:footer="1361"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61" w:wrap="around" w:vAnchor="text" w:hAnchor="margin" w:xAlign="outside" w:y="1"/>
      <w:ind w:firstLine="0" w:firstLineChars="0"/>
      <w:jc w:val="center"/>
      <w:rPr>
        <w:rStyle w:val="19"/>
        <w:rFonts w:hint="eastAsia" w:ascii="宋体" w:hAnsi="宋体" w:eastAsia="宋体"/>
        <w:sz w:val="28"/>
        <w:szCs w:val="28"/>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19"/>
      </w:rPr>
    </w:pPr>
    <w:r>
      <w:fldChar w:fldCharType="begin"/>
    </w:r>
    <w:r>
      <w:rPr>
        <w:rStyle w:val="1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5715" b="10795"/>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ind w:firstLine="360"/>
                          </w:pPr>
                          <w:r>
                            <w:rPr>
                              <w:rFonts w:hint="eastAsia"/>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ind w:firstLine="360"/>
                    </w:pPr>
                    <w:r>
                      <w:rPr>
                        <w:rFonts w:hint="eastAsia"/>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61" w:wrap="around" w:vAnchor="text" w:hAnchor="margin" w:xAlign="outside" w:y="1"/>
      <w:ind w:firstLine="0" w:firstLineChars="0"/>
      <w:jc w:val="center"/>
      <w:rPr>
        <w:rStyle w:val="19"/>
        <w:rFonts w:hint="eastAsia" w:ascii="宋体" w:hAnsi="宋体" w:eastAsia="宋体"/>
        <w:sz w:val="28"/>
        <w:szCs w:val="28"/>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6</w:t>
    </w:r>
    <w:r>
      <w:rPr>
        <w:rFonts w:ascii="宋体" w:hAnsi="宋体" w:eastAsia="宋体"/>
        <w:sz w:val="28"/>
        <w:szCs w:val="28"/>
      </w:rPr>
      <w:fldChar w:fldCharType="end"/>
    </w:r>
    <w:r>
      <w:rPr>
        <w:rStyle w:val="19"/>
        <w:rFonts w:hint="eastAsia" w:ascii="宋体" w:hAnsi="宋体" w:eastAsia="宋体"/>
        <w:sz w:val="28"/>
        <w:szCs w:val="28"/>
      </w:rPr>
      <w:t xml:space="preserve"> —</w:t>
    </w:r>
  </w:p>
  <w:p>
    <w:pPr>
      <w:pStyle w:val="3"/>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19"/>
      </w:rPr>
    </w:pPr>
    <w:r>
      <w:fldChar w:fldCharType="begin"/>
    </w:r>
    <w:r>
      <w:rPr>
        <w:rStyle w:val="19"/>
      </w:rPr>
      <w:instrText xml:space="preserve">PAGE  </w:instrText>
    </w:r>
    <w: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0" w:firstLineChars="0"/>
      <w:jc w:val="center"/>
      <w:rPr>
        <w:rStyle w:val="19"/>
        <w:rFonts w:hint="eastAsia" w:ascii="宋体" w:hAnsi="宋体" w:eastAsia="宋体"/>
        <w:sz w:val="28"/>
        <w:szCs w:val="28"/>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23</w:t>
    </w:r>
    <w:r>
      <w:rPr>
        <w:rFonts w:ascii="宋体" w:hAnsi="宋体" w:eastAsia="宋体"/>
        <w:sz w:val="28"/>
        <w:szCs w:val="28"/>
      </w:rPr>
      <w:fldChar w:fldCharType="end"/>
    </w:r>
    <w:r>
      <w:rPr>
        <w:rStyle w:val="19"/>
        <w:rFonts w:hint="eastAsia" w:ascii="宋体" w:hAnsi="宋体" w:eastAsia="宋体"/>
        <w:sz w:val="28"/>
        <w:szCs w:val="28"/>
      </w:rPr>
      <w:t xml:space="preserve"> —</w:t>
    </w:r>
  </w:p>
  <w:p>
    <w:pPr>
      <w:pStyle w:val="3"/>
      <w:spacing w:after="120"/>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5ZDVhZTQ4ODJmM2QzOWNhMGQzM2YyZjliYTI1YTUifQ=="/>
  </w:docVars>
  <w:rsids>
    <w:rsidRoot w:val="007C3570"/>
    <w:rsid w:val="002D5624"/>
    <w:rsid w:val="007C3570"/>
    <w:rsid w:val="1BEE4940"/>
    <w:rsid w:val="4573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7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5"/>
    <w:qFormat/>
    <w:uiPriority w:val="9"/>
    <w:pPr>
      <w:keepNext/>
      <w:keepLines/>
      <w:spacing w:before="200" w:beforeLines="200" w:after="100" w:afterLines="100"/>
      <w:ind w:firstLine="0" w:firstLineChars="0"/>
      <w:jc w:val="center"/>
      <w:outlineLvl w:val="0"/>
    </w:pPr>
    <w:rPr>
      <w:rFonts w:eastAsia="华文中宋"/>
      <w:b/>
      <w:bCs/>
      <w:kern w:val="44"/>
      <w:sz w:val="36"/>
      <w:szCs w:val="44"/>
    </w:rPr>
  </w:style>
  <w:style w:type="paragraph" w:styleId="5">
    <w:name w:val="heading 2"/>
    <w:basedOn w:val="1"/>
    <w:next w:val="1"/>
    <w:link w:val="26"/>
    <w:qFormat/>
    <w:uiPriority w:val="9"/>
    <w:pPr>
      <w:keepNext/>
      <w:keepLines/>
      <w:spacing w:before="100" w:beforeLines="100" w:after="50" w:afterLines="50"/>
      <w:ind w:firstLine="0" w:firstLineChars="0"/>
      <w:jc w:val="center"/>
      <w:outlineLvl w:val="1"/>
    </w:pPr>
    <w:rPr>
      <w:rFonts w:ascii="等线 Light" w:hAnsi="等线 Light" w:eastAsia="方正黑体_GBK"/>
      <w:bCs/>
      <w:szCs w:val="32"/>
    </w:rPr>
  </w:style>
  <w:style w:type="paragraph" w:styleId="6">
    <w:name w:val="heading 3"/>
    <w:basedOn w:val="1"/>
    <w:next w:val="1"/>
    <w:link w:val="27"/>
    <w:qFormat/>
    <w:uiPriority w:val="9"/>
    <w:pPr>
      <w:keepNext/>
      <w:keepLines/>
      <w:spacing w:before="50" w:beforeLines="50" w:after="50" w:afterLines="50"/>
      <w:ind w:firstLine="0" w:firstLineChars="0"/>
      <w:jc w:val="center"/>
      <w:outlineLvl w:val="2"/>
    </w:pPr>
    <w:rPr>
      <w:rFonts w:eastAsia="方正楷体_GBK"/>
      <w:b/>
      <w:bCs/>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header"/>
    <w:basedOn w:val="1"/>
    <w:next w:val="3"/>
    <w:link w:val="28"/>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3">
    <w:name w:val="footer"/>
    <w:basedOn w:val="1"/>
    <w:link w:val="29"/>
    <w:unhideWhenUsed/>
    <w:qFormat/>
    <w:uiPriority w:val="99"/>
    <w:pPr>
      <w:tabs>
        <w:tab w:val="center" w:pos="4153"/>
        <w:tab w:val="right" w:pos="8306"/>
      </w:tabs>
      <w:spacing w:line="240" w:lineRule="auto"/>
      <w:jc w:val="left"/>
    </w:pPr>
    <w:rPr>
      <w:sz w:val="18"/>
      <w:szCs w:val="18"/>
    </w:rPr>
  </w:style>
  <w:style w:type="paragraph" w:styleId="7">
    <w:name w:val="annotation text"/>
    <w:basedOn w:val="1"/>
    <w:link w:val="30"/>
    <w:unhideWhenUsed/>
    <w:qFormat/>
    <w:uiPriority w:val="99"/>
    <w:pPr>
      <w:jc w:val="left"/>
    </w:pPr>
  </w:style>
  <w:style w:type="paragraph" w:styleId="8">
    <w:name w:val="Body Text"/>
    <w:basedOn w:val="1"/>
    <w:link w:val="31"/>
    <w:qFormat/>
    <w:uiPriority w:val="0"/>
    <w:pPr>
      <w:snapToGrid/>
      <w:spacing w:after="120"/>
    </w:pPr>
  </w:style>
  <w:style w:type="paragraph" w:styleId="9">
    <w:name w:val="toc 3"/>
    <w:basedOn w:val="1"/>
    <w:next w:val="1"/>
    <w:unhideWhenUsed/>
    <w:qFormat/>
    <w:uiPriority w:val="39"/>
    <w:pPr>
      <w:widowControl/>
      <w:spacing w:after="100" w:line="259" w:lineRule="auto"/>
      <w:ind w:left="440" w:firstLine="0" w:firstLineChars="0"/>
      <w:jc w:val="left"/>
    </w:pPr>
    <w:rPr>
      <w:rFonts w:ascii="等线" w:hAnsi="等线" w:eastAsia="等线"/>
      <w:kern w:val="0"/>
      <w:sz w:val="22"/>
      <w:szCs w:val="22"/>
    </w:rPr>
  </w:style>
  <w:style w:type="paragraph" w:styleId="10">
    <w:name w:val="Balloon Text"/>
    <w:basedOn w:val="1"/>
    <w:link w:val="32"/>
    <w:unhideWhenUsed/>
    <w:qFormat/>
    <w:uiPriority w:val="99"/>
    <w:pPr>
      <w:spacing w:line="240" w:lineRule="auto"/>
    </w:pPr>
    <w:rPr>
      <w:sz w:val="18"/>
      <w:szCs w:val="18"/>
    </w:rPr>
  </w:style>
  <w:style w:type="paragraph" w:styleId="11">
    <w:name w:val="toc 1"/>
    <w:basedOn w:val="1"/>
    <w:next w:val="1"/>
    <w:unhideWhenUsed/>
    <w:qFormat/>
    <w:uiPriority w:val="39"/>
    <w:pPr>
      <w:widowControl/>
      <w:tabs>
        <w:tab w:val="right" w:leader="dot" w:pos="8296"/>
      </w:tabs>
      <w:spacing w:after="100" w:line="259" w:lineRule="auto"/>
      <w:ind w:firstLine="0" w:firstLineChars="0"/>
      <w:jc w:val="left"/>
    </w:pPr>
    <w:rPr>
      <w:rFonts w:ascii="仿宋" w:hAnsi="仿宋" w:eastAsia="仿宋"/>
      <w:b/>
      <w:bCs/>
      <w:kern w:val="0"/>
      <w:sz w:val="28"/>
      <w:szCs w:val="28"/>
    </w:rPr>
  </w:style>
  <w:style w:type="paragraph" w:styleId="12">
    <w:name w:val="footnote text"/>
    <w:basedOn w:val="1"/>
    <w:link w:val="33"/>
    <w:unhideWhenUsed/>
    <w:qFormat/>
    <w:uiPriority w:val="99"/>
    <w:pPr>
      <w:jc w:val="left"/>
    </w:pPr>
    <w:rPr>
      <w:sz w:val="18"/>
      <w:szCs w:val="18"/>
    </w:rPr>
  </w:style>
  <w:style w:type="paragraph" w:styleId="13">
    <w:name w:val="toc 2"/>
    <w:basedOn w:val="1"/>
    <w:next w:val="1"/>
    <w:unhideWhenUsed/>
    <w:qFormat/>
    <w:uiPriority w:val="39"/>
    <w:pPr>
      <w:widowControl/>
      <w:spacing w:after="100" w:line="259" w:lineRule="auto"/>
      <w:ind w:left="220" w:firstLine="0" w:firstLineChars="0"/>
      <w:jc w:val="left"/>
    </w:pPr>
    <w:rPr>
      <w:rFonts w:ascii="等线" w:hAnsi="等线" w:eastAsia="等线"/>
      <w:kern w:val="0"/>
      <w:sz w:val="22"/>
      <w:szCs w:val="22"/>
    </w:rPr>
  </w:style>
  <w:style w:type="paragraph" w:styleId="14">
    <w:name w:val="Normal (Web)"/>
    <w:basedOn w:val="1"/>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styleId="15">
    <w:name w:val="annotation subject"/>
    <w:basedOn w:val="7"/>
    <w:next w:val="7"/>
    <w:link w:val="34"/>
    <w:unhideWhenUsed/>
    <w:qFormat/>
    <w:uiPriority w:val="99"/>
    <w:rPr>
      <w:b/>
      <w:bCs/>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uiPriority w:val="0"/>
  </w:style>
  <w:style w:type="character" w:styleId="20">
    <w:name w:val="FollowedHyperlink"/>
    <w:basedOn w:val="18"/>
    <w:unhideWhenUsed/>
    <w:qFormat/>
    <w:uiPriority w:val="99"/>
    <w:rPr>
      <w:color w:val="954F72"/>
      <w:u w:val="single"/>
    </w:rPr>
  </w:style>
  <w:style w:type="character" w:styleId="21">
    <w:name w:val="Emphasis"/>
    <w:basedOn w:val="18"/>
    <w:qFormat/>
    <w:uiPriority w:val="20"/>
    <w:rPr>
      <w:i/>
    </w:rPr>
  </w:style>
  <w:style w:type="character" w:styleId="22">
    <w:name w:val="Hyperlink"/>
    <w:basedOn w:val="18"/>
    <w:unhideWhenUsed/>
    <w:qFormat/>
    <w:uiPriority w:val="99"/>
    <w:rPr>
      <w:color w:val="0563C1"/>
      <w:u w:val="single"/>
    </w:rPr>
  </w:style>
  <w:style w:type="character" w:styleId="23">
    <w:name w:val="annotation reference"/>
    <w:basedOn w:val="18"/>
    <w:unhideWhenUsed/>
    <w:qFormat/>
    <w:uiPriority w:val="99"/>
    <w:rPr>
      <w:sz w:val="21"/>
      <w:szCs w:val="21"/>
    </w:rPr>
  </w:style>
  <w:style w:type="character" w:styleId="24">
    <w:name w:val="footnote reference"/>
    <w:basedOn w:val="18"/>
    <w:unhideWhenUsed/>
    <w:qFormat/>
    <w:uiPriority w:val="99"/>
    <w:rPr>
      <w:vertAlign w:val="superscript"/>
    </w:rPr>
  </w:style>
  <w:style w:type="character" w:customStyle="1" w:styleId="25">
    <w:name w:val="标题 1 Char"/>
    <w:basedOn w:val="18"/>
    <w:link w:val="4"/>
    <w:qFormat/>
    <w:uiPriority w:val="9"/>
    <w:rPr>
      <w:rFonts w:ascii="Times New Roman" w:hAnsi="Times New Roman" w:eastAsia="华文中宋" w:cs="Times New Roman"/>
      <w:b/>
      <w:bCs/>
      <w:kern w:val="44"/>
      <w:sz w:val="36"/>
      <w:szCs w:val="44"/>
    </w:rPr>
  </w:style>
  <w:style w:type="character" w:customStyle="1" w:styleId="26">
    <w:name w:val="标题 2 Char"/>
    <w:basedOn w:val="18"/>
    <w:link w:val="5"/>
    <w:qFormat/>
    <w:uiPriority w:val="9"/>
    <w:rPr>
      <w:rFonts w:ascii="等线 Light" w:hAnsi="等线 Light" w:eastAsia="方正黑体_GBK" w:cs="Times New Roman"/>
      <w:bCs/>
      <w:sz w:val="32"/>
      <w:szCs w:val="32"/>
    </w:rPr>
  </w:style>
  <w:style w:type="character" w:customStyle="1" w:styleId="27">
    <w:name w:val="标题 3 Char"/>
    <w:basedOn w:val="18"/>
    <w:link w:val="6"/>
    <w:qFormat/>
    <w:uiPriority w:val="9"/>
    <w:rPr>
      <w:rFonts w:ascii="Times New Roman" w:hAnsi="Times New Roman" w:eastAsia="方正楷体_GBK" w:cs="Times New Roman"/>
      <w:b/>
      <w:bCs/>
      <w:sz w:val="32"/>
      <w:szCs w:val="32"/>
    </w:rPr>
  </w:style>
  <w:style w:type="character" w:customStyle="1" w:styleId="28">
    <w:name w:val="页眉 Char"/>
    <w:basedOn w:val="18"/>
    <w:link w:val="2"/>
    <w:qFormat/>
    <w:uiPriority w:val="99"/>
    <w:rPr>
      <w:rFonts w:ascii="Times New Roman" w:hAnsi="Times New Roman" w:eastAsia="仿宋_GB2312" w:cs="Times New Roman"/>
      <w:sz w:val="18"/>
      <w:szCs w:val="18"/>
    </w:rPr>
  </w:style>
  <w:style w:type="character" w:customStyle="1" w:styleId="29">
    <w:name w:val="页脚 Char"/>
    <w:basedOn w:val="18"/>
    <w:link w:val="3"/>
    <w:qFormat/>
    <w:uiPriority w:val="99"/>
    <w:rPr>
      <w:rFonts w:ascii="Times New Roman" w:hAnsi="Times New Roman" w:eastAsia="仿宋_GB2312" w:cs="Times New Roman"/>
      <w:sz w:val="18"/>
      <w:szCs w:val="18"/>
    </w:rPr>
  </w:style>
  <w:style w:type="character" w:customStyle="1" w:styleId="30">
    <w:name w:val="批注文字 Char"/>
    <w:basedOn w:val="18"/>
    <w:link w:val="7"/>
    <w:qFormat/>
    <w:uiPriority w:val="99"/>
    <w:rPr>
      <w:rFonts w:ascii="Times New Roman" w:hAnsi="Times New Roman" w:eastAsia="仿宋_GB2312" w:cs="Times New Roman"/>
      <w:sz w:val="32"/>
      <w:szCs w:val="24"/>
    </w:rPr>
  </w:style>
  <w:style w:type="character" w:customStyle="1" w:styleId="31">
    <w:name w:val="正文文本 Char"/>
    <w:basedOn w:val="18"/>
    <w:link w:val="8"/>
    <w:qFormat/>
    <w:uiPriority w:val="0"/>
    <w:rPr>
      <w:rFonts w:ascii="Times New Roman" w:hAnsi="Times New Roman" w:eastAsia="仿宋_GB2312" w:cs="Times New Roman"/>
      <w:sz w:val="32"/>
      <w:szCs w:val="24"/>
    </w:rPr>
  </w:style>
  <w:style w:type="character" w:customStyle="1" w:styleId="32">
    <w:name w:val="批注框文本 Char"/>
    <w:basedOn w:val="18"/>
    <w:link w:val="10"/>
    <w:qFormat/>
    <w:uiPriority w:val="99"/>
    <w:rPr>
      <w:rFonts w:ascii="Times New Roman" w:hAnsi="Times New Roman" w:eastAsia="仿宋_GB2312" w:cs="Times New Roman"/>
      <w:sz w:val="18"/>
      <w:szCs w:val="18"/>
    </w:rPr>
  </w:style>
  <w:style w:type="character" w:customStyle="1" w:styleId="33">
    <w:name w:val="脚注文本 Char"/>
    <w:basedOn w:val="18"/>
    <w:link w:val="12"/>
    <w:qFormat/>
    <w:uiPriority w:val="99"/>
    <w:rPr>
      <w:rFonts w:ascii="Times New Roman" w:hAnsi="Times New Roman" w:eastAsia="仿宋_GB2312" w:cs="Times New Roman"/>
      <w:sz w:val="18"/>
      <w:szCs w:val="18"/>
    </w:rPr>
  </w:style>
  <w:style w:type="character" w:customStyle="1" w:styleId="34">
    <w:name w:val="批注主题 Char"/>
    <w:basedOn w:val="30"/>
    <w:link w:val="15"/>
    <w:qFormat/>
    <w:uiPriority w:val="99"/>
    <w:rPr>
      <w:rFonts w:ascii="Times New Roman" w:hAnsi="Times New Roman" w:eastAsia="仿宋_GB2312" w:cs="Times New Roman"/>
      <w:b/>
      <w:bCs/>
      <w:sz w:val="32"/>
      <w:szCs w:val="24"/>
    </w:rPr>
  </w:style>
  <w:style w:type="character" w:customStyle="1" w:styleId="35">
    <w:name w:val="Body text|1_"/>
    <w:basedOn w:val="18"/>
    <w:link w:val="36"/>
    <w:qFormat/>
    <w:uiPriority w:val="0"/>
    <w:rPr>
      <w:rFonts w:ascii="宋体" w:hAnsi="宋体" w:cs="宋体"/>
      <w:sz w:val="28"/>
      <w:szCs w:val="28"/>
      <w:lang w:val="zh-TW" w:eastAsia="zh-TW" w:bidi="zh-TW"/>
    </w:rPr>
  </w:style>
  <w:style w:type="paragraph" w:customStyle="1" w:styleId="36">
    <w:name w:val="Body text|1"/>
    <w:basedOn w:val="1"/>
    <w:link w:val="35"/>
    <w:qFormat/>
    <w:uiPriority w:val="0"/>
    <w:pPr>
      <w:snapToGrid/>
      <w:spacing w:line="434" w:lineRule="auto"/>
      <w:ind w:firstLine="400" w:firstLineChars="0"/>
    </w:pPr>
    <w:rPr>
      <w:rFonts w:ascii="宋体" w:hAnsi="宋体" w:cs="宋体" w:eastAsiaTheme="minorEastAsia"/>
      <w:sz w:val="28"/>
      <w:szCs w:val="28"/>
      <w:lang w:val="zh-TW" w:eastAsia="zh-TW" w:bidi="zh-TW"/>
    </w:rPr>
  </w:style>
  <w:style w:type="character" w:customStyle="1" w:styleId="37">
    <w:name w:val="NormalCharacter"/>
    <w:qFormat/>
    <w:uiPriority w:val="0"/>
  </w:style>
  <w:style w:type="character" w:customStyle="1" w:styleId="38">
    <w:name w:val="正文文本 字符"/>
    <w:basedOn w:val="18"/>
    <w:semiHidden/>
    <w:qFormat/>
    <w:uiPriority w:val="99"/>
    <w:rPr>
      <w:rFonts w:ascii="Times New Roman" w:hAnsi="Times New Roman" w:eastAsia="仿宋_GB2312" w:cs="Times New Roman"/>
      <w:kern w:val="2"/>
      <w:sz w:val="30"/>
      <w:szCs w:val="24"/>
    </w:rPr>
  </w:style>
  <w:style w:type="paragraph" w:customStyle="1" w:styleId="39">
    <w:name w:val="TOC 标题1"/>
    <w:basedOn w:val="4"/>
    <w:next w:val="1"/>
    <w:unhideWhenUsed/>
    <w:qFormat/>
    <w:uiPriority w:val="39"/>
    <w:pPr>
      <w:widowControl/>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40">
    <w:name w:val="TOC 标题2"/>
    <w:basedOn w:val="4"/>
    <w:next w:val="1"/>
    <w:unhideWhenUsed/>
    <w:qFormat/>
    <w:uiPriority w:val="39"/>
    <w:pPr>
      <w:widowControl/>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41">
    <w:name w:val="List Paragraph"/>
    <w:basedOn w:val="1"/>
    <w:qFormat/>
    <w:uiPriority w:val="99"/>
    <w:pPr>
      <w:ind w:firstLine="420"/>
    </w:pPr>
  </w:style>
  <w:style w:type="paragraph" w:customStyle="1" w:styleId="42">
    <w:name w:val="Char Char Char Char"/>
    <w:basedOn w:val="1"/>
    <w:qFormat/>
    <w:uiPriority w:val="0"/>
    <w:pPr>
      <w:snapToGrid/>
      <w:spacing w:line="240" w:lineRule="auto"/>
      <w:ind w:firstLine="0" w:firstLineChars="0"/>
    </w:pPr>
    <w:rPr>
      <w:rFonts w:ascii="仿宋_GB2312"/>
      <w:b/>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85</Pages>
  <Words>7355</Words>
  <Characters>41930</Characters>
  <Lines>349</Lines>
  <Paragraphs>98</Paragraphs>
  <TotalTime>3</TotalTime>
  <ScaleCrop>false</ScaleCrop>
  <LinksUpToDate>false</LinksUpToDate>
  <CharactersWithSpaces>49187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2021-05-31T02:11:00Z</dcterms:created>
  <dc:creator>常州市钟楼区人民政府办公室</dc:creator>
  <cp:lastModifiedBy>Angelique</cp:lastModifiedBy>
  <dcterms:modified xsi:type="dcterms:W3CDTF">2022-09-06T08:34:41Z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2FEDC5045DFC4F859CBBBFEF73D12BE1</vt:lpwstr>
  </property>
</Properties>
</file>