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钟楼区</w:t>
      </w:r>
      <w:r>
        <w:rPr>
          <w:rFonts w:hint="eastAsia" w:ascii="方正小标宋简体" w:eastAsia="方正小标宋简体" w:cs="方正小标宋_GBK"/>
          <w:sz w:val="44"/>
          <w:szCs w:val="44"/>
        </w:rPr>
        <w:t>工程技术研究中心启动建设立项标准</w:t>
      </w:r>
    </w:p>
    <w:p>
      <w:pPr>
        <w:spacing w:line="560" w:lineRule="exact"/>
        <w:rPr>
          <w:rFonts w:hint="eastAsia" w:ascii="方正小标宋简体" w:eastAsia="方正小标宋简体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27" w:firstLineChars="196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（一）具有一定的经济实力，有筹措资金的能力和信誉。企业上年度销售收入不低于2500万元，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新能源企业、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农业企业和高新技术企业可以放宽至1500万元，研发投入占销售收入</w:t>
      </w:r>
      <w:r>
        <w:rPr>
          <w:rFonts w:hint="eastAsia" w:eastAsia="仿宋_GB2312"/>
          <w:sz w:val="32"/>
          <w:szCs w:val="32"/>
        </w:rPr>
        <w:t>的比重不低于</w:t>
      </w:r>
      <w:r>
        <w:rPr>
          <w:rFonts w:eastAsia="仿宋_GB2312"/>
          <w:sz w:val="32"/>
          <w:szCs w:val="32"/>
        </w:rPr>
        <w:t>2%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27" w:firstLineChars="196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（二）拥有一支技术水平高、工程化实践经验丰富、结构合理的技术和管理人才队伍，</w:t>
      </w:r>
      <w:r>
        <w:rPr>
          <w:rFonts w:hint="eastAsia" w:eastAsia="仿宋_GB2312"/>
          <w:sz w:val="32"/>
          <w:szCs w:val="32"/>
        </w:rPr>
        <w:t>其中专职研发人员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人以上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。项目负责人具有较高的专业水平以及组织管理与协调能力。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27" w:firstLineChars="196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（三）在相关技术领域具有较强的研发实力，具备承担省、市、区科技项目的能力，</w:t>
      </w:r>
      <w:r>
        <w:rPr>
          <w:rFonts w:hint="eastAsia" w:eastAsia="仿宋_GB2312"/>
          <w:sz w:val="32"/>
          <w:szCs w:val="32"/>
        </w:rPr>
        <w:t>企业拥有自主研发的有效发明专利不少于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件，软件企业软件著作权不少于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27" w:firstLineChars="19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</w:t>
      </w:r>
      <w:r>
        <w:rPr>
          <w:rFonts w:hint="eastAsia" w:eastAsia="仿宋_GB2312"/>
          <w:sz w:val="32"/>
          <w:szCs w:val="32"/>
        </w:rPr>
        <w:t>基本具备工程技术试验条件、工艺设备等基础设施和相对集中的设施场所，有必要的分析、测试手段。拥有相对独立的研究开发及工程化试验场所，面积不低于500平米。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27" w:firstLineChars="196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（五）初步形成技术创新机制，具有形成独立核算实体的条件。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7" w:firstLineChars="196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（六）对申请承担工程中心建设任务的主要依托单位要求是</w:t>
      </w:r>
      <w:r>
        <w:rPr>
          <w:rFonts w:hint="eastAsia" w:eastAsia="仿宋_GB2312"/>
          <w:sz w:val="32"/>
          <w:szCs w:val="32"/>
        </w:rPr>
        <w:t>在本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hint="eastAsia" w:eastAsia="仿宋_GB2312"/>
          <w:sz w:val="32"/>
          <w:szCs w:val="32"/>
        </w:rPr>
        <w:t>注册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年以上具有独立法人资格的企业单位。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7" w:firstLineChars="196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）研发仪器设备原值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大于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150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7" w:firstLineChars="196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709" w:footer="1361" w:gutter="0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）有明确的中长期发展计划和目标，拥有技术研发创新相适应的激励机制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StempelGaramond 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StempelGaramond Roman" w:hAnsi="StempelGaramond Roman"/>
        <w:sz w:val="28"/>
        <w:szCs w:val="28"/>
      </w:rPr>
      <w:fldChar w:fldCharType="begin"/>
    </w:r>
    <w:r>
      <w:rPr>
        <w:rFonts w:ascii="StempelGaramond Roman" w:hAnsi="StempelGaramond Roman"/>
        <w:sz w:val="28"/>
        <w:szCs w:val="28"/>
      </w:rPr>
      <w:instrText xml:space="preserve"> PAGE   \* MERGEFORMAT </w:instrText>
    </w:r>
    <w:r>
      <w:rPr>
        <w:rFonts w:ascii="StempelGaramond Roman" w:hAnsi="StempelGaramond Roman"/>
        <w:sz w:val="28"/>
        <w:szCs w:val="28"/>
      </w:rPr>
      <w:fldChar w:fldCharType="separate"/>
    </w:r>
    <w:r>
      <w:rPr>
        <w:rFonts w:ascii="StempelGaramond Roman" w:hAnsi="StempelGaramond Roman"/>
        <w:sz w:val="28"/>
        <w:szCs w:val="28"/>
        <w:lang w:val="zh-CN"/>
      </w:rPr>
      <w:t>9</w:t>
    </w:r>
    <w:r>
      <w:rPr>
        <w:rFonts w:ascii="StempelGaramond Roman" w:hAnsi="StempelGaramond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1F9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长乐未央</cp:lastModifiedBy>
  <dcterms:modified xsi:type="dcterms:W3CDTF">2023-02-27T01:44:53Z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00474E6F71B34AA39CA9C7370E3DD9CA</vt:lpwstr>
  </property>
</Properties>
</file>