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09106">
      <w:pPr>
        <w:overflowPunct w:val="0"/>
        <w:adjustRightInd w:val="0"/>
        <w:snapToGrid w:val="0"/>
        <w:spacing w:line="500" w:lineRule="exact"/>
        <w:rPr>
          <w:rFonts w:eastAsia="黑体"/>
          <w:sz w:val="32"/>
          <w:szCs w:val="32"/>
        </w:rPr>
      </w:pPr>
      <w:r>
        <w:rPr>
          <w:rFonts w:eastAsia="黑体"/>
          <w:sz w:val="32"/>
          <w:szCs w:val="32"/>
        </w:rPr>
        <w:t>附件1</w:t>
      </w:r>
    </w:p>
    <w:p w14:paraId="7DE8A16C">
      <w:pPr>
        <w:overflowPunct w:val="0"/>
        <w:adjustRightInd w:val="0"/>
        <w:snapToGrid w:val="0"/>
        <w:spacing w:before="240" w:after="240" w:line="500" w:lineRule="exact"/>
        <w:jc w:val="center"/>
        <w:rPr>
          <w:rFonts w:eastAsia="方正小标宋简体"/>
          <w:sz w:val="32"/>
          <w:szCs w:val="32"/>
        </w:rPr>
      </w:pPr>
      <w:bookmarkStart w:id="5" w:name="_GoBack"/>
      <w:r>
        <w:rPr>
          <w:rFonts w:eastAsia="方正小标宋简体"/>
          <w:sz w:val="32"/>
          <w:szCs w:val="32"/>
        </w:rPr>
        <w:t>202</w:t>
      </w:r>
      <w:r>
        <w:rPr>
          <w:rFonts w:hint="eastAsia" w:eastAsia="方正小标宋简体"/>
          <w:sz w:val="32"/>
          <w:szCs w:val="32"/>
          <w:lang w:val="en-US" w:eastAsia="zh-CN"/>
        </w:rPr>
        <w:t>5</w:t>
      </w:r>
      <w:r>
        <w:rPr>
          <w:rFonts w:eastAsia="方正小标宋简体"/>
          <w:sz w:val="32"/>
          <w:szCs w:val="32"/>
        </w:rPr>
        <w:t>年</w:t>
      </w:r>
      <w:r>
        <w:rPr>
          <w:rFonts w:hint="eastAsia" w:eastAsia="方正小标宋简体"/>
          <w:sz w:val="32"/>
          <w:szCs w:val="32"/>
          <w:lang w:eastAsia="zh-CN"/>
        </w:rPr>
        <w:t>钟楼区应用场景“揭榜挂帅”重大需求榜单</w:t>
      </w:r>
    </w:p>
    <w:bookmarkEnd w:id="5"/>
    <w:tbl>
      <w:tblPr>
        <w:tblStyle w:val="4"/>
        <w:tblW w:w="497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6"/>
        <w:gridCol w:w="1793"/>
        <w:gridCol w:w="2078"/>
        <w:gridCol w:w="930"/>
        <w:gridCol w:w="4799"/>
        <w:gridCol w:w="3716"/>
      </w:tblGrid>
      <w:tr w14:paraId="7035E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1" w:hRule="atLeast"/>
          <w:tblHeader/>
          <w:jc w:val="center"/>
        </w:trPr>
        <w:tc>
          <w:tcPr>
            <w:tcW w:w="776" w:type="dxa"/>
            <w:vAlign w:val="center"/>
          </w:tcPr>
          <w:p w14:paraId="51935181">
            <w:pPr>
              <w:overflowPunct w:val="0"/>
              <w:adjustRightInd w:val="0"/>
              <w:snapToGrid w:val="0"/>
              <w:spacing w:line="300" w:lineRule="exact"/>
              <w:jc w:val="center"/>
              <w:rPr>
                <w:rFonts w:eastAsia="黑体"/>
                <w:color w:val="000000"/>
                <w:kern w:val="0"/>
                <w:sz w:val="20"/>
                <w:szCs w:val="20"/>
              </w:rPr>
            </w:pPr>
            <w:r>
              <w:rPr>
                <w:rFonts w:eastAsia="黑体"/>
                <w:color w:val="000000"/>
                <w:kern w:val="0"/>
                <w:sz w:val="20"/>
                <w:szCs w:val="20"/>
              </w:rPr>
              <w:t>序号</w:t>
            </w:r>
          </w:p>
        </w:tc>
        <w:tc>
          <w:tcPr>
            <w:tcW w:w="1793" w:type="dxa"/>
            <w:vAlign w:val="center"/>
          </w:tcPr>
          <w:p w14:paraId="156B1E05">
            <w:pPr>
              <w:overflowPunct w:val="0"/>
              <w:adjustRightInd w:val="0"/>
              <w:snapToGrid w:val="0"/>
              <w:spacing w:line="300" w:lineRule="exact"/>
              <w:jc w:val="center"/>
              <w:rPr>
                <w:rFonts w:eastAsia="黑体"/>
                <w:color w:val="000000"/>
                <w:kern w:val="0"/>
                <w:sz w:val="20"/>
                <w:szCs w:val="20"/>
              </w:rPr>
            </w:pPr>
            <w:r>
              <w:rPr>
                <w:rFonts w:eastAsia="黑体"/>
                <w:color w:val="000000"/>
                <w:kern w:val="0"/>
                <w:sz w:val="20"/>
                <w:szCs w:val="20"/>
              </w:rPr>
              <w:t>单位名称</w:t>
            </w:r>
          </w:p>
        </w:tc>
        <w:tc>
          <w:tcPr>
            <w:tcW w:w="2078" w:type="dxa"/>
            <w:vAlign w:val="center"/>
          </w:tcPr>
          <w:p w14:paraId="296F4EC8">
            <w:pPr>
              <w:overflowPunct w:val="0"/>
              <w:adjustRightInd w:val="0"/>
              <w:snapToGrid w:val="0"/>
              <w:spacing w:line="300" w:lineRule="exact"/>
              <w:jc w:val="center"/>
              <w:rPr>
                <w:rFonts w:eastAsia="黑体"/>
                <w:color w:val="000000"/>
                <w:kern w:val="0"/>
                <w:sz w:val="20"/>
                <w:szCs w:val="20"/>
              </w:rPr>
            </w:pPr>
            <w:r>
              <w:rPr>
                <w:rFonts w:eastAsia="黑体"/>
                <w:color w:val="000000"/>
                <w:kern w:val="0"/>
                <w:sz w:val="20"/>
                <w:szCs w:val="20"/>
              </w:rPr>
              <w:t>技术需求名称</w:t>
            </w:r>
          </w:p>
        </w:tc>
        <w:tc>
          <w:tcPr>
            <w:tcW w:w="930" w:type="dxa"/>
            <w:vAlign w:val="center"/>
          </w:tcPr>
          <w:p w14:paraId="4C53AFAF">
            <w:pPr>
              <w:overflowPunct w:val="0"/>
              <w:adjustRightInd w:val="0"/>
              <w:snapToGrid w:val="0"/>
              <w:spacing w:line="300" w:lineRule="exact"/>
              <w:ind w:left="-57" w:right="-57"/>
              <w:jc w:val="center"/>
              <w:rPr>
                <w:rFonts w:eastAsia="黑体"/>
                <w:color w:val="000000"/>
                <w:kern w:val="0"/>
                <w:sz w:val="20"/>
                <w:szCs w:val="20"/>
              </w:rPr>
            </w:pPr>
            <w:r>
              <w:rPr>
                <w:rFonts w:eastAsia="黑体"/>
                <w:color w:val="000000"/>
                <w:kern w:val="0"/>
                <w:sz w:val="20"/>
                <w:szCs w:val="20"/>
              </w:rPr>
              <w:t>榜额</w:t>
            </w:r>
          </w:p>
          <w:p w14:paraId="570627C8">
            <w:pPr>
              <w:overflowPunct w:val="0"/>
              <w:adjustRightInd w:val="0"/>
              <w:snapToGrid w:val="0"/>
              <w:spacing w:line="300" w:lineRule="exact"/>
              <w:ind w:left="-57" w:right="-57"/>
              <w:jc w:val="center"/>
              <w:rPr>
                <w:rFonts w:eastAsia="黑体"/>
                <w:color w:val="000000"/>
                <w:kern w:val="0"/>
                <w:sz w:val="20"/>
                <w:szCs w:val="20"/>
              </w:rPr>
            </w:pPr>
            <w:r>
              <w:rPr>
                <w:rFonts w:eastAsia="黑体"/>
                <w:color w:val="000000"/>
                <w:kern w:val="0"/>
                <w:sz w:val="20"/>
                <w:szCs w:val="20"/>
              </w:rPr>
              <w:t>（万元）</w:t>
            </w:r>
          </w:p>
        </w:tc>
        <w:tc>
          <w:tcPr>
            <w:tcW w:w="4799" w:type="dxa"/>
            <w:vAlign w:val="center"/>
          </w:tcPr>
          <w:p w14:paraId="51118279">
            <w:pPr>
              <w:overflowPunct w:val="0"/>
              <w:adjustRightInd w:val="0"/>
              <w:snapToGrid w:val="0"/>
              <w:spacing w:line="300" w:lineRule="exact"/>
              <w:jc w:val="center"/>
              <w:rPr>
                <w:rFonts w:eastAsia="黑体"/>
                <w:color w:val="000000"/>
                <w:kern w:val="0"/>
                <w:sz w:val="20"/>
                <w:szCs w:val="20"/>
              </w:rPr>
            </w:pPr>
            <w:r>
              <w:rPr>
                <w:rFonts w:eastAsia="黑体"/>
                <w:color w:val="000000"/>
                <w:kern w:val="0"/>
                <w:sz w:val="20"/>
                <w:szCs w:val="20"/>
              </w:rPr>
              <w:t>技术需求</w:t>
            </w:r>
          </w:p>
        </w:tc>
        <w:tc>
          <w:tcPr>
            <w:tcW w:w="3716" w:type="dxa"/>
            <w:vAlign w:val="center"/>
          </w:tcPr>
          <w:p w14:paraId="6CAE3512">
            <w:pPr>
              <w:overflowPunct w:val="0"/>
              <w:adjustRightInd w:val="0"/>
              <w:snapToGrid w:val="0"/>
              <w:spacing w:line="300" w:lineRule="exact"/>
              <w:jc w:val="center"/>
              <w:rPr>
                <w:rFonts w:eastAsia="黑体"/>
                <w:color w:val="000000"/>
                <w:kern w:val="0"/>
                <w:sz w:val="20"/>
                <w:szCs w:val="20"/>
              </w:rPr>
            </w:pPr>
            <w:r>
              <w:rPr>
                <w:rFonts w:eastAsia="黑体"/>
                <w:color w:val="000000"/>
                <w:kern w:val="0"/>
                <w:sz w:val="20"/>
                <w:szCs w:val="20"/>
              </w:rPr>
              <w:t>考核的关键技术指标</w:t>
            </w:r>
          </w:p>
        </w:tc>
      </w:tr>
      <w:tr w14:paraId="6BAFD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76" w:type="dxa"/>
            <w:vAlign w:val="center"/>
          </w:tcPr>
          <w:p w14:paraId="64D16244">
            <w:pPr>
              <w:overflowPunct w:val="0"/>
              <w:adjustRightInd w:val="0"/>
              <w:snapToGrid w:val="0"/>
              <w:spacing w:line="300" w:lineRule="exact"/>
              <w:jc w:val="center"/>
              <w:rPr>
                <w:rFonts w:hint="eastAsia" w:eastAsia="宋体"/>
                <w:color w:val="000000"/>
                <w:sz w:val="18"/>
                <w:szCs w:val="18"/>
                <w:lang w:eastAsia="zh-CN"/>
              </w:rPr>
            </w:pPr>
            <w:r>
              <w:rPr>
                <w:rFonts w:hint="eastAsia"/>
                <w:color w:val="000000"/>
                <w:sz w:val="18"/>
                <w:szCs w:val="18"/>
                <w:lang w:val="en-US" w:eastAsia="zh-CN"/>
              </w:rPr>
              <w:t>1</w:t>
            </w:r>
          </w:p>
        </w:tc>
        <w:tc>
          <w:tcPr>
            <w:tcW w:w="1793" w:type="dxa"/>
            <w:tcBorders>
              <w:top w:val="single" w:color="auto" w:sz="4" w:space="0"/>
              <w:bottom w:val="single" w:color="auto" w:sz="4" w:space="0"/>
              <w:right w:val="single" w:color="auto" w:sz="4" w:space="0"/>
            </w:tcBorders>
            <w:vAlign w:val="center"/>
          </w:tcPr>
          <w:p w14:paraId="36784B58">
            <w:pPr>
              <w:spacing w:line="240" w:lineRule="exact"/>
              <w:jc w:val="center"/>
              <w:rPr>
                <w:rFonts w:hint="eastAsia"/>
                <w:kern w:val="0"/>
                <w:sz w:val="18"/>
                <w:szCs w:val="18"/>
              </w:rPr>
            </w:pPr>
            <w:r>
              <w:rPr>
                <w:rFonts w:hint="eastAsia"/>
                <w:kern w:val="0"/>
                <w:sz w:val="18"/>
                <w:szCs w:val="18"/>
              </w:rPr>
              <w:t>江苏精研科技股份有限公司</w:t>
            </w:r>
          </w:p>
          <w:p w14:paraId="3DD2E8F5">
            <w:pPr>
              <w:spacing w:line="240" w:lineRule="exact"/>
              <w:jc w:val="center"/>
              <w:rPr>
                <w:kern w:val="0"/>
                <w:sz w:val="18"/>
                <w:szCs w:val="18"/>
              </w:rPr>
            </w:pPr>
            <w:r>
              <w:rPr>
                <w:kern w:val="0"/>
                <w:sz w:val="18"/>
                <w:szCs w:val="18"/>
              </w:rPr>
              <w:t>（联系方式：</w:t>
            </w:r>
            <w:r>
              <w:rPr>
                <w:rFonts w:hint="eastAsia"/>
                <w:kern w:val="0"/>
                <w:sz w:val="18"/>
                <w:szCs w:val="18"/>
              </w:rPr>
              <w:t>13921093957</w:t>
            </w:r>
            <w:r>
              <w:rPr>
                <w:kern w:val="0"/>
                <w:sz w:val="18"/>
                <w:szCs w:val="18"/>
              </w:rPr>
              <w:t>）</w:t>
            </w:r>
          </w:p>
        </w:tc>
        <w:tc>
          <w:tcPr>
            <w:tcW w:w="2078" w:type="dxa"/>
            <w:vAlign w:val="center"/>
          </w:tcPr>
          <w:p w14:paraId="75A8C45B">
            <w:pPr>
              <w:spacing w:line="240" w:lineRule="exact"/>
              <w:rPr>
                <w:rFonts w:hint="eastAsia"/>
                <w:kern w:val="0"/>
                <w:sz w:val="18"/>
                <w:szCs w:val="18"/>
              </w:rPr>
            </w:pPr>
            <w:r>
              <w:rPr>
                <w:rFonts w:hint="eastAsia"/>
                <w:kern w:val="0"/>
                <w:sz w:val="18"/>
                <w:szCs w:val="18"/>
              </w:rPr>
              <w:t>粉末注射成形钛合金组织性能调控与应用</w:t>
            </w:r>
          </w:p>
        </w:tc>
        <w:tc>
          <w:tcPr>
            <w:tcW w:w="930" w:type="dxa"/>
            <w:vAlign w:val="center"/>
          </w:tcPr>
          <w:p w14:paraId="59862CD6">
            <w:pPr>
              <w:spacing w:line="240" w:lineRule="exact"/>
              <w:jc w:val="center"/>
              <w:rPr>
                <w:rFonts w:hint="default"/>
                <w:kern w:val="0"/>
                <w:sz w:val="18"/>
                <w:szCs w:val="18"/>
                <w:lang w:val="en-US" w:eastAsia="zh-CN"/>
              </w:rPr>
            </w:pPr>
            <w:r>
              <w:rPr>
                <w:rFonts w:hint="eastAsia"/>
                <w:kern w:val="0"/>
                <w:sz w:val="18"/>
                <w:szCs w:val="18"/>
                <w:lang w:val="en-US" w:eastAsia="zh-CN"/>
              </w:rPr>
              <w:t>120</w:t>
            </w:r>
          </w:p>
        </w:tc>
        <w:tc>
          <w:tcPr>
            <w:tcW w:w="4799" w:type="dxa"/>
            <w:vAlign w:val="center"/>
          </w:tcPr>
          <w:p w14:paraId="6C08B175">
            <w:pPr>
              <w:spacing w:line="240" w:lineRule="exact"/>
              <w:rPr>
                <w:rFonts w:hint="eastAsia"/>
                <w:kern w:val="0"/>
                <w:sz w:val="18"/>
                <w:szCs w:val="18"/>
              </w:rPr>
            </w:pPr>
            <w:r>
              <w:rPr>
                <w:rFonts w:hint="eastAsia"/>
                <w:kern w:val="0"/>
                <w:sz w:val="18"/>
                <w:szCs w:val="18"/>
              </w:rPr>
              <w:t>轻量化和小型化是消费电子、无人机和机器人等高技术装备的发展趋势，这对装备零部件的选材、结构设计和制造技术提出了更高的要求。粉末冶金技术制备的钛合金复杂零部件，具有优异的力学性能、抗腐蚀性以及生物相容性。项目</w:t>
            </w:r>
            <w:r>
              <w:rPr>
                <w:rFonts w:hint="eastAsia"/>
                <w:kern w:val="0"/>
                <w:sz w:val="18"/>
                <w:szCs w:val="18"/>
                <w:lang w:eastAsia="zh-CN"/>
              </w:rPr>
              <w:t>需求</w:t>
            </w:r>
            <w:r>
              <w:rPr>
                <w:rFonts w:hint="eastAsia"/>
                <w:kern w:val="0"/>
                <w:sz w:val="18"/>
                <w:szCs w:val="18"/>
              </w:rPr>
              <w:t>产品作为传动机构的重要零部件，主要应用于航空航天（如航天卫星通信天线俯仰机构）、医疗装备、机器人、高精密机床、消费类电子等高端领域</w:t>
            </w:r>
            <w:r>
              <w:rPr>
                <w:rFonts w:hint="eastAsia"/>
                <w:kern w:val="0"/>
                <w:sz w:val="18"/>
                <w:szCs w:val="18"/>
                <w:lang w:eastAsia="zh-CN"/>
              </w:rPr>
              <w:t>场景</w:t>
            </w:r>
            <w:r>
              <w:rPr>
                <w:rFonts w:hint="eastAsia"/>
                <w:kern w:val="0"/>
                <w:sz w:val="18"/>
                <w:szCs w:val="18"/>
              </w:rPr>
              <w:t>。</w:t>
            </w:r>
          </w:p>
          <w:p w14:paraId="49258E08">
            <w:pPr>
              <w:spacing w:line="240" w:lineRule="exact"/>
              <w:rPr>
                <w:rFonts w:hint="eastAsia"/>
                <w:kern w:val="0"/>
                <w:sz w:val="18"/>
                <w:szCs w:val="18"/>
                <w:lang w:eastAsia="zh-CN"/>
              </w:rPr>
            </w:pPr>
            <w:r>
              <w:rPr>
                <w:rFonts w:hint="eastAsia"/>
                <w:kern w:val="0"/>
                <w:sz w:val="18"/>
                <w:szCs w:val="18"/>
                <w:lang w:eastAsia="zh-CN"/>
              </w:rPr>
              <w:t>技术需求：</w:t>
            </w:r>
          </w:p>
          <w:p w14:paraId="171EBC17">
            <w:pPr>
              <w:spacing w:line="240" w:lineRule="exact"/>
              <w:rPr>
                <w:rFonts w:hint="eastAsia"/>
                <w:kern w:val="0"/>
                <w:sz w:val="18"/>
                <w:szCs w:val="18"/>
              </w:rPr>
            </w:pPr>
            <w:r>
              <w:rPr>
                <w:rFonts w:hint="eastAsia"/>
                <w:kern w:val="0"/>
                <w:sz w:val="18"/>
                <w:szCs w:val="18"/>
              </w:rPr>
              <w:t>1、高强高韧钛合金粉末的低残留高循环塑化稳定性粘结剂设计</w:t>
            </w:r>
          </w:p>
          <w:p w14:paraId="5D36C94C">
            <w:pPr>
              <w:spacing w:line="240" w:lineRule="exact"/>
              <w:rPr>
                <w:rFonts w:hint="eastAsia"/>
                <w:kern w:val="0"/>
                <w:sz w:val="18"/>
                <w:szCs w:val="18"/>
              </w:rPr>
            </w:pPr>
            <w:r>
              <w:rPr>
                <w:rFonts w:hint="eastAsia"/>
                <w:kern w:val="0"/>
                <w:sz w:val="18"/>
                <w:szCs w:val="18"/>
              </w:rPr>
              <w:t>2、粉末高强高韧钛合金的强韧化及组织性能调控</w:t>
            </w:r>
          </w:p>
          <w:p w14:paraId="338AE6A1">
            <w:pPr>
              <w:spacing w:line="240" w:lineRule="exact"/>
              <w:rPr>
                <w:rFonts w:hint="default"/>
                <w:kern w:val="0"/>
                <w:sz w:val="18"/>
                <w:szCs w:val="18"/>
                <w:lang w:val="en-US" w:eastAsia="zh-CN"/>
              </w:rPr>
            </w:pPr>
            <w:r>
              <w:rPr>
                <w:rFonts w:hint="eastAsia"/>
                <w:kern w:val="0"/>
                <w:sz w:val="18"/>
                <w:szCs w:val="18"/>
              </w:rPr>
              <w:t>3、高强高韧钛合金粉末控氧技术</w:t>
            </w:r>
          </w:p>
        </w:tc>
        <w:tc>
          <w:tcPr>
            <w:tcW w:w="3716" w:type="dxa"/>
            <w:vAlign w:val="center"/>
          </w:tcPr>
          <w:p w14:paraId="60BEA093">
            <w:pPr>
              <w:spacing w:line="240" w:lineRule="exact"/>
              <w:rPr>
                <w:rFonts w:hint="eastAsia"/>
                <w:kern w:val="0"/>
                <w:sz w:val="18"/>
                <w:szCs w:val="18"/>
              </w:rPr>
            </w:pPr>
            <w:r>
              <w:rPr>
                <w:rFonts w:hint="eastAsia"/>
                <w:kern w:val="0"/>
                <w:sz w:val="18"/>
                <w:szCs w:val="18"/>
              </w:rPr>
              <w:t>1、室温屈服强度≥1050MPa，断裂延伸率≥5%；</w:t>
            </w:r>
          </w:p>
          <w:p w14:paraId="23785E1E">
            <w:pPr>
              <w:spacing w:line="240" w:lineRule="exact"/>
              <w:rPr>
                <w:rFonts w:hint="eastAsia"/>
                <w:kern w:val="0"/>
                <w:sz w:val="18"/>
                <w:szCs w:val="18"/>
              </w:rPr>
            </w:pPr>
            <w:r>
              <w:rPr>
                <w:rFonts w:hint="eastAsia"/>
                <w:kern w:val="0"/>
                <w:sz w:val="18"/>
                <w:szCs w:val="18"/>
              </w:rPr>
              <w:t>2、申请专利≥3项；</w:t>
            </w:r>
          </w:p>
          <w:p w14:paraId="6C231E18">
            <w:pPr>
              <w:spacing w:line="240" w:lineRule="exact"/>
              <w:rPr>
                <w:rFonts w:hint="eastAsia"/>
                <w:kern w:val="0"/>
                <w:sz w:val="18"/>
                <w:szCs w:val="18"/>
              </w:rPr>
            </w:pPr>
            <w:r>
              <w:rPr>
                <w:rFonts w:hint="eastAsia"/>
                <w:kern w:val="0"/>
                <w:sz w:val="18"/>
                <w:szCs w:val="18"/>
              </w:rPr>
              <w:t>3、标准发布≥2项；</w:t>
            </w:r>
          </w:p>
          <w:p w14:paraId="0521B0EA">
            <w:pPr>
              <w:spacing w:line="240" w:lineRule="exact"/>
              <w:rPr>
                <w:rFonts w:hint="eastAsia"/>
                <w:kern w:val="0"/>
                <w:sz w:val="18"/>
                <w:szCs w:val="18"/>
              </w:rPr>
            </w:pPr>
            <w:r>
              <w:rPr>
                <w:rFonts w:hint="eastAsia"/>
                <w:kern w:val="0"/>
                <w:sz w:val="18"/>
                <w:szCs w:val="18"/>
              </w:rPr>
              <w:t>4、标准件尺寸精度±0.1%。</w:t>
            </w:r>
          </w:p>
        </w:tc>
      </w:tr>
      <w:tr w14:paraId="34FFD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9" w:hRule="atLeast"/>
          <w:jc w:val="center"/>
        </w:trPr>
        <w:tc>
          <w:tcPr>
            <w:tcW w:w="776" w:type="dxa"/>
            <w:vAlign w:val="center"/>
          </w:tcPr>
          <w:p w14:paraId="37C4A697">
            <w:pPr>
              <w:overflowPunct w:val="0"/>
              <w:adjustRightInd w:val="0"/>
              <w:snapToGrid w:val="0"/>
              <w:spacing w:line="300" w:lineRule="exact"/>
              <w:jc w:val="center"/>
              <w:rPr>
                <w:rFonts w:hint="default"/>
                <w:color w:val="000000"/>
                <w:sz w:val="18"/>
                <w:szCs w:val="18"/>
                <w:lang w:val="en-US" w:eastAsia="zh-CN"/>
              </w:rPr>
            </w:pPr>
            <w:r>
              <w:rPr>
                <w:rFonts w:hint="eastAsia"/>
                <w:color w:val="000000"/>
                <w:sz w:val="18"/>
                <w:szCs w:val="18"/>
                <w:lang w:val="en-US" w:eastAsia="zh-CN"/>
              </w:rPr>
              <w:t>2</w:t>
            </w:r>
          </w:p>
        </w:tc>
        <w:tc>
          <w:tcPr>
            <w:tcW w:w="1793" w:type="dxa"/>
            <w:tcBorders>
              <w:top w:val="single" w:color="auto" w:sz="4" w:space="0"/>
              <w:bottom w:val="single" w:color="auto" w:sz="4" w:space="0"/>
              <w:right w:val="single" w:color="auto" w:sz="4" w:space="0"/>
            </w:tcBorders>
            <w:vAlign w:val="center"/>
          </w:tcPr>
          <w:p w14:paraId="3B9EB895">
            <w:pPr>
              <w:overflowPunct w:val="0"/>
              <w:adjustRightInd w:val="0"/>
              <w:snapToGrid w:val="0"/>
              <w:spacing w:line="300" w:lineRule="exact"/>
              <w:jc w:val="center"/>
              <w:rPr>
                <w:rFonts w:hint="eastAsia"/>
                <w:color w:val="000000"/>
                <w:sz w:val="18"/>
                <w:szCs w:val="18"/>
                <w:lang w:val="en-US" w:eastAsia="zh-CN"/>
              </w:rPr>
            </w:pPr>
            <w:r>
              <w:rPr>
                <w:rFonts w:hint="eastAsia"/>
                <w:kern w:val="0"/>
                <w:sz w:val="18"/>
                <w:szCs w:val="18"/>
              </w:rPr>
              <w:t>常州昌瑞汽车部品</w:t>
            </w:r>
            <w:r>
              <w:rPr>
                <w:rFonts w:hint="eastAsia"/>
                <w:color w:val="000000"/>
                <w:sz w:val="18"/>
                <w:szCs w:val="18"/>
                <w:lang w:val="en-US" w:eastAsia="zh-CN"/>
              </w:rPr>
              <w:t>制造有限公司</w:t>
            </w:r>
          </w:p>
          <w:p w14:paraId="5BB03FA7">
            <w:pPr>
              <w:overflowPunct w:val="0"/>
              <w:adjustRightInd w:val="0"/>
              <w:snapToGrid w:val="0"/>
              <w:spacing w:line="300" w:lineRule="exact"/>
              <w:jc w:val="center"/>
              <w:rPr>
                <w:rFonts w:hint="eastAsia" w:eastAsia="宋体"/>
                <w:kern w:val="0"/>
                <w:sz w:val="18"/>
                <w:szCs w:val="18"/>
                <w:lang w:eastAsia="zh-CN"/>
              </w:rPr>
            </w:pPr>
            <w:r>
              <w:rPr>
                <w:rFonts w:hint="eastAsia"/>
                <w:color w:val="000000"/>
                <w:sz w:val="18"/>
                <w:szCs w:val="18"/>
                <w:lang w:val="en-US" w:eastAsia="zh-CN"/>
              </w:rPr>
              <w:t>（联系方式：0519-85257827）</w:t>
            </w:r>
          </w:p>
        </w:tc>
        <w:tc>
          <w:tcPr>
            <w:tcW w:w="2078" w:type="dxa"/>
            <w:vAlign w:val="center"/>
          </w:tcPr>
          <w:p w14:paraId="3301065B">
            <w:pPr>
              <w:spacing w:line="240" w:lineRule="exact"/>
              <w:rPr>
                <w:rFonts w:hint="eastAsia"/>
                <w:kern w:val="0"/>
                <w:sz w:val="18"/>
                <w:szCs w:val="18"/>
              </w:rPr>
            </w:pPr>
            <w:r>
              <w:rPr>
                <w:rFonts w:hint="eastAsia"/>
                <w:kern w:val="0"/>
                <w:sz w:val="18"/>
                <w:szCs w:val="18"/>
              </w:rPr>
              <w:t>基于视觉引导技术，用于汽车安全气帘缝制生产的自动化设备</w:t>
            </w:r>
          </w:p>
        </w:tc>
        <w:tc>
          <w:tcPr>
            <w:tcW w:w="930" w:type="dxa"/>
            <w:vAlign w:val="center"/>
          </w:tcPr>
          <w:p w14:paraId="5FFEC9DC">
            <w:pPr>
              <w:spacing w:line="240" w:lineRule="exact"/>
              <w:jc w:val="center"/>
              <w:rPr>
                <w:rFonts w:hint="default"/>
                <w:kern w:val="0"/>
                <w:sz w:val="18"/>
                <w:szCs w:val="18"/>
                <w:lang w:val="en-US" w:eastAsia="zh-CN"/>
              </w:rPr>
            </w:pPr>
            <w:r>
              <w:rPr>
                <w:rFonts w:hint="eastAsia"/>
                <w:kern w:val="0"/>
                <w:sz w:val="18"/>
                <w:szCs w:val="18"/>
                <w:lang w:val="en-US" w:eastAsia="zh-CN"/>
              </w:rPr>
              <w:t>102</w:t>
            </w:r>
          </w:p>
        </w:tc>
        <w:tc>
          <w:tcPr>
            <w:tcW w:w="4799" w:type="dxa"/>
            <w:vAlign w:val="center"/>
          </w:tcPr>
          <w:p w14:paraId="6DD9C57A">
            <w:pPr>
              <w:spacing w:line="240" w:lineRule="exact"/>
              <w:rPr>
                <w:rFonts w:hint="eastAsia"/>
                <w:kern w:val="0"/>
                <w:sz w:val="18"/>
                <w:szCs w:val="18"/>
                <w:lang w:val="en-US" w:eastAsia="zh-CN"/>
              </w:rPr>
            </w:pPr>
            <w:r>
              <w:rPr>
                <w:rFonts w:hint="eastAsia"/>
                <w:kern w:val="0"/>
                <w:sz w:val="18"/>
                <w:szCs w:val="18"/>
              </w:rPr>
              <w:t>CAB安全气帘是安装于汽车顶部的被动安全装置，由气袋、气体发生器及支架等组件构成。</w:t>
            </w:r>
            <w:r>
              <w:rPr>
                <w:rFonts w:hint="eastAsia"/>
                <w:kern w:val="0"/>
                <w:sz w:val="18"/>
                <w:szCs w:val="18"/>
                <w:lang w:val="en-US" w:eastAsia="zh-CN"/>
              </w:rPr>
              <w:t>目前国内尚无气囊涂胶产品的视觉引导缝制技术，均采用固定轨迹缝制，需要开发适用于安全气囊涂胶产品的视觉引导缝制技术。</w:t>
            </w:r>
          </w:p>
          <w:p w14:paraId="5DE2DD38">
            <w:pPr>
              <w:spacing w:line="240" w:lineRule="exact"/>
              <w:rPr>
                <w:rFonts w:hint="eastAsia"/>
                <w:kern w:val="0"/>
                <w:sz w:val="18"/>
                <w:szCs w:val="18"/>
                <w:lang w:val="en-US" w:eastAsia="zh-CN"/>
              </w:rPr>
            </w:pPr>
            <w:r>
              <w:rPr>
                <w:rFonts w:hint="eastAsia"/>
                <w:kern w:val="0"/>
                <w:sz w:val="18"/>
                <w:szCs w:val="18"/>
                <w:lang w:val="en-US" w:eastAsia="zh-CN"/>
              </w:rPr>
              <w:t>技术需求：</w:t>
            </w:r>
          </w:p>
          <w:p w14:paraId="2E1938DD">
            <w:pPr>
              <w:spacing w:line="240" w:lineRule="exact"/>
              <w:rPr>
                <w:rFonts w:hint="eastAsia"/>
                <w:kern w:val="0"/>
                <w:sz w:val="18"/>
                <w:szCs w:val="18"/>
                <w:lang w:val="en-US" w:eastAsia="zh-CN"/>
              </w:rPr>
            </w:pPr>
            <w:r>
              <w:rPr>
                <w:rFonts w:hint="eastAsia"/>
                <w:kern w:val="0"/>
                <w:sz w:val="18"/>
                <w:szCs w:val="18"/>
                <w:lang w:val="en-US" w:eastAsia="zh-CN"/>
              </w:rPr>
              <w:t>1、实现胶路的自动识别，提取，转化，并生产缝制轨迹与缝制设备进行通讯，实现自动引导缝制，每一个产品均对应自身的缝制轨迹完成产品的缝制；</w:t>
            </w:r>
          </w:p>
          <w:p w14:paraId="2F26E3F6">
            <w:pPr>
              <w:spacing w:line="240" w:lineRule="exact"/>
              <w:rPr>
                <w:rFonts w:hint="eastAsia"/>
                <w:kern w:val="0"/>
                <w:sz w:val="18"/>
                <w:szCs w:val="18"/>
                <w:lang w:val="en-US" w:eastAsia="zh-CN"/>
              </w:rPr>
            </w:pPr>
            <w:r>
              <w:rPr>
                <w:rFonts w:hint="eastAsia"/>
                <w:kern w:val="0"/>
                <w:sz w:val="18"/>
                <w:szCs w:val="18"/>
                <w:lang w:val="en-US" w:eastAsia="zh-CN"/>
              </w:rPr>
              <w:t>2、实现胶宽降低目的，目标胶宽最小9mm；</w:t>
            </w:r>
          </w:p>
          <w:p w14:paraId="08E8AFE3">
            <w:pPr>
              <w:spacing w:line="240" w:lineRule="exact"/>
              <w:rPr>
                <w:rFonts w:hint="eastAsia"/>
                <w:kern w:val="0"/>
                <w:sz w:val="18"/>
                <w:szCs w:val="18"/>
                <w:lang w:val="en-US" w:eastAsia="zh-CN"/>
              </w:rPr>
            </w:pPr>
            <w:r>
              <w:rPr>
                <w:rFonts w:hint="eastAsia"/>
                <w:kern w:val="0"/>
                <w:sz w:val="18"/>
                <w:szCs w:val="18"/>
                <w:lang w:val="en-US" w:eastAsia="zh-CN"/>
              </w:rPr>
              <w:t>3、</w:t>
            </w:r>
            <w:r>
              <w:rPr>
                <w:rFonts w:hint="eastAsia"/>
                <w:kern w:val="0"/>
                <w:sz w:val="18"/>
                <w:szCs w:val="18"/>
              </w:rPr>
              <w:t>硬件：线阵、面阵相机的选择，相机精度的确定</w:t>
            </w:r>
            <w:r>
              <w:rPr>
                <w:rFonts w:hint="eastAsia"/>
                <w:kern w:val="0"/>
                <w:sz w:val="18"/>
                <w:szCs w:val="18"/>
                <w:lang w:eastAsia="zh-CN"/>
              </w:rPr>
              <w:t>；</w:t>
            </w:r>
          </w:p>
          <w:p w14:paraId="5A131455">
            <w:pPr>
              <w:spacing w:line="240" w:lineRule="exact"/>
              <w:rPr>
                <w:rFonts w:hint="eastAsia"/>
                <w:kern w:val="0"/>
                <w:sz w:val="18"/>
                <w:szCs w:val="18"/>
                <w:lang w:val="en-US" w:eastAsia="zh-CN"/>
              </w:rPr>
            </w:pPr>
            <w:r>
              <w:rPr>
                <w:rFonts w:hint="eastAsia"/>
                <w:kern w:val="0"/>
                <w:sz w:val="18"/>
                <w:szCs w:val="18"/>
                <w:lang w:val="en-US" w:eastAsia="zh-CN"/>
              </w:rPr>
              <w:t>4、</w:t>
            </w:r>
            <w:r>
              <w:rPr>
                <w:rFonts w:hint="eastAsia"/>
                <w:kern w:val="0"/>
                <w:sz w:val="18"/>
                <w:szCs w:val="18"/>
                <w:lang w:eastAsia="zh-CN"/>
              </w:rPr>
              <w:t>识别、通信、界面、换款、安全等</w:t>
            </w:r>
            <w:r>
              <w:rPr>
                <w:rFonts w:hint="eastAsia"/>
                <w:kern w:val="0"/>
                <w:sz w:val="18"/>
                <w:szCs w:val="18"/>
              </w:rPr>
              <w:t>各个模块功能的开发</w:t>
            </w:r>
          </w:p>
        </w:tc>
        <w:tc>
          <w:tcPr>
            <w:tcW w:w="3716" w:type="dxa"/>
            <w:vAlign w:val="center"/>
          </w:tcPr>
          <w:p w14:paraId="1376EFC8">
            <w:pPr>
              <w:spacing w:line="240" w:lineRule="exact"/>
              <w:rPr>
                <w:rFonts w:hint="eastAsia"/>
                <w:kern w:val="0"/>
                <w:sz w:val="18"/>
                <w:szCs w:val="18"/>
              </w:rPr>
            </w:pPr>
            <w:r>
              <w:rPr>
                <w:rFonts w:hint="eastAsia"/>
                <w:kern w:val="0"/>
                <w:sz w:val="18"/>
                <w:szCs w:val="18"/>
              </w:rPr>
              <w:t>1、实现视觉、PLC、缝制设备的通讯，达成自动引导缝制功能</w:t>
            </w:r>
          </w:p>
          <w:p w14:paraId="781AC565">
            <w:pPr>
              <w:spacing w:line="240" w:lineRule="exact"/>
              <w:rPr>
                <w:rFonts w:hint="eastAsia"/>
                <w:kern w:val="0"/>
                <w:sz w:val="18"/>
                <w:szCs w:val="18"/>
              </w:rPr>
            </w:pPr>
            <w:r>
              <w:rPr>
                <w:rFonts w:hint="eastAsia"/>
                <w:kern w:val="0"/>
                <w:sz w:val="18"/>
                <w:szCs w:val="18"/>
              </w:rPr>
              <w:t>2、涂胶胶宽目标最小9mm</w:t>
            </w:r>
          </w:p>
          <w:p w14:paraId="4BD4E0A1">
            <w:pPr>
              <w:spacing w:line="240" w:lineRule="exact"/>
              <w:rPr>
                <w:rFonts w:hint="eastAsia"/>
                <w:kern w:val="0"/>
                <w:sz w:val="18"/>
                <w:szCs w:val="18"/>
              </w:rPr>
            </w:pPr>
            <w:r>
              <w:rPr>
                <w:rFonts w:hint="eastAsia"/>
                <w:kern w:val="0"/>
                <w:sz w:val="18"/>
                <w:szCs w:val="18"/>
              </w:rPr>
              <w:t>3、缝制不良率1%以内</w:t>
            </w:r>
          </w:p>
          <w:p w14:paraId="79946960">
            <w:pPr>
              <w:spacing w:line="240" w:lineRule="exact"/>
              <w:rPr>
                <w:rFonts w:hint="eastAsia"/>
                <w:kern w:val="0"/>
                <w:sz w:val="18"/>
                <w:szCs w:val="18"/>
              </w:rPr>
            </w:pPr>
            <w:r>
              <w:rPr>
                <w:rFonts w:hint="eastAsia"/>
                <w:kern w:val="0"/>
                <w:sz w:val="18"/>
                <w:szCs w:val="18"/>
              </w:rPr>
              <w:t>4、回针数2-5针</w:t>
            </w:r>
          </w:p>
          <w:p w14:paraId="3E5CC442">
            <w:pPr>
              <w:spacing w:line="240" w:lineRule="exact"/>
              <w:rPr>
                <w:rFonts w:hint="eastAsia"/>
                <w:kern w:val="0"/>
                <w:sz w:val="18"/>
                <w:szCs w:val="18"/>
              </w:rPr>
            </w:pPr>
            <w:r>
              <w:rPr>
                <w:rFonts w:hint="eastAsia"/>
                <w:kern w:val="0"/>
                <w:sz w:val="18"/>
                <w:szCs w:val="18"/>
              </w:rPr>
              <w:t>5、缝制误差值±1.5mm</w:t>
            </w:r>
          </w:p>
        </w:tc>
      </w:tr>
      <w:tr w14:paraId="4D8BA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76" w:type="dxa"/>
            <w:vAlign w:val="center"/>
          </w:tcPr>
          <w:p w14:paraId="769294D5">
            <w:pPr>
              <w:overflowPunct w:val="0"/>
              <w:adjustRightInd w:val="0"/>
              <w:snapToGrid w:val="0"/>
              <w:spacing w:line="300" w:lineRule="exact"/>
              <w:jc w:val="center"/>
              <w:rPr>
                <w:rFonts w:hint="default"/>
                <w:color w:val="000000"/>
                <w:sz w:val="18"/>
                <w:szCs w:val="18"/>
                <w:lang w:val="en-US" w:eastAsia="zh-CN"/>
              </w:rPr>
            </w:pPr>
            <w:r>
              <w:rPr>
                <w:rFonts w:hint="eastAsia"/>
                <w:color w:val="000000"/>
                <w:sz w:val="18"/>
                <w:szCs w:val="18"/>
                <w:lang w:val="en-US" w:eastAsia="zh-CN"/>
              </w:rPr>
              <w:t>3</w:t>
            </w:r>
          </w:p>
        </w:tc>
        <w:tc>
          <w:tcPr>
            <w:tcW w:w="1793" w:type="dxa"/>
            <w:tcBorders>
              <w:top w:val="single" w:color="auto" w:sz="4" w:space="0"/>
              <w:bottom w:val="single" w:color="auto" w:sz="4" w:space="0"/>
              <w:right w:val="single" w:color="auto" w:sz="4" w:space="0"/>
            </w:tcBorders>
            <w:vAlign w:val="center"/>
          </w:tcPr>
          <w:p w14:paraId="02043456">
            <w:pPr>
              <w:overflowPunct w:val="0"/>
              <w:adjustRightInd w:val="0"/>
              <w:snapToGrid w:val="0"/>
              <w:spacing w:line="300" w:lineRule="exact"/>
              <w:jc w:val="center"/>
              <w:rPr>
                <w:rFonts w:hint="eastAsia"/>
                <w:color w:val="000000"/>
                <w:sz w:val="18"/>
                <w:szCs w:val="18"/>
                <w:lang w:val="en-US" w:eastAsia="zh-CN"/>
              </w:rPr>
            </w:pPr>
            <w:r>
              <w:rPr>
                <w:rFonts w:hint="eastAsia"/>
                <w:color w:val="000000"/>
                <w:sz w:val="18"/>
                <w:szCs w:val="18"/>
                <w:lang w:val="en-US" w:eastAsia="zh-CN"/>
              </w:rPr>
              <w:t>江苏主线商用车科技有限公司</w:t>
            </w:r>
          </w:p>
          <w:p w14:paraId="52A262FA">
            <w:pPr>
              <w:overflowPunct w:val="0"/>
              <w:adjustRightInd w:val="0"/>
              <w:snapToGrid w:val="0"/>
              <w:spacing w:line="300" w:lineRule="exact"/>
              <w:jc w:val="center"/>
              <w:rPr>
                <w:rFonts w:hint="eastAsia"/>
                <w:color w:val="000000"/>
                <w:sz w:val="18"/>
                <w:szCs w:val="18"/>
                <w:lang w:val="en-US" w:eastAsia="zh-CN"/>
              </w:rPr>
            </w:pPr>
            <w:r>
              <w:rPr>
                <w:rFonts w:hint="eastAsia"/>
                <w:color w:val="000000"/>
                <w:sz w:val="18"/>
                <w:szCs w:val="18"/>
                <w:lang w:val="en-US" w:eastAsia="zh-CN"/>
              </w:rPr>
              <w:t>（联系方式：15895511210）</w:t>
            </w:r>
          </w:p>
        </w:tc>
        <w:tc>
          <w:tcPr>
            <w:tcW w:w="2078" w:type="dxa"/>
            <w:vAlign w:val="center"/>
          </w:tcPr>
          <w:p w14:paraId="1B7CDD09">
            <w:pPr>
              <w:overflowPunct w:val="0"/>
              <w:adjustRightInd w:val="0"/>
              <w:snapToGrid w:val="0"/>
              <w:spacing w:line="300" w:lineRule="exact"/>
              <w:jc w:val="center"/>
              <w:rPr>
                <w:rFonts w:hint="eastAsia"/>
                <w:color w:val="000000"/>
                <w:sz w:val="18"/>
                <w:szCs w:val="18"/>
                <w:lang w:val="en-US" w:eastAsia="zh-CN"/>
              </w:rPr>
            </w:pPr>
            <w:r>
              <w:rPr>
                <w:rFonts w:hint="eastAsia"/>
                <w:color w:val="000000"/>
                <w:sz w:val="18"/>
                <w:szCs w:val="18"/>
                <w:lang w:val="en-US" w:eastAsia="zh-CN"/>
              </w:rPr>
              <w:t>围绕集装箱自动驾驶水平运输仿真系统应用</w:t>
            </w:r>
          </w:p>
        </w:tc>
        <w:tc>
          <w:tcPr>
            <w:tcW w:w="930" w:type="dxa"/>
            <w:vAlign w:val="center"/>
          </w:tcPr>
          <w:p w14:paraId="77699A7A">
            <w:pPr>
              <w:overflowPunct w:val="0"/>
              <w:adjustRightInd w:val="0"/>
              <w:snapToGrid w:val="0"/>
              <w:spacing w:line="300" w:lineRule="exact"/>
              <w:jc w:val="center"/>
              <w:rPr>
                <w:rFonts w:hint="default"/>
                <w:color w:val="000000"/>
                <w:sz w:val="18"/>
                <w:szCs w:val="18"/>
                <w:lang w:val="en-US" w:eastAsia="zh-CN"/>
              </w:rPr>
            </w:pPr>
            <w:r>
              <w:rPr>
                <w:rFonts w:hint="eastAsia"/>
                <w:color w:val="000000"/>
                <w:sz w:val="18"/>
                <w:szCs w:val="18"/>
                <w:lang w:val="en-US" w:eastAsia="zh-CN"/>
              </w:rPr>
              <w:t>100</w:t>
            </w:r>
          </w:p>
        </w:tc>
        <w:tc>
          <w:tcPr>
            <w:tcW w:w="4799" w:type="dxa"/>
            <w:vAlign w:val="center"/>
          </w:tcPr>
          <w:p w14:paraId="592A34ED">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在全球范围内，港口自动化与智能化已成为行业发展趋势，尤其是在集装箱水平运输领域，自动驾驶技术的应用正逐步从实验阶段走向规模化部署。在国内，随着“智慧港口”“绿色港口”建设的推进，多个港口已开展自动驾驶水平运输系统的研发与示范应用。仿真系统作为关键技术支撑，正在从单一功能测试向全流程、多系统协同仿真演进，覆盖车辆调度、路径规划、设备协同、应急处理等多个方面。</w:t>
            </w:r>
          </w:p>
          <w:p w14:paraId="4D48BC55">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技术需求：</w:t>
            </w:r>
          </w:p>
          <w:p w14:paraId="0B2D6B02">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1、仿真系统架构设计：构建多层次仿真架构，涵盖数据采集、仿真引擎、智能决策与可视化交互等模块。</w:t>
            </w:r>
          </w:p>
          <w:p w14:paraId="686EE1AC">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2、环境建模：建立港口环境系统，支持车辆定位、路径规划与动态环境模拟。</w:t>
            </w:r>
          </w:p>
          <w:p w14:paraId="00D47B4D">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3、多类型仿真器开发：</w:t>
            </w:r>
          </w:p>
          <w:p w14:paraId="382EF403">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自动驾驶设备仿真器（车辆模型）；场景仿真器（交通参与者、作业流程）；外部系统仿真器（FMS等）；故障与应急事件模拟器。</w:t>
            </w:r>
          </w:p>
          <w:p w14:paraId="0A5712C7">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4、性能评估与可视化：构建多维度仿真评估体系。</w:t>
            </w:r>
          </w:p>
        </w:tc>
        <w:tc>
          <w:tcPr>
            <w:tcW w:w="3716" w:type="dxa"/>
            <w:vAlign w:val="center"/>
          </w:tcPr>
          <w:p w14:paraId="399B5625">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仿真系统：需具备多任务、多车、多港口场景仿真。</w:t>
            </w:r>
          </w:p>
          <w:p w14:paraId="1744AE39">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大规模实时仿真性能：能够模拟超过50台自动驾驶车辆的复杂作业场景，提供精确的数据分析和优化建议。</w:t>
            </w:r>
          </w:p>
          <w:p w14:paraId="40DC7FF2">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交通场景建模：自动驾驶车辆与在港口作业场景下的行为预测、冲突化解、安全评估等技术。</w:t>
            </w:r>
          </w:p>
          <w:p w14:paraId="66254C71">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车辆运动学模型：需建立与实车基本一致的运动学模型，支持拖挂卡车的运动学模型，支持半8、全8，斜行等多种AGV/IGV运动模式的仿真。</w:t>
            </w:r>
          </w:p>
          <w:p w14:paraId="7B53988C">
            <w:pPr>
              <w:overflowPunct w:val="0"/>
              <w:adjustRightInd w:val="0"/>
              <w:snapToGrid w:val="0"/>
              <w:spacing w:line="300" w:lineRule="exact"/>
              <w:jc w:val="left"/>
              <w:rPr>
                <w:rFonts w:hint="eastAsia"/>
                <w:color w:val="000000"/>
                <w:sz w:val="18"/>
                <w:szCs w:val="18"/>
                <w:lang w:val="en-US" w:eastAsia="zh-CN"/>
              </w:rPr>
            </w:pPr>
          </w:p>
        </w:tc>
      </w:tr>
      <w:tr w14:paraId="59274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76" w:type="dxa"/>
            <w:vAlign w:val="center"/>
          </w:tcPr>
          <w:p w14:paraId="20587CD2">
            <w:pPr>
              <w:overflowPunct w:val="0"/>
              <w:adjustRightInd w:val="0"/>
              <w:snapToGrid w:val="0"/>
              <w:spacing w:line="300" w:lineRule="exact"/>
              <w:jc w:val="center"/>
              <w:rPr>
                <w:rFonts w:hint="default"/>
                <w:color w:val="000000"/>
                <w:sz w:val="18"/>
                <w:szCs w:val="18"/>
                <w:lang w:val="en-US" w:eastAsia="zh-CN"/>
              </w:rPr>
            </w:pPr>
            <w:r>
              <w:rPr>
                <w:rFonts w:hint="eastAsia"/>
                <w:color w:val="000000"/>
                <w:sz w:val="18"/>
                <w:szCs w:val="18"/>
                <w:lang w:val="en-US" w:eastAsia="zh-CN"/>
              </w:rPr>
              <w:t>4</w:t>
            </w:r>
          </w:p>
        </w:tc>
        <w:tc>
          <w:tcPr>
            <w:tcW w:w="1793" w:type="dxa"/>
            <w:tcBorders>
              <w:top w:val="single" w:color="auto" w:sz="4" w:space="0"/>
              <w:bottom w:val="single" w:color="auto" w:sz="4" w:space="0"/>
              <w:right w:val="single" w:color="auto" w:sz="4" w:space="0"/>
            </w:tcBorders>
            <w:vAlign w:val="center"/>
          </w:tcPr>
          <w:p w14:paraId="414C52AF">
            <w:pPr>
              <w:overflowPunct w:val="0"/>
              <w:adjustRightInd w:val="0"/>
              <w:snapToGrid w:val="0"/>
              <w:spacing w:line="300" w:lineRule="exact"/>
              <w:jc w:val="center"/>
              <w:rPr>
                <w:rFonts w:hint="eastAsia"/>
                <w:color w:val="000000"/>
                <w:sz w:val="18"/>
                <w:szCs w:val="18"/>
                <w:lang w:val="en-US" w:eastAsia="zh-CN"/>
              </w:rPr>
            </w:pPr>
            <w:r>
              <w:rPr>
                <w:rFonts w:hint="eastAsia"/>
                <w:color w:val="000000"/>
                <w:sz w:val="18"/>
                <w:szCs w:val="18"/>
                <w:lang w:val="en-US" w:eastAsia="zh-CN"/>
              </w:rPr>
              <w:t>常州奥立思特电气股份有限公司（联系方式：15151997813）</w:t>
            </w:r>
          </w:p>
        </w:tc>
        <w:tc>
          <w:tcPr>
            <w:tcW w:w="2078" w:type="dxa"/>
            <w:vAlign w:val="center"/>
          </w:tcPr>
          <w:p w14:paraId="1EEFB876">
            <w:pPr>
              <w:overflowPunct w:val="0"/>
              <w:adjustRightInd w:val="0"/>
              <w:snapToGrid w:val="0"/>
              <w:spacing w:line="300" w:lineRule="exact"/>
              <w:jc w:val="center"/>
              <w:rPr>
                <w:rFonts w:hint="eastAsia"/>
                <w:color w:val="000000"/>
                <w:sz w:val="18"/>
                <w:szCs w:val="18"/>
                <w:lang w:val="en-US" w:eastAsia="zh-CN"/>
              </w:rPr>
            </w:pPr>
            <w:r>
              <w:rPr>
                <w:rFonts w:hint="default"/>
                <w:color w:val="000000"/>
                <w:sz w:val="18"/>
                <w:szCs w:val="18"/>
                <w:lang w:val="en-US" w:eastAsia="zh-CN"/>
              </w:rPr>
              <w:t>面向大型机站冷却系统的高效能外转子无刷电机关键技术的研发</w:t>
            </w:r>
          </w:p>
        </w:tc>
        <w:tc>
          <w:tcPr>
            <w:tcW w:w="930" w:type="dxa"/>
            <w:vAlign w:val="center"/>
          </w:tcPr>
          <w:p w14:paraId="2FF8EE70">
            <w:pPr>
              <w:overflowPunct w:val="0"/>
              <w:adjustRightInd w:val="0"/>
              <w:snapToGrid w:val="0"/>
              <w:spacing w:line="300" w:lineRule="exact"/>
              <w:jc w:val="center"/>
              <w:rPr>
                <w:rFonts w:hint="default"/>
                <w:color w:val="000000"/>
                <w:sz w:val="18"/>
                <w:szCs w:val="18"/>
                <w:lang w:val="en-US" w:eastAsia="zh-CN"/>
              </w:rPr>
            </w:pPr>
            <w:r>
              <w:rPr>
                <w:rFonts w:hint="eastAsia"/>
                <w:color w:val="000000"/>
                <w:sz w:val="18"/>
                <w:szCs w:val="18"/>
                <w:lang w:val="en-US" w:eastAsia="zh-CN"/>
              </w:rPr>
              <w:t>200</w:t>
            </w:r>
          </w:p>
        </w:tc>
        <w:tc>
          <w:tcPr>
            <w:tcW w:w="4799" w:type="dxa"/>
            <w:vAlign w:val="center"/>
          </w:tcPr>
          <w:p w14:paraId="3BFCB46F">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目前，在AI数据中心散热、工业真空、医疗设备等众多追求高效、静音与可靠性的领域，高速风机扮演着至关重要的“呼吸器官”角色，其性能的优劣，直接影响着整体系统的能效、噪音水平和运行寿命。而无刷直流电机（BLDC）及其驱动方案是决定其卓越性能的关键因素之一。本应用场景主要面向AI数据中心等领域，需要开发大型机站冷却系统的高效能外转子无刷电机，研究需求如下：</w:t>
            </w:r>
          </w:p>
          <w:p w14:paraId="570E0231">
            <w:pPr>
              <w:numPr>
                <w:ilvl w:val="0"/>
                <w:numId w:val="1"/>
              </w:num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交流电源输入，电机和控制器一体化设计，设计包括电机本体和控制器设计。</w:t>
            </w:r>
          </w:p>
          <w:p w14:paraId="22242CAA">
            <w:pPr>
              <w:numPr>
                <w:ilvl w:val="0"/>
                <w:numId w:val="1"/>
              </w:num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速度可连续调节，电机与风机连接方便，风叶直接安装在外转子上；</w:t>
            </w:r>
          </w:p>
          <w:p w14:paraId="057C6F92">
            <w:pPr>
              <w:overflowPunct w:val="0"/>
              <w:adjustRightInd w:val="0"/>
              <w:snapToGrid w:val="0"/>
              <w:spacing w:line="300" w:lineRule="exact"/>
              <w:jc w:val="left"/>
              <w:rPr>
                <w:rFonts w:hint="default"/>
                <w:color w:val="000000"/>
                <w:sz w:val="18"/>
                <w:szCs w:val="18"/>
                <w:lang w:val="en-US" w:eastAsia="zh-CN"/>
              </w:rPr>
            </w:pPr>
            <w:r>
              <w:rPr>
                <w:rFonts w:hint="eastAsia"/>
                <w:color w:val="000000"/>
                <w:sz w:val="18"/>
                <w:szCs w:val="18"/>
                <w:lang w:val="en-US" w:eastAsia="zh-CN"/>
              </w:rPr>
              <w:t>3、</w:t>
            </w:r>
            <w:r>
              <w:rPr>
                <w:rFonts w:hint="default"/>
                <w:color w:val="000000"/>
                <w:sz w:val="18"/>
                <w:szCs w:val="18"/>
                <w:lang w:val="en-US" w:eastAsia="zh-CN"/>
              </w:rPr>
              <w:t>电机能满足10年寿命</w:t>
            </w:r>
          </w:p>
          <w:p w14:paraId="1A60FA0B">
            <w:pPr>
              <w:overflowPunct w:val="0"/>
              <w:adjustRightInd w:val="0"/>
              <w:snapToGrid w:val="0"/>
              <w:spacing w:line="300" w:lineRule="exact"/>
              <w:jc w:val="left"/>
              <w:rPr>
                <w:rFonts w:hint="default"/>
                <w:color w:val="000000"/>
                <w:sz w:val="18"/>
                <w:szCs w:val="18"/>
                <w:lang w:val="en-US" w:eastAsia="zh-CN"/>
              </w:rPr>
            </w:pPr>
            <w:r>
              <w:rPr>
                <w:rFonts w:hint="eastAsia"/>
                <w:color w:val="000000"/>
                <w:sz w:val="18"/>
                <w:szCs w:val="18"/>
                <w:lang w:val="en-US" w:eastAsia="zh-CN"/>
              </w:rPr>
              <w:t>4、</w:t>
            </w:r>
            <w:r>
              <w:rPr>
                <w:rFonts w:hint="default"/>
                <w:color w:val="000000"/>
                <w:sz w:val="18"/>
                <w:szCs w:val="18"/>
                <w:lang w:val="en-US" w:eastAsia="zh-CN"/>
              </w:rPr>
              <w:t>磁钢材料采用铁氧体的前提下，能效能达到国家一级能效，声音和诣，无人耳能识别的电磁音和机械声；</w:t>
            </w:r>
          </w:p>
          <w:p w14:paraId="378C7BC5">
            <w:pPr>
              <w:overflowPunct w:val="0"/>
              <w:adjustRightInd w:val="0"/>
              <w:snapToGrid w:val="0"/>
              <w:spacing w:line="300" w:lineRule="exact"/>
              <w:jc w:val="left"/>
              <w:rPr>
                <w:rFonts w:hint="eastAsia"/>
                <w:color w:val="000000"/>
                <w:sz w:val="18"/>
                <w:szCs w:val="18"/>
                <w:lang w:val="en-US" w:eastAsia="zh-CN"/>
              </w:rPr>
            </w:pPr>
            <w:r>
              <w:rPr>
                <w:rFonts w:hint="eastAsia"/>
                <w:color w:val="000000"/>
                <w:sz w:val="18"/>
                <w:szCs w:val="18"/>
                <w:lang w:val="en-US" w:eastAsia="zh-CN"/>
              </w:rPr>
              <w:t>5、</w:t>
            </w:r>
            <w:r>
              <w:rPr>
                <w:rFonts w:hint="default"/>
                <w:color w:val="000000"/>
                <w:sz w:val="18"/>
                <w:szCs w:val="18"/>
                <w:lang w:val="en-US" w:eastAsia="zh-CN"/>
              </w:rPr>
              <w:t>防护等级IP55，能长期在室外运行</w:t>
            </w:r>
            <w:r>
              <w:rPr>
                <w:rFonts w:hint="eastAsia"/>
                <w:color w:val="000000"/>
                <w:sz w:val="18"/>
                <w:szCs w:val="18"/>
                <w:lang w:val="en-US" w:eastAsia="zh-CN"/>
              </w:rPr>
              <w:t>。</w:t>
            </w:r>
          </w:p>
        </w:tc>
        <w:tc>
          <w:tcPr>
            <w:tcW w:w="3716" w:type="dxa"/>
            <w:vAlign w:val="center"/>
          </w:tcPr>
          <w:p w14:paraId="49E4C837">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1.技术指标：</w:t>
            </w:r>
          </w:p>
          <w:p w14:paraId="465A47E5">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（1）输入电源380V/50Hz；</w:t>
            </w:r>
          </w:p>
          <w:p w14:paraId="7879E5F1">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（2）电机输出功率3KW；</w:t>
            </w:r>
          </w:p>
          <w:p w14:paraId="6A1798C2">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（3）电机额定转速1800rpm；</w:t>
            </w:r>
          </w:p>
          <w:p w14:paraId="08E668A2">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（4）系统综合效率≥92%；</w:t>
            </w:r>
          </w:p>
          <w:p w14:paraId="4AB8DFDD">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（5）调速包括：485通信、数字信号和模拟信号三种方式；</w:t>
            </w:r>
          </w:p>
          <w:p w14:paraId="2AFAC1C6">
            <w:pPr>
              <w:overflowPunct w:val="0"/>
              <w:adjustRightInd w:val="0"/>
              <w:snapToGrid w:val="0"/>
              <w:spacing w:line="300" w:lineRule="exact"/>
              <w:jc w:val="left"/>
              <w:rPr>
                <w:rFonts w:hint="default"/>
                <w:color w:val="000000"/>
                <w:sz w:val="18"/>
                <w:szCs w:val="18"/>
                <w:lang w:val="en-US" w:eastAsia="zh-CN"/>
              </w:rPr>
            </w:pPr>
            <w:r>
              <w:rPr>
                <w:rFonts w:hint="default"/>
                <w:color w:val="000000"/>
                <w:sz w:val="18"/>
                <w:szCs w:val="18"/>
                <w:lang w:val="en-US" w:eastAsia="zh-CN"/>
              </w:rPr>
              <w:t>（6）EMC满足相关IEC标准，有过流、过热、堵转、缺相等各种保护措施。</w:t>
            </w:r>
          </w:p>
          <w:p w14:paraId="5D6D5583">
            <w:pPr>
              <w:overflowPunct w:val="0"/>
              <w:adjustRightInd w:val="0"/>
              <w:snapToGrid w:val="0"/>
              <w:spacing w:line="300" w:lineRule="exact"/>
              <w:jc w:val="left"/>
              <w:rPr>
                <w:rFonts w:hint="eastAsia"/>
                <w:color w:val="000000"/>
                <w:sz w:val="18"/>
                <w:szCs w:val="18"/>
                <w:lang w:val="en-US" w:eastAsia="zh-CN"/>
              </w:rPr>
            </w:pPr>
            <w:r>
              <w:rPr>
                <w:rFonts w:hint="default"/>
                <w:color w:val="000000"/>
                <w:sz w:val="18"/>
                <w:szCs w:val="18"/>
                <w:lang w:val="en-US" w:eastAsia="zh-CN"/>
              </w:rPr>
              <w:t>2.共同发表学术论文1-2篇，协助发榜方申请专利2-4项，联合培养研究生2人。</w:t>
            </w:r>
          </w:p>
        </w:tc>
      </w:tr>
      <w:tr w14:paraId="0A532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76" w:type="dxa"/>
            <w:vAlign w:val="center"/>
          </w:tcPr>
          <w:p w14:paraId="770F1A66">
            <w:pPr>
              <w:overflowPunct w:val="0"/>
              <w:adjustRightInd w:val="0"/>
              <w:snapToGrid w:val="0"/>
              <w:spacing w:line="300" w:lineRule="exact"/>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5</w:t>
            </w:r>
          </w:p>
        </w:tc>
        <w:tc>
          <w:tcPr>
            <w:tcW w:w="1793" w:type="dxa"/>
            <w:tcBorders>
              <w:top w:val="single" w:color="auto" w:sz="4" w:space="0"/>
              <w:bottom w:val="single" w:color="auto" w:sz="4" w:space="0"/>
              <w:right w:val="single" w:color="auto" w:sz="4" w:space="0"/>
            </w:tcBorders>
            <w:vAlign w:val="center"/>
          </w:tcPr>
          <w:p w14:paraId="6BAC931F">
            <w:pPr>
              <w:overflowPunct w:val="0"/>
              <w:adjustRightInd w:val="0"/>
              <w:snapToGrid w:val="0"/>
              <w:spacing w:line="300" w:lineRule="exact"/>
              <w:jc w:val="center"/>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中科摩通（常州）智能制造股份有限公司</w:t>
            </w:r>
          </w:p>
        </w:tc>
        <w:tc>
          <w:tcPr>
            <w:tcW w:w="2078" w:type="dxa"/>
            <w:vAlign w:val="center"/>
          </w:tcPr>
          <w:p w14:paraId="3E6B7337">
            <w:pPr>
              <w:overflowPunct w:val="0"/>
              <w:adjustRightInd w:val="0"/>
              <w:snapToGrid w:val="0"/>
              <w:spacing w:line="300" w:lineRule="exact"/>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多模态大模型生成式CAD AI设计系统关键技术研发</w:t>
            </w:r>
          </w:p>
        </w:tc>
        <w:tc>
          <w:tcPr>
            <w:tcW w:w="930" w:type="dxa"/>
            <w:vAlign w:val="center"/>
          </w:tcPr>
          <w:p w14:paraId="587D2C2F">
            <w:pPr>
              <w:overflowPunct w:val="0"/>
              <w:adjustRightInd w:val="0"/>
              <w:snapToGrid w:val="0"/>
              <w:spacing w:line="300" w:lineRule="exact"/>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105</w:t>
            </w:r>
          </w:p>
        </w:tc>
        <w:tc>
          <w:tcPr>
            <w:tcW w:w="4799" w:type="dxa"/>
            <w:vAlign w:val="center"/>
          </w:tcPr>
          <w:p w14:paraId="0519FC59">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需求研究开发多模态大模型生成式CAD AI系统，应用于机电、车船、新能源、电子等各类智能制造行业企业的机械设计开发和生产制造过程。也可应用于科研院所研究设计和高效CAD AI教学场景。</w:t>
            </w:r>
          </w:p>
          <w:p w14:paraId="4536919D">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技术需求：</w:t>
            </w:r>
          </w:p>
          <w:p w14:paraId="09528201">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1、多模态输入处理：支持文本、图像（单/多视角）、点云及其组合输入，通过编码器（如ViT、点云网络）提取特征，并投影到LLM共享空间。</w:t>
            </w:r>
          </w:p>
          <w:p w14:paraId="4A0E7835">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2、CAD序列生成模型：基于LLM（如LLaVA架构）生成参数化CAD命令序列（如草图拉伸、布尔运算），输出可编辑的CAD模型（如B-rep格式）。</w:t>
            </w:r>
          </w:p>
          <w:p w14:paraId="04377ADA">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3、数据集构建与训练：构建大规模多模态CAD数据集（类似Omni-CAD），采用两阶段训练：先监督微调（SFT）on程序化数据，再通过RL（如DPO或GRPO）微调提升真实场景适应性。</w:t>
            </w:r>
          </w:p>
          <w:p w14:paraId="4FF8706A">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4、评估体系设计：引入拓扑质量指标（如悬边长度DangEL、自相交比率SIR）和空间封闭性指标（如FluxEE），全面评估生成模型的几何与结构精度。</w:t>
            </w:r>
          </w:p>
          <w:p w14:paraId="33DA4612">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p>
          <w:p w14:paraId="53F8FF8E">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p>
        </w:tc>
        <w:tc>
          <w:tcPr>
            <w:tcW w:w="3716" w:type="dxa"/>
            <w:vAlign w:val="center"/>
          </w:tcPr>
          <w:p w14:paraId="0E82DB35">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1、多模态支持，能够实现从文本需求描述、平面图片、点云采集，自动生成机械制造CAD 3D/2D电子图纸，包括工艺、公差等技术参数标注；</w:t>
            </w:r>
          </w:p>
          <w:p w14:paraId="0596ED6F">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2、能够应用于各类制造业场景，包括零部件设计、组件/整机装配设计；</w:t>
            </w:r>
          </w:p>
          <w:p w14:paraId="3733D2B5">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3、鲁棒性，噪声点云生成CD值，较基线提升≥10%；</w:t>
            </w:r>
          </w:p>
          <w:p w14:paraId="484EDFC9">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4、序列生成长度，支持4K+ Token；</w:t>
            </w:r>
          </w:p>
          <w:p w14:paraId="0A908AFE">
            <w:pPr>
              <w:overflowPunct w:val="0"/>
              <w:adjustRightInd w:val="0"/>
              <w:snapToGrid w:val="0"/>
              <w:spacing w:line="300" w:lineRule="exact"/>
              <w:jc w:val="left"/>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5、多模态数据量≥100K（CAD模型-多模态配对）。</w:t>
            </w:r>
          </w:p>
        </w:tc>
      </w:tr>
      <w:tr w14:paraId="6DAD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76" w:type="dxa"/>
            <w:vAlign w:val="center"/>
          </w:tcPr>
          <w:p w14:paraId="56B41061">
            <w:pPr>
              <w:overflowPunct w:val="0"/>
              <w:adjustRightInd w:val="0"/>
              <w:snapToGrid w:val="0"/>
              <w:spacing w:line="300" w:lineRule="exact"/>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6</w:t>
            </w:r>
          </w:p>
        </w:tc>
        <w:tc>
          <w:tcPr>
            <w:tcW w:w="1793" w:type="dxa"/>
            <w:tcBorders>
              <w:top w:val="single" w:color="auto" w:sz="4" w:space="0"/>
              <w:bottom w:val="single" w:color="auto" w:sz="4" w:space="0"/>
              <w:right w:val="single" w:color="auto" w:sz="4" w:space="0"/>
            </w:tcBorders>
            <w:vAlign w:val="center"/>
          </w:tcPr>
          <w:p w14:paraId="022CDB79">
            <w:pPr>
              <w:overflowPunct w:val="0"/>
              <w:adjustRightInd w:val="0"/>
              <w:snapToGrid w:val="0"/>
              <w:spacing w:line="300" w:lineRule="exact"/>
              <w:jc w:val="center"/>
              <w:rPr>
                <w:rFonts w:hint="eastAsia" w:ascii="Times New Roman" w:hAnsi="Times New Roman" w:eastAsia="宋体" w:cs="Times New Roman"/>
                <w:color w:val="000000"/>
                <w:sz w:val="18"/>
                <w:szCs w:val="18"/>
                <w:lang w:val="en-US" w:eastAsia="zh-CN"/>
              </w:rPr>
            </w:pPr>
            <w:r>
              <w:t>格瑞海思人居环境科技(江</w:t>
            </w:r>
            <w:r>
              <w:rPr>
                <w:spacing w:val="9"/>
              </w:rPr>
              <w:t xml:space="preserve"> </w:t>
            </w:r>
            <w:r>
              <w:rPr>
                <w:spacing w:val="6"/>
              </w:rPr>
              <w:t>苏)有限公司</w:t>
            </w:r>
            <w:r>
              <w:rPr>
                <w:rFonts w:hint="eastAsia"/>
                <w:spacing w:val="6"/>
                <w:lang w:eastAsia="zh-CN"/>
              </w:rPr>
              <w:t>（</w:t>
            </w:r>
            <w:r>
              <w:rPr>
                <w:spacing w:val="-3"/>
              </w:rPr>
              <w:t>18910083258</w:t>
            </w:r>
            <w:r>
              <w:rPr>
                <w:rFonts w:hint="eastAsia"/>
                <w:spacing w:val="6"/>
                <w:lang w:eastAsia="zh-CN"/>
              </w:rPr>
              <w:t>）</w:t>
            </w:r>
          </w:p>
        </w:tc>
        <w:tc>
          <w:tcPr>
            <w:tcW w:w="2078" w:type="dxa"/>
            <w:vAlign w:val="center"/>
          </w:tcPr>
          <w:p w14:paraId="5A4EE1C8">
            <w:pPr>
              <w:overflowPunct w:val="0"/>
              <w:adjustRightInd w:val="0"/>
              <w:snapToGrid w:val="0"/>
              <w:spacing w:line="300" w:lineRule="exact"/>
              <w:jc w:val="center"/>
              <w:rPr>
                <w:rFonts w:hint="eastAsia" w:ascii="Times New Roman" w:hAnsi="Times New Roman" w:cs="Times New Roman"/>
                <w:color w:val="000000"/>
                <w:sz w:val="18"/>
                <w:szCs w:val="18"/>
                <w:lang w:val="en-US" w:eastAsia="zh-CN"/>
              </w:rPr>
            </w:pPr>
            <w:r>
              <w:rPr>
                <w:spacing w:val="-2"/>
              </w:rPr>
              <w:t>面向产业化的空调新风系统异味靶向控制技术集成与示范</w:t>
            </w:r>
          </w:p>
        </w:tc>
        <w:tc>
          <w:tcPr>
            <w:tcW w:w="930" w:type="dxa"/>
            <w:vAlign w:val="center"/>
          </w:tcPr>
          <w:p w14:paraId="6248A1A8">
            <w:pPr>
              <w:overflowPunct w:val="0"/>
              <w:adjustRightInd w:val="0"/>
              <w:snapToGrid w:val="0"/>
              <w:spacing w:line="300" w:lineRule="exact"/>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300</w:t>
            </w:r>
          </w:p>
        </w:tc>
        <w:tc>
          <w:tcPr>
            <w:tcW w:w="4799" w:type="dxa"/>
            <w:vAlign w:val="center"/>
          </w:tcPr>
          <w:p w14:paraId="5772531F">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随着人们对室内空气质量 (IAQ) 的关注度不断提高，空调新风系统在住宅、办公、商业等场景的应用日益普及。但其在长期运行过程中，滤网、 冷凝盘、风道等部位易成为微生物滋生温床，导致产生霉味、土腥味等异味，严重影响室内空气舒适度，甚至可能带来健康风险。目前需求是针对空调新风系统长期运行中微生物滋生导致异味的行业痛点，突破传统研究方法的局限，精准绘制“微生物群落一异味物质”对应图谱，分离验证关键致臭菌，并研发靶向控制技术，开发一套可工程化、精准高效的集成解决方案，实现从广谱消杀到精准靶向控制的跨越。</w:t>
            </w:r>
          </w:p>
          <w:p w14:paraId="6B3B825E">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技术需求：</w:t>
            </w:r>
          </w:p>
          <w:p w14:paraId="7E6BDD29">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 空调新风系统微生物群落与异味物质的系统解析</w:t>
            </w:r>
          </w:p>
          <w:p w14:paraId="76D60862">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 关键致臭微生物的靶向分离与产臭机理研究</w:t>
            </w:r>
          </w:p>
          <w:p w14:paraId="078FB311">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 靶向控制技术与材料的筛选与性能评估</w:t>
            </w:r>
          </w:p>
          <w:p w14:paraId="6F7021A7">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 集成化工程解决方案的开发与示范验证</w:t>
            </w:r>
          </w:p>
          <w:p w14:paraId="624EF934">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p>
        </w:tc>
        <w:tc>
          <w:tcPr>
            <w:tcW w:w="3716" w:type="dxa"/>
            <w:vAlign w:val="center"/>
          </w:tcPr>
          <w:p w14:paraId="1F1A30ED">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1.精准溯源指标：构建微生物群落一异味代谢物对应 图谱，明确≥1种典型异味分子，分离鉴定≥1株核心致臭 菌。</w:t>
            </w:r>
          </w:p>
          <w:p w14:paraId="108546E0">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2.技术性能指标：研发的靶向控制技术对目标致臭微 生物去除率≥90%,对典型异味物质降低率≥80%;所开发  的原型模块通过≥1000小时实验室连续验证。</w:t>
            </w:r>
          </w:p>
          <w:p w14:paraId="163403BF">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3.示范效果指标：在至少2类真实场景中开展≥6个月 示范应用，使用户异味投诉率下降≥80%,满意度≥85%,  且系统综合能耗增幅≤5%。</w:t>
            </w:r>
          </w:p>
          <w:p w14:paraId="50AB8653">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4.成果产出指标：申请发明专利≥2项，形成企业技术 规范1套，具备工程化推广条件。</w:t>
            </w:r>
          </w:p>
        </w:tc>
      </w:tr>
      <w:tr w14:paraId="5BDD1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76" w:type="dxa"/>
            <w:vAlign w:val="center"/>
          </w:tcPr>
          <w:p w14:paraId="1AD8B00C">
            <w:pPr>
              <w:overflowPunct w:val="0"/>
              <w:adjustRightInd w:val="0"/>
              <w:snapToGrid w:val="0"/>
              <w:spacing w:line="300" w:lineRule="exact"/>
              <w:jc w:val="center"/>
              <w:rPr>
                <w:rFonts w:hint="default"/>
                <w:color w:val="000000"/>
                <w:sz w:val="18"/>
                <w:szCs w:val="18"/>
                <w:lang w:val="en-US" w:eastAsia="zh-CN"/>
              </w:rPr>
            </w:pPr>
            <w:r>
              <w:rPr>
                <w:rFonts w:hint="eastAsia"/>
                <w:color w:val="000000"/>
                <w:sz w:val="18"/>
                <w:szCs w:val="18"/>
                <w:lang w:val="en-US" w:eastAsia="zh-CN"/>
              </w:rPr>
              <w:t>7</w:t>
            </w:r>
          </w:p>
        </w:tc>
        <w:tc>
          <w:tcPr>
            <w:tcW w:w="1793" w:type="dxa"/>
            <w:tcBorders>
              <w:top w:val="single" w:color="auto" w:sz="4" w:space="0"/>
              <w:bottom w:val="single" w:color="auto" w:sz="4" w:space="0"/>
              <w:right w:val="single" w:color="auto" w:sz="4" w:space="0"/>
            </w:tcBorders>
            <w:vAlign w:val="center"/>
          </w:tcPr>
          <w:p w14:paraId="6AD1346C">
            <w:pPr>
              <w:overflowPunct w:val="0"/>
              <w:adjustRightInd w:val="0"/>
              <w:snapToGrid w:val="0"/>
              <w:spacing w:line="300" w:lineRule="exact"/>
              <w:jc w:val="center"/>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江苏尚纯自动化技术有限公司（联系方式：18915059537）</w:t>
            </w:r>
          </w:p>
        </w:tc>
        <w:tc>
          <w:tcPr>
            <w:tcW w:w="2078" w:type="dxa"/>
            <w:vAlign w:val="center"/>
          </w:tcPr>
          <w:p w14:paraId="2A2692F4">
            <w:pPr>
              <w:overflowPunct w:val="0"/>
              <w:adjustRightInd w:val="0"/>
              <w:snapToGrid w:val="0"/>
              <w:spacing w:line="300" w:lineRule="exact"/>
              <w:jc w:val="center"/>
              <w:rPr>
                <w:rFonts w:hint="eastAsia" w:ascii="Times New Roman" w:hAnsi="Times New Roman" w:cs="Times New Roman"/>
                <w:color w:val="000000"/>
                <w:sz w:val="18"/>
                <w:szCs w:val="18"/>
                <w:lang w:val="en-US" w:eastAsia="zh-CN"/>
              </w:rPr>
            </w:pPr>
            <w:bookmarkStart w:id="0" w:name="OLE_LINK3"/>
            <w:bookmarkStart w:id="1" w:name="OLE_LINK4"/>
            <w:bookmarkStart w:id="2" w:name="OLE_LINK41"/>
            <w:r>
              <w:rPr>
                <w:rFonts w:hint="eastAsia" w:ascii="Times New Roman" w:hAnsi="Times New Roman" w:cs="Times New Roman"/>
                <w:color w:val="000000"/>
                <w:sz w:val="18"/>
                <w:szCs w:val="18"/>
                <w:lang w:val="en-US" w:eastAsia="zh-CN"/>
              </w:rPr>
              <w:t>半导体湿电子化学品高洁净清洗烘干灌装智能集成产</w:t>
            </w:r>
            <w:bookmarkEnd w:id="0"/>
            <w:r>
              <w:rPr>
                <w:rFonts w:hint="eastAsia" w:ascii="Times New Roman" w:hAnsi="Times New Roman" w:cs="Times New Roman"/>
                <w:color w:val="000000"/>
                <w:sz w:val="18"/>
                <w:szCs w:val="18"/>
                <w:lang w:val="en-US" w:eastAsia="zh-CN"/>
              </w:rPr>
              <w:t>线</w:t>
            </w:r>
            <w:bookmarkEnd w:id="1"/>
            <w:bookmarkEnd w:id="2"/>
          </w:p>
        </w:tc>
        <w:tc>
          <w:tcPr>
            <w:tcW w:w="930" w:type="dxa"/>
            <w:vAlign w:val="center"/>
          </w:tcPr>
          <w:p w14:paraId="39B6A9B3">
            <w:pPr>
              <w:overflowPunct w:val="0"/>
              <w:adjustRightInd w:val="0"/>
              <w:snapToGrid w:val="0"/>
              <w:spacing w:line="300" w:lineRule="exact"/>
              <w:jc w:val="center"/>
              <w:rPr>
                <w:rFonts w:hint="default"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100</w:t>
            </w:r>
          </w:p>
        </w:tc>
        <w:tc>
          <w:tcPr>
            <w:tcW w:w="4799" w:type="dxa"/>
            <w:vAlign w:val="center"/>
          </w:tcPr>
          <w:p w14:paraId="2863755F">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半导体湿电子化学品指在电子制造过程中以液体形态使用的各类高纯化学品，灌装工艺是湿电子化学品生产过程的后道关键环节。当前国内灌装技术中的洁净调节环节仍多采用人工经验控制，难以通过环境及工况的变化及时做出智能调整，制约了灌装过程洁净度的提高。需发展灌装环境洁净度实时监测技术，同时借助AI数据分析，实现灌装洁净气流场、开旋盖过程等的智能调控，是当前灌装过程洁净技术的主要发展方向。</w:t>
            </w:r>
          </w:p>
          <w:p w14:paraId="4943E9CE">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技术需求：</w:t>
            </w:r>
          </w:p>
          <w:p w14:paraId="4FF6B625">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（1）开旋盖智能自动化技术开发；</w:t>
            </w:r>
          </w:p>
          <w:p w14:paraId="5C9EC7F3">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（2）偏心清洗过程流场分析研究；</w:t>
            </w:r>
          </w:p>
          <w:p w14:paraId="71C292A2">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（3）储罐高效节能烘干技术开发；</w:t>
            </w:r>
          </w:p>
          <w:p w14:paraId="1929EF99">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w:t>
            </w:r>
            <w:bookmarkStart w:id="3" w:name="OLE_LINK8"/>
            <w:r>
              <w:rPr>
                <w:rFonts w:hint="eastAsia" w:ascii="Times New Roman" w:hAnsi="Times New Roman" w:cs="Times New Roman"/>
                <w:color w:val="000000"/>
                <w:sz w:val="18"/>
                <w:szCs w:val="18"/>
                <w:lang w:val="en-US" w:eastAsia="zh-CN"/>
              </w:rPr>
              <w:t>灌装室</w:t>
            </w:r>
            <w:bookmarkStart w:id="4" w:name="OLE_LINK9"/>
            <w:r>
              <w:rPr>
                <w:rFonts w:hint="eastAsia" w:ascii="Times New Roman" w:hAnsi="Times New Roman" w:cs="Times New Roman"/>
                <w:color w:val="000000"/>
                <w:sz w:val="18"/>
                <w:szCs w:val="18"/>
                <w:lang w:val="en-US" w:eastAsia="zh-CN"/>
              </w:rPr>
              <w:t>颗粒物</w:t>
            </w:r>
            <w:bookmarkEnd w:id="3"/>
            <w:r>
              <w:rPr>
                <w:rFonts w:hint="eastAsia" w:ascii="Times New Roman" w:hAnsi="Times New Roman" w:cs="Times New Roman"/>
                <w:color w:val="000000"/>
                <w:sz w:val="18"/>
                <w:szCs w:val="18"/>
                <w:lang w:val="en-US" w:eastAsia="zh-CN"/>
              </w:rPr>
              <w:t>气流过滤洁净</w:t>
            </w:r>
            <w:bookmarkEnd w:id="4"/>
            <w:r>
              <w:rPr>
                <w:rFonts w:hint="eastAsia" w:ascii="Times New Roman" w:hAnsi="Times New Roman" w:cs="Times New Roman"/>
                <w:color w:val="000000"/>
                <w:sz w:val="18"/>
                <w:szCs w:val="18"/>
                <w:lang w:val="en-US" w:eastAsia="zh-CN"/>
              </w:rPr>
              <w:t>技术开发；</w:t>
            </w:r>
          </w:p>
          <w:p w14:paraId="77B35A2A">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（5）光刻胶灌装过程微气泡控制技术开发；</w:t>
            </w:r>
          </w:p>
          <w:p w14:paraId="39FBB670">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（6）灌装过程AI洁净控制技术。</w:t>
            </w:r>
          </w:p>
          <w:p w14:paraId="32C68E7F">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p>
        </w:tc>
        <w:tc>
          <w:tcPr>
            <w:tcW w:w="3716" w:type="dxa"/>
            <w:vAlign w:val="center"/>
          </w:tcPr>
          <w:p w14:paraId="2FE3DF07">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1、旋盖扭矩达到A级精度（误差&lt;±3%），设备连续运行24小时故障率&lt;5%（按循环次数计算），误操作率（如漏旋、错旋）&lt;1%；</w:t>
            </w:r>
          </w:p>
          <w:p w14:paraId="4ED26C71">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2、灌装室每立方米空气中大于等于0.5μm的颗粒数不超过352000；</w:t>
            </w:r>
          </w:p>
          <w:p w14:paraId="5E564B8C">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3、储罐烘干时间缩短25%，烘干能耗降低30%；</w:t>
            </w:r>
          </w:p>
          <w:p w14:paraId="35308EFA">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4、光刻胶灌装过程气含率≤0.1%（体积分数，即1000ppm）；</w:t>
            </w:r>
          </w:p>
          <w:p w14:paraId="03A758FD">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5、实现对灌装室颗粒物浓度的实时监测，监测响应时间≤1秒；</w:t>
            </w:r>
          </w:p>
          <w:p w14:paraId="1E3FB953">
            <w:pPr>
              <w:overflowPunct w:val="0"/>
              <w:adjustRightInd w:val="0"/>
              <w:snapToGrid w:val="0"/>
              <w:spacing w:line="300" w:lineRule="exact"/>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6、实现灌装过程洁净度的AI系统控制，测控参量包括：气流温度、湿度、洁净度、速度、过滤压降、开旋盖扭矩等。</w:t>
            </w:r>
          </w:p>
        </w:tc>
      </w:tr>
    </w:tbl>
    <w:p w14:paraId="2A2A026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989DF"/>
    <w:multiLevelType w:val="singleLevel"/>
    <w:tmpl w:val="4D8989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61901"/>
    <w:rsid w:val="7B061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lang w:val="en-US" w:eastAsia="en-US" w:bidi="ar-SA"/>
    </w:rPr>
  </w:style>
  <w:style w:type="paragraph" w:customStyle="1" w:styleId="6">
    <w:name w:val="Table Text"/>
    <w:basedOn w:val="1"/>
    <w:semiHidden/>
    <w:qFormat/>
    <w:uiPriority w:val="0"/>
    <w:rPr>
      <w:rFonts w:ascii="宋体" w:hAnsi="宋体" w:eastAsia="宋体" w:cs="宋体"/>
      <w:sz w:val="28"/>
      <w:szCs w:val="2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2025-10-09T02:04:00Z</dcterms:created>
  <dc:creator>Yala</dc:creator>
  <cp:lastModifiedBy>Yala</cp:lastModifiedBy>
  <dcterms:modified xsi:type="dcterms:W3CDTF">2025-10-09T08:22:43Z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8ED0ED359A08428EBEC2DB1135A0D9EA_11</vt:lpwstr>
  </property>
  <property fmtid="{D5CDD505-2E9C-101B-9397-08002B2CF9AE}" pid="4" name="KSOTemplateDocerSaveRecord">
    <vt:lpwstr>eyJoZGlkIjoiMzcwMzZiMTdiOTcxZDIxMGU0MGE0NTlhZjM4ZThhZjUiLCJ1c2VySWQiOiI0NTY0MjUzMDQifQ==</vt:lpwstr>
  </property>
</Properties>
</file>