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409106">
      <w:pPr>
        <w:overflowPunct w:val="0"/>
        <w:adjustRightInd w:val="0"/>
        <w:snapToGrid w:val="0"/>
        <w:spacing w:line="500" w:lineRule="exact"/>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附件</w:t>
      </w:r>
      <w:r>
        <w:rPr>
          <w:rFonts w:hint="default" w:ascii="Times New Roman" w:hAnsi="Times New Roman" w:eastAsia="黑体" w:cs="Times New Roman"/>
          <w:sz w:val="32"/>
          <w:szCs w:val="32"/>
          <w:lang w:val="en-US" w:eastAsia="zh-CN"/>
        </w:rPr>
        <w:t>2</w:t>
      </w:r>
    </w:p>
    <w:p w14:paraId="4D04B1E2">
      <w:pPr>
        <w:adjustRightInd w:val="0"/>
        <w:snapToGrid w:val="0"/>
        <w:spacing w:before="240" w:line="6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2025</w:t>
      </w:r>
      <w:r>
        <w:rPr>
          <w:rFonts w:hint="default" w:ascii="Times New Roman" w:hAnsi="Times New Roman" w:eastAsia="方正小标宋简体" w:cs="Times New Roman"/>
          <w:sz w:val="44"/>
          <w:szCs w:val="44"/>
        </w:rPr>
        <w:t>年钟楼区</w:t>
      </w:r>
      <w:r>
        <w:rPr>
          <w:rFonts w:hint="eastAsia" w:ascii="Times New Roman" w:hAnsi="Times New Roman" w:eastAsia="方正小标宋简体" w:cs="Times New Roman"/>
          <w:sz w:val="44"/>
          <w:szCs w:val="44"/>
          <w:lang w:eastAsia="zh-CN"/>
        </w:rPr>
        <w:t>应用场景</w:t>
      </w:r>
      <w:r>
        <w:rPr>
          <w:rFonts w:hint="default" w:ascii="Times New Roman" w:hAnsi="Times New Roman" w:eastAsia="方正小标宋简体" w:cs="Times New Roman"/>
          <w:sz w:val="44"/>
          <w:szCs w:val="44"/>
        </w:rPr>
        <w:t>“揭榜挂帅”</w:t>
      </w:r>
    </w:p>
    <w:p w14:paraId="0C562858">
      <w:pPr>
        <w:adjustRightInd w:val="0"/>
        <w:snapToGrid w:val="0"/>
        <w:spacing w:line="6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高校院所成果征集</w:t>
      </w:r>
      <w:r>
        <w:rPr>
          <w:rFonts w:hint="default" w:ascii="Times New Roman" w:hAnsi="Times New Roman" w:eastAsia="方正小标宋简体" w:cs="Times New Roman"/>
          <w:sz w:val="44"/>
          <w:szCs w:val="44"/>
        </w:rPr>
        <w:t>表</w:t>
      </w:r>
    </w:p>
    <w:p w14:paraId="02F436CD">
      <w:pPr>
        <w:pStyle w:val="5"/>
        <w:widowControl w:val="0"/>
        <w:spacing w:before="0" w:beforeAutospacing="0" w:after="0" w:afterAutospacing="0" w:line="500" w:lineRule="exact"/>
        <w:jc w:val="both"/>
        <w:rPr>
          <w:rFonts w:hint="default" w:ascii="Times New Roman" w:hAnsi="Times New Roman" w:eastAsia="仿宋_GB2312" w:cs="Times New Roman"/>
          <w:kern w:val="2"/>
          <w:sz w:val="32"/>
          <w:szCs w:val="32"/>
        </w:rPr>
      </w:pPr>
    </w:p>
    <w:tbl>
      <w:tblPr>
        <w:tblStyle w:val="6"/>
        <w:tblW w:w="593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728"/>
        <w:gridCol w:w="1724"/>
        <w:gridCol w:w="1682"/>
        <w:gridCol w:w="774"/>
        <w:gridCol w:w="1072"/>
        <w:gridCol w:w="1170"/>
        <w:gridCol w:w="1404"/>
        <w:gridCol w:w="2076"/>
      </w:tblGrid>
      <w:tr w14:paraId="39232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615" w:hRule="atLeast"/>
          <w:jc w:val="center"/>
        </w:trPr>
        <w:tc>
          <w:tcPr>
            <w:tcW w:w="342" w:type="pct"/>
            <w:noWrap w:val="0"/>
            <w:vAlign w:val="center"/>
          </w:tcPr>
          <w:p w14:paraId="1FDC0E6F">
            <w:pPr>
              <w:pStyle w:val="5"/>
              <w:widowControl w:val="0"/>
              <w:spacing w:before="0" w:beforeAutospacing="0" w:after="0" w:afterAutospacing="0" w:line="360" w:lineRule="exact"/>
              <w:jc w:val="center"/>
              <w:rPr>
                <w:rFonts w:hint="default" w:ascii="Times New Roman" w:hAnsi="Times New Roman" w:eastAsia="黑体" w:cs="Times New Roman"/>
                <w:kern w:val="2"/>
                <w:sz w:val="24"/>
                <w:szCs w:val="24"/>
                <w:lang w:eastAsia="zh-CN"/>
              </w:rPr>
            </w:pPr>
            <w:r>
              <w:rPr>
                <w:rFonts w:hint="default" w:ascii="Times New Roman" w:hAnsi="Times New Roman" w:eastAsia="黑体" w:cs="Times New Roman"/>
                <w:kern w:val="2"/>
                <w:sz w:val="22"/>
                <w:szCs w:val="22"/>
                <w:lang w:eastAsia="zh-CN"/>
              </w:rPr>
              <w:t>序号</w:t>
            </w:r>
          </w:p>
        </w:tc>
        <w:tc>
          <w:tcPr>
            <w:tcW w:w="810" w:type="pct"/>
            <w:noWrap w:val="0"/>
            <w:vAlign w:val="center"/>
          </w:tcPr>
          <w:p w14:paraId="4864565F">
            <w:pPr>
              <w:pStyle w:val="5"/>
              <w:widowControl w:val="0"/>
              <w:spacing w:before="0" w:beforeAutospacing="0" w:after="0" w:afterAutospacing="0" w:line="360" w:lineRule="exact"/>
              <w:jc w:val="center"/>
              <w:rPr>
                <w:rFonts w:hint="default" w:ascii="Times New Roman" w:hAnsi="Times New Roman" w:eastAsia="黑体" w:cs="Times New Roman"/>
                <w:kern w:val="2"/>
                <w:sz w:val="22"/>
                <w:szCs w:val="22"/>
              </w:rPr>
            </w:pPr>
            <w:r>
              <w:rPr>
                <w:rFonts w:hint="default" w:ascii="Times New Roman" w:hAnsi="Times New Roman" w:eastAsia="黑体" w:cs="Times New Roman"/>
                <w:kern w:val="2"/>
                <w:sz w:val="22"/>
                <w:szCs w:val="22"/>
              </w:rPr>
              <w:t>单位名称</w:t>
            </w:r>
          </w:p>
        </w:tc>
        <w:tc>
          <w:tcPr>
            <w:tcW w:w="791" w:type="pct"/>
            <w:noWrap w:val="0"/>
            <w:vAlign w:val="center"/>
          </w:tcPr>
          <w:p w14:paraId="29AF3517">
            <w:pPr>
              <w:pStyle w:val="5"/>
              <w:widowControl w:val="0"/>
              <w:spacing w:before="0" w:beforeAutospacing="0" w:after="0" w:afterAutospacing="0" w:line="360" w:lineRule="exact"/>
              <w:jc w:val="center"/>
              <w:rPr>
                <w:rFonts w:hint="default" w:ascii="Times New Roman" w:hAnsi="Times New Roman" w:eastAsia="黑体" w:cs="Times New Roman"/>
                <w:kern w:val="2"/>
                <w:sz w:val="22"/>
                <w:szCs w:val="22"/>
              </w:rPr>
            </w:pPr>
            <w:r>
              <w:rPr>
                <w:rFonts w:hint="default" w:ascii="Times New Roman" w:hAnsi="Times New Roman" w:eastAsia="黑体" w:cs="Times New Roman"/>
                <w:kern w:val="2"/>
                <w:sz w:val="22"/>
                <w:szCs w:val="22"/>
                <w:lang w:eastAsia="zh-CN"/>
              </w:rPr>
              <w:t>成果</w:t>
            </w:r>
            <w:r>
              <w:rPr>
                <w:rFonts w:hint="default" w:ascii="Times New Roman" w:hAnsi="Times New Roman" w:eastAsia="黑体" w:cs="Times New Roman"/>
                <w:kern w:val="2"/>
                <w:sz w:val="22"/>
                <w:szCs w:val="22"/>
              </w:rPr>
              <w:t>名称</w:t>
            </w:r>
          </w:p>
        </w:tc>
        <w:tc>
          <w:tcPr>
            <w:tcW w:w="364" w:type="pct"/>
            <w:noWrap w:val="0"/>
            <w:vAlign w:val="center"/>
          </w:tcPr>
          <w:p w14:paraId="7343D12E">
            <w:pPr>
              <w:pStyle w:val="5"/>
              <w:widowControl w:val="0"/>
              <w:spacing w:before="0" w:beforeAutospacing="0" w:after="0" w:afterAutospacing="0" w:line="360" w:lineRule="exact"/>
              <w:jc w:val="center"/>
              <w:rPr>
                <w:rFonts w:hint="default" w:ascii="Times New Roman" w:hAnsi="Times New Roman" w:eastAsia="黑体" w:cs="Times New Roman"/>
                <w:kern w:val="2"/>
                <w:sz w:val="22"/>
                <w:szCs w:val="22"/>
              </w:rPr>
            </w:pPr>
            <w:r>
              <w:rPr>
                <w:rFonts w:hint="default" w:ascii="Times New Roman" w:hAnsi="Times New Roman" w:eastAsia="黑体" w:cs="Times New Roman"/>
                <w:kern w:val="2"/>
                <w:sz w:val="22"/>
                <w:szCs w:val="22"/>
              </w:rPr>
              <w:t>技术</w:t>
            </w:r>
          </w:p>
          <w:p w14:paraId="4ED0CD31">
            <w:pPr>
              <w:pStyle w:val="5"/>
              <w:widowControl w:val="0"/>
              <w:spacing w:before="0" w:beforeAutospacing="0" w:after="0" w:afterAutospacing="0" w:line="360" w:lineRule="exact"/>
              <w:jc w:val="center"/>
              <w:rPr>
                <w:rFonts w:hint="default" w:ascii="Times New Roman" w:hAnsi="Times New Roman" w:eastAsia="黑体" w:cs="Times New Roman"/>
                <w:kern w:val="2"/>
                <w:sz w:val="22"/>
                <w:szCs w:val="22"/>
              </w:rPr>
            </w:pPr>
            <w:r>
              <w:rPr>
                <w:rFonts w:hint="default" w:ascii="Times New Roman" w:hAnsi="Times New Roman" w:eastAsia="黑体" w:cs="Times New Roman"/>
                <w:kern w:val="2"/>
                <w:sz w:val="22"/>
                <w:szCs w:val="22"/>
              </w:rPr>
              <w:t>领域</w:t>
            </w:r>
          </w:p>
        </w:tc>
        <w:tc>
          <w:tcPr>
            <w:tcW w:w="504" w:type="pct"/>
            <w:noWrap w:val="0"/>
            <w:vAlign w:val="center"/>
          </w:tcPr>
          <w:p w14:paraId="6AA6FFAA">
            <w:pPr>
              <w:pStyle w:val="5"/>
              <w:widowControl w:val="0"/>
              <w:spacing w:before="0" w:beforeAutospacing="0" w:after="0" w:afterAutospacing="0" w:line="360" w:lineRule="exact"/>
              <w:jc w:val="center"/>
              <w:rPr>
                <w:rFonts w:hint="default" w:ascii="Times New Roman" w:hAnsi="Times New Roman" w:eastAsia="黑体" w:cs="Times New Roman"/>
                <w:kern w:val="2"/>
                <w:sz w:val="22"/>
                <w:szCs w:val="22"/>
              </w:rPr>
            </w:pPr>
            <w:r>
              <w:rPr>
                <w:rFonts w:hint="default" w:ascii="Times New Roman" w:hAnsi="Times New Roman" w:eastAsia="黑体" w:cs="Times New Roman"/>
                <w:kern w:val="2"/>
                <w:sz w:val="22"/>
                <w:szCs w:val="22"/>
              </w:rPr>
              <w:t>榜额</w:t>
            </w:r>
          </w:p>
          <w:p w14:paraId="39E8DBDF">
            <w:pPr>
              <w:pStyle w:val="5"/>
              <w:widowControl w:val="0"/>
              <w:spacing w:before="0" w:beforeAutospacing="0" w:after="0" w:afterAutospacing="0" w:line="360" w:lineRule="exact"/>
              <w:jc w:val="center"/>
              <w:rPr>
                <w:rFonts w:hint="default" w:ascii="Times New Roman" w:hAnsi="Times New Roman" w:eastAsia="黑体" w:cs="Times New Roman"/>
                <w:kern w:val="2"/>
                <w:sz w:val="22"/>
                <w:szCs w:val="22"/>
              </w:rPr>
            </w:pPr>
            <w:r>
              <w:rPr>
                <w:rFonts w:hint="default" w:ascii="Times New Roman" w:hAnsi="Times New Roman" w:eastAsia="黑体" w:cs="Times New Roman"/>
                <w:kern w:val="2"/>
                <w:sz w:val="22"/>
                <w:szCs w:val="22"/>
              </w:rPr>
              <w:t>（万元）</w:t>
            </w:r>
          </w:p>
        </w:tc>
        <w:tc>
          <w:tcPr>
            <w:tcW w:w="550" w:type="pct"/>
            <w:noWrap w:val="0"/>
            <w:vAlign w:val="center"/>
          </w:tcPr>
          <w:p w14:paraId="00655663">
            <w:pPr>
              <w:pStyle w:val="5"/>
              <w:widowControl w:val="0"/>
              <w:spacing w:before="0" w:beforeAutospacing="0" w:after="0" w:afterAutospacing="0" w:line="360" w:lineRule="exact"/>
              <w:jc w:val="center"/>
              <w:rPr>
                <w:rFonts w:hint="default" w:ascii="Times New Roman" w:hAnsi="Times New Roman" w:eastAsia="黑体" w:cs="Times New Roman"/>
                <w:kern w:val="2"/>
                <w:sz w:val="22"/>
                <w:szCs w:val="22"/>
                <w:lang w:eastAsia="zh-CN"/>
              </w:rPr>
            </w:pPr>
            <w:r>
              <w:rPr>
                <w:rFonts w:hint="default" w:ascii="Times New Roman" w:hAnsi="Times New Roman" w:eastAsia="黑体" w:cs="Times New Roman"/>
                <w:kern w:val="2"/>
                <w:sz w:val="22"/>
                <w:szCs w:val="22"/>
                <w:lang w:eastAsia="zh-CN"/>
              </w:rPr>
              <w:t>联系人</w:t>
            </w:r>
          </w:p>
        </w:tc>
        <w:tc>
          <w:tcPr>
            <w:tcW w:w="660" w:type="pct"/>
            <w:noWrap w:val="0"/>
            <w:vAlign w:val="center"/>
          </w:tcPr>
          <w:p w14:paraId="5B81A99E">
            <w:pPr>
              <w:pStyle w:val="5"/>
              <w:widowControl w:val="0"/>
              <w:spacing w:before="0" w:beforeAutospacing="0" w:after="0" w:afterAutospacing="0" w:line="360" w:lineRule="exact"/>
              <w:jc w:val="center"/>
              <w:rPr>
                <w:rFonts w:hint="default" w:ascii="Times New Roman" w:hAnsi="Times New Roman" w:eastAsia="黑体" w:cs="Times New Roman"/>
                <w:kern w:val="2"/>
                <w:sz w:val="22"/>
                <w:szCs w:val="22"/>
                <w:lang w:eastAsia="zh-CN"/>
              </w:rPr>
            </w:pPr>
            <w:r>
              <w:rPr>
                <w:rFonts w:hint="default" w:ascii="Times New Roman" w:hAnsi="Times New Roman" w:eastAsia="黑体" w:cs="Times New Roman"/>
                <w:kern w:val="2"/>
                <w:sz w:val="22"/>
                <w:szCs w:val="22"/>
                <w:lang w:eastAsia="zh-CN"/>
              </w:rPr>
              <w:t>联系方式</w:t>
            </w:r>
          </w:p>
        </w:tc>
        <w:tc>
          <w:tcPr>
            <w:tcW w:w="976" w:type="pct"/>
            <w:noWrap w:val="0"/>
            <w:vAlign w:val="center"/>
          </w:tcPr>
          <w:p w14:paraId="5FD9C035">
            <w:pPr>
              <w:pStyle w:val="5"/>
              <w:widowControl w:val="0"/>
              <w:spacing w:before="0" w:beforeAutospacing="0" w:after="0" w:afterAutospacing="0" w:line="360" w:lineRule="exact"/>
              <w:jc w:val="center"/>
              <w:rPr>
                <w:rFonts w:hint="default" w:ascii="Times New Roman" w:hAnsi="Times New Roman" w:eastAsia="黑体" w:cs="Times New Roman"/>
                <w:kern w:val="2"/>
                <w:sz w:val="22"/>
                <w:szCs w:val="22"/>
                <w:lang w:eastAsia="zh-CN"/>
              </w:rPr>
            </w:pPr>
            <w:r>
              <w:rPr>
                <w:rFonts w:hint="default" w:ascii="Times New Roman" w:hAnsi="Times New Roman" w:eastAsia="黑体" w:cs="Times New Roman"/>
                <w:kern w:val="2"/>
                <w:sz w:val="22"/>
                <w:szCs w:val="22"/>
                <w:lang w:eastAsia="zh-CN"/>
              </w:rPr>
              <w:t>电子邮箱</w:t>
            </w:r>
          </w:p>
        </w:tc>
      </w:tr>
      <w:tr w14:paraId="6EC2A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noWrap w:val="0"/>
            <w:vAlign w:val="center"/>
          </w:tcPr>
          <w:p w14:paraId="2D1A3F0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w:t>
            </w:r>
          </w:p>
        </w:tc>
        <w:tc>
          <w:tcPr>
            <w:tcW w:w="810" w:type="pct"/>
            <w:noWrap w:val="0"/>
            <w:vAlign w:val="center"/>
          </w:tcPr>
          <w:p w14:paraId="357A584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江苏理工学院</w:t>
            </w:r>
          </w:p>
        </w:tc>
        <w:tc>
          <w:tcPr>
            <w:tcW w:w="791" w:type="pct"/>
            <w:noWrap w:val="0"/>
            <w:vAlign w:val="center"/>
          </w:tcPr>
          <w:p w14:paraId="1900DF1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高安全水系钠离子电池</w:t>
            </w:r>
          </w:p>
        </w:tc>
        <w:tc>
          <w:tcPr>
            <w:tcW w:w="364" w:type="pct"/>
            <w:noWrap w:val="0"/>
            <w:vAlign w:val="center"/>
          </w:tcPr>
          <w:p w14:paraId="0D7AABE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新材料</w:t>
            </w:r>
          </w:p>
        </w:tc>
        <w:tc>
          <w:tcPr>
            <w:tcW w:w="504" w:type="pct"/>
            <w:noWrap w:val="0"/>
            <w:vAlign w:val="center"/>
          </w:tcPr>
          <w:p w14:paraId="6AAD061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150</w:t>
            </w:r>
          </w:p>
        </w:tc>
        <w:tc>
          <w:tcPr>
            <w:tcW w:w="550" w:type="pct"/>
            <w:noWrap w:val="0"/>
            <w:vAlign w:val="center"/>
          </w:tcPr>
          <w:p w14:paraId="3E4F00A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鲍克燕</w:t>
            </w:r>
          </w:p>
        </w:tc>
        <w:tc>
          <w:tcPr>
            <w:tcW w:w="660" w:type="pct"/>
            <w:noWrap w:val="0"/>
            <w:vAlign w:val="center"/>
          </w:tcPr>
          <w:p w14:paraId="206AA43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18112318599</w:t>
            </w:r>
          </w:p>
        </w:tc>
        <w:tc>
          <w:tcPr>
            <w:tcW w:w="976" w:type="pct"/>
            <w:noWrap w:val="0"/>
            <w:vAlign w:val="center"/>
          </w:tcPr>
          <w:p w14:paraId="41AE6DE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baokeyan@126.com</w:t>
            </w:r>
          </w:p>
        </w:tc>
      </w:tr>
      <w:tr w14:paraId="05AA3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noWrap w:val="0"/>
            <w:vAlign w:val="center"/>
          </w:tcPr>
          <w:p w14:paraId="241DDF0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2</w:t>
            </w:r>
          </w:p>
        </w:tc>
        <w:tc>
          <w:tcPr>
            <w:tcW w:w="810" w:type="pct"/>
            <w:noWrap w:val="0"/>
            <w:vAlign w:val="center"/>
          </w:tcPr>
          <w:p w14:paraId="4C2F27E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江苏理工学院</w:t>
            </w:r>
          </w:p>
        </w:tc>
        <w:tc>
          <w:tcPr>
            <w:tcW w:w="791" w:type="pct"/>
            <w:noWrap w:val="0"/>
            <w:vAlign w:val="center"/>
          </w:tcPr>
          <w:p w14:paraId="197B797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新型生物活性碳的制备及其脱色作用开发</w:t>
            </w:r>
          </w:p>
        </w:tc>
        <w:tc>
          <w:tcPr>
            <w:tcW w:w="364" w:type="pct"/>
            <w:noWrap w:val="0"/>
            <w:vAlign w:val="center"/>
          </w:tcPr>
          <w:p w14:paraId="5687B2F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新材料</w:t>
            </w:r>
          </w:p>
        </w:tc>
        <w:tc>
          <w:tcPr>
            <w:tcW w:w="504" w:type="pct"/>
            <w:noWrap w:val="0"/>
            <w:vAlign w:val="center"/>
          </w:tcPr>
          <w:p w14:paraId="3B070391">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160</w:t>
            </w:r>
          </w:p>
        </w:tc>
        <w:tc>
          <w:tcPr>
            <w:tcW w:w="550" w:type="pct"/>
            <w:noWrap w:val="0"/>
            <w:vAlign w:val="center"/>
          </w:tcPr>
          <w:p w14:paraId="536E5A3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程洁红</w:t>
            </w:r>
          </w:p>
        </w:tc>
        <w:tc>
          <w:tcPr>
            <w:tcW w:w="660" w:type="pct"/>
            <w:noWrap w:val="0"/>
            <w:vAlign w:val="center"/>
          </w:tcPr>
          <w:p w14:paraId="434EC54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13685212484</w:t>
            </w:r>
          </w:p>
        </w:tc>
        <w:tc>
          <w:tcPr>
            <w:tcW w:w="976" w:type="pct"/>
            <w:noWrap w:val="0"/>
            <w:vAlign w:val="center"/>
          </w:tcPr>
          <w:p w14:paraId="0785A63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cjh@jsut.edu.cn</w:t>
            </w:r>
          </w:p>
        </w:tc>
      </w:tr>
      <w:tr w14:paraId="48D34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noWrap w:val="0"/>
            <w:vAlign w:val="center"/>
          </w:tcPr>
          <w:p w14:paraId="22C9778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3</w:t>
            </w:r>
          </w:p>
        </w:tc>
        <w:tc>
          <w:tcPr>
            <w:tcW w:w="810" w:type="pct"/>
            <w:noWrap w:val="0"/>
            <w:vAlign w:val="center"/>
          </w:tcPr>
          <w:p w14:paraId="5FF1A2E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江苏理工学院</w:t>
            </w:r>
          </w:p>
        </w:tc>
        <w:tc>
          <w:tcPr>
            <w:tcW w:w="791" w:type="pct"/>
            <w:noWrap w:val="0"/>
            <w:vAlign w:val="center"/>
          </w:tcPr>
          <w:p w14:paraId="235178E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水质采样空中机械臂</w:t>
            </w:r>
          </w:p>
        </w:tc>
        <w:tc>
          <w:tcPr>
            <w:tcW w:w="364" w:type="pct"/>
            <w:noWrap w:val="0"/>
            <w:vAlign w:val="center"/>
          </w:tcPr>
          <w:p w14:paraId="0C150DF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人工智能、高端装备</w:t>
            </w:r>
          </w:p>
        </w:tc>
        <w:tc>
          <w:tcPr>
            <w:tcW w:w="504" w:type="pct"/>
            <w:noWrap w:val="0"/>
            <w:vAlign w:val="center"/>
          </w:tcPr>
          <w:p w14:paraId="0ED7800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160</w:t>
            </w:r>
          </w:p>
        </w:tc>
        <w:tc>
          <w:tcPr>
            <w:tcW w:w="550" w:type="pct"/>
            <w:noWrap w:val="0"/>
            <w:vAlign w:val="center"/>
          </w:tcPr>
          <w:p w14:paraId="0CF7B94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丁力</w:t>
            </w:r>
          </w:p>
        </w:tc>
        <w:tc>
          <w:tcPr>
            <w:tcW w:w="660" w:type="pct"/>
            <w:noWrap w:val="0"/>
            <w:vAlign w:val="center"/>
          </w:tcPr>
          <w:p w14:paraId="1C4CCDB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18906111097</w:t>
            </w:r>
          </w:p>
        </w:tc>
        <w:tc>
          <w:tcPr>
            <w:tcW w:w="976" w:type="pct"/>
            <w:noWrap w:val="0"/>
            <w:vAlign w:val="center"/>
          </w:tcPr>
          <w:p w14:paraId="27547D3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nuaadli@163.com</w:t>
            </w:r>
          </w:p>
        </w:tc>
      </w:tr>
      <w:tr w14:paraId="03318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noWrap w:val="0"/>
            <w:vAlign w:val="center"/>
          </w:tcPr>
          <w:p w14:paraId="7A1D209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4</w:t>
            </w:r>
          </w:p>
        </w:tc>
        <w:tc>
          <w:tcPr>
            <w:tcW w:w="810" w:type="pct"/>
            <w:noWrap w:val="0"/>
            <w:vAlign w:val="center"/>
          </w:tcPr>
          <w:p w14:paraId="5364A86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江苏理工学院</w:t>
            </w:r>
          </w:p>
        </w:tc>
        <w:tc>
          <w:tcPr>
            <w:tcW w:w="791" w:type="pct"/>
            <w:noWrap w:val="0"/>
            <w:vAlign w:val="center"/>
          </w:tcPr>
          <w:p w14:paraId="3CDCDEB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基于嵌入式多功能终端的教学管理应用平台</w:t>
            </w:r>
          </w:p>
        </w:tc>
        <w:tc>
          <w:tcPr>
            <w:tcW w:w="364" w:type="pct"/>
            <w:noWrap w:val="0"/>
            <w:vAlign w:val="center"/>
          </w:tcPr>
          <w:p w14:paraId="10A4FB3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人工智能、新一代信息技术</w:t>
            </w:r>
          </w:p>
        </w:tc>
        <w:tc>
          <w:tcPr>
            <w:tcW w:w="504" w:type="pct"/>
            <w:noWrap w:val="0"/>
            <w:vAlign w:val="center"/>
          </w:tcPr>
          <w:p w14:paraId="483356A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170</w:t>
            </w:r>
          </w:p>
        </w:tc>
        <w:tc>
          <w:tcPr>
            <w:tcW w:w="550" w:type="pct"/>
            <w:noWrap w:val="0"/>
            <w:vAlign w:val="center"/>
          </w:tcPr>
          <w:p w14:paraId="56FCBD8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景征骏</w:t>
            </w:r>
          </w:p>
        </w:tc>
        <w:tc>
          <w:tcPr>
            <w:tcW w:w="660" w:type="pct"/>
            <w:noWrap w:val="0"/>
            <w:vAlign w:val="center"/>
          </w:tcPr>
          <w:p w14:paraId="0E6B8F7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13616106073</w:t>
            </w:r>
          </w:p>
        </w:tc>
        <w:tc>
          <w:tcPr>
            <w:tcW w:w="976" w:type="pct"/>
            <w:noWrap w:val="0"/>
            <w:vAlign w:val="center"/>
          </w:tcPr>
          <w:p w14:paraId="1AFB6A2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jzjing@jsut.edu.cn</w:t>
            </w:r>
          </w:p>
        </w:tc>
      </w:tr>
      <w:tr w14:paraId="0F0FE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noWrap w:val="0"/>
            <w:vAlign w:val="center"/>
          </w:tcPr>
          <w:p w14:paraId="61194A8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5</w:t>
            </w:r>
          </w:p>
        </w:tc>
        <w:tc>
          <w:tcPr>
            <w:tcW w:w="810" w:type="pct"/>
            <w:noWrap w:val="0"/>
            <w:vAlign w:val="center"/>
          </w:tcPr>
          <w:p w14:paraId="566F0FA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江苏理工学院</w:t>
            </w:r>
          </w:p>
        </w:tc>
        <w:tc>
          <w:tcPr>
            <w:tcW w:w="791" w:type="pct"/>
            <w:noWrap w:val="0"/>
            <w:vAlign w:val="center"/>
          </w:tcPr>
          <w:p w14:paraId="4349302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7系超高强铝合金的焊接与增材制造成套关键技术及其应用</w:t>
            </w:r>
          </w:p>
        </w:tc>
        <w:tc>
          <w:tcPr>
            <w:tcW w:w="364" w:type="pct"/>
            <w:noWrap w:val="0"/>
            <w:vAlign w:val="center"/>
          </w:tcPr>
          <w:p w14:paraId="14FA192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新材料</w:t>
            </w:r>
          </w:p>
        </w:tc>
        <w:tc>
          <w:tcPr>
            <w:tcW w:w="504" w:type="pct"/>
            <w:noWrap w:val="0"/>
            <w:vAlign w:val="center"/>
          </w:tcPr>
          <w:p w14:paraId="4FC90E2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200</w:t>
            </w:r>
          </w:p>
        </w:tc>
        <w:tc>
          <w:tcPr>
            <w:tcW w:w="550" w:type="pct"/>
            <w:noWrap w:val="0"/>
            <w:vAlign w:val="center"/>
          </w:tcPr>
          <w:p w14:paraId="013AC77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李小平</w:t>
            </w:r>
          </w:p>
        </w:tc>
        <w:tc>
          <w:tcPr>
            <w:tcW w:w="660" w:type="pct"/>
            <w:noWrap w:val="0"/>
            <w:vAlign w:val="center"/>
          </w:tcPr>
          <w:p w14:paraId="589F669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15195004282</w:t>
            </w:r>
          </w:p>
        </w:tc>
        <w:tc>
          <w:tcPr>
            <w:tcW w:w="976" w:type="pct"/>
            <w:noWrap w:val="0"/>
            <w:vAlign w:val="center"/>
          </w:tcPr>
          <w:p w14:paraId="2DFC2B9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18119316859@163.com</w:t>
            </w:r>
          </w:p>
        </w:tc>
      </w:tr>
      <w:tr w14:paraId="06DC2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noWrap w:val="0"/>
            <w:vAlign w:val="center"/>
          </w:tcPr>
          <w:p w14:paraId="604D88D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6</w:t>
            </w:r>
          </w:p>
        </w:tc>
        <w:tc>
          <w:tcPr>
            <w:tcW w:w="810" w:type="pct"/>
            <w:noWrap w:val="0"/>
            <w:vAlign w:val="center"/>
          </w:tcPr>
          <w:p w14:paraId="23A8AD1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江苏理工学院</w:t>
            </w:r>
          </w:p>
        </w:tc>
        <w:tc>
          <w:tcPr>
            <w:tcW w:w="791" w:type="pct"/>
            <w:noWrap w:val="0"/>
            <w:vAlign w:val="center"/>
          </w:tcPr>
          <w:p w14:paraId="414BD94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复合材料结构件数字化设计制造技术及应用</w:t>
            </w:r>
          </w:p>
        </w:tc>
        <w:tc>
          <w:tcPr>
            <w:tcW w:w="364" w:type="pct"/>
            <w:noWrap w:val="0"/>
            <w:vAlign w:val="center"/>
          </w:tcPr>
          <w:p w14:paraId="0808556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新材料</w:t>
            </w:r>
          </w:p>
        </w:tc>
        <w:tc>
          <w:tcPr>
            <w:tcW w:w="504" w:type="pct"/>
            <w:noWrap w:val="0"/>
            <w:vAlign w:val="center"/>
          </w:tcPr>
          <w:p w14:paraId="62E098B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160</w:t>
            </w:r>
          </w:p>
        </w:tc>
        <w:tc>
          <w:tcPr>
            <w:tcW w:w="550" w:type="pct"/>
            <w:noWrap w:val="0"/>
            <w:vAlign w:val="center"/>
          </w:tcPr>
          <w:p w14:paraId="13410F0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邱睿</w:t>
            </w:r>
          </w:p>
        </w:tc>
        <w:tc>
          <w:tcPr>
            <w:tcW w:w="660" w:type="pct"/>
            <w:noWrap w:val="0"/>
            <w:vAlign w:val="center"/>
          </w:tcPr>
          <w:p w14:paraId="52E525F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15051951916</w:t>
            </w:r>
          </w:p>
        </w:tc>
        <w:tc>
          <w:tcPr>
            <w:tcW w:w="976" w:type="pct"/>
            <w:noWrap w:val="0"/>
            <w:vAlign w:val="center"/>
          </w:tcPr>
          <w:p w14:paraId="5511A14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1qiurui999@163.com</w:t>
            </w:r>
          </w:p>
        </w:tc>
      </w:tr>
      <w:tr w14:paraId="2B300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noWrap w:val="0"/>
            <w:vAlign w:val="center"/>
          </w:tcPr>
          <w:p w14:paraId="552BE1D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7</w:t>
            </w:r>
          </w:p>
        </w:tc>
        <w:tc>
          <w:tcPr>
            <w:tcW w:w="810" w:type="pct"/>
            <w:noWrap w:val="0"/>
            <w:vAlign w:val="center"/>
          </w:tcPr>
          <w:p w14:paraId="3A781A2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val="en-US" w:eastAsia="zh-CN"/>
              </w:rPr>
              <w:t>江苏理工学院</w:t>
            </w:r>
          </w:p>
        </w:tc>
        <w:tc>
          <w:tcPr>
            <w:tcW w:w="791" w:type="pct"/>
            <w:noWrap w:val="0"/>
            <w:vAlign w:val="center"/>
          </w:tcPr>
          <w:p w14:paraId="64DFA82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高性能航空铝合金超疏水表面</w:t>
            </w:r>
          </w:p>
        </w:tc>
        <w:tc>
          <w:tcPr>
            <w:tcW w:w="364" w:type="pct"/>
            <w:noWrap w:val="0"/>
            <w:vAlign w:val="center"/>
          </w:tcPr>
          <w:p w14:paraId="5909FB0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新材料</w:t>
            </w:r>
          </w:p>
        </w:tc>
        <w:tc>
          <w:tcPr>
            <w:tcW w:w="504" w:type="pct"/>
            <w:noWrap w:val="0"/>
            <w:vAlign w:val="center"/>
          </w:tcPr>
          <w:p w14:paraId="69F53BB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150</w:t>
            </w:r>
          </w:p>
        </w:tc>
        <w:tc>
          <w:tcPr>
            <w:tcW w:w="550" w:type="pct"/>
            <w:noWrap w:val="0"/>
            <w:vAlign w:val="center"/>
          </w:tcPr>
          <w:p w14:paraId="1620900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缑延强</w:t>
            </w:r>
          </w:p>
        </w:tc>
        <w:tc>
          <w:tcPr>
            <w:tcW w:w="660" w:type="pct"/>
            <w:noWrap w:val="0"/>
            <w:vAlign w:val="center"/>
          </w:tcPr>
          <w:p w14:paraId="0BECCD3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15295167797</w:t>
            </w:r>
          </w:p>
        </w:tc>
        <w:tc>
          <w:tcPr>
            <w:tcW w:w="976" w:type="pct"/>
            <w:noWrap w:val="0"/>
            <w:vAlign w:val="center"/>
          </w:tcPr>
          <w:p w14:paraId="2A3131D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gouyqujs@163.com</w:t>
            </w:r>
          </w:p>
        </w:tc>
      </w:tr>
      <w:tr w14:paraId="766D5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613" w:hRule="atLeast"/>
          <w:jc w:val="center"/>
        </w:trPr>
        <w:tc>
          <w:tcPr>
            <w:tcW w:w="342" w:type="pct"/>
            <w:shd w:val="clear" w:color="auto" w:fill="auto"/>
            <w:noWrap w:val="0"/>
            <w:vAlign w:val="center"/>
          </w:tcPr>
          <w:p w14:paraId="5AABD3C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8</w:t>
            </w:r>
          </w:p>
        </w:tc>
        <w:tc>
          <w:tcPr>
            <w:tcW w:w="810" w:type="pct"/>
            <w:shd w:val="clear" w:color="auto" w:fill="auto"/>
            <w:noWrap w:val="0"/>
            <w:vAlign w:val="center"/>
          </w:tcPr>
          <w:p w14:paraId="5EF1CCB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江苏理工学院</w:t>
            </w:r>
          </w:p>
        </w:tc>
        <w:tc>
          <w:tcPr>
            <w:tcW w:w="791" w:type="pct"/>
            <w:shd w:val="clear" w:color="auto" w:fill="auto"/>
            <w:noWrap w:val="0"/>
            <w:vAlign w:val="center"/>
          </w:tcPr>
          <w:p w14:paraId="7B6E626D">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生物质气化-活化联产炭基功能材料技术创新与应用</w:t>
            </w:r>
          </w:p>
        </w:tc>
        <w:tc>
          <w:tcPr>
            <w:tcW w:w="364" w:type="pct"/>
            <w:shd w:val="clear" w:color="auto" w:fill="auto"/>
            <w:noWrap w:val="0"/>
            <w:vAlign w:val="center"/>
          </w:tcPr>
          <w:p w14:paraId="2B9ED28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eastAsia="zh-CN"/>
              </w:rPr>
              <w:t>新材料</w:t>
            </w:r>
          </w:p>
        </w:tc>
        <w:tc>
          <w:tcPr>
            <w:tcW w:w="504" w:type="pct"/>
            <w:shd w:val="clear" w:color="auto" w:fill="auto"/>
            <w:noWrap w:val="0"/>
            <w:vAlign w:val="center"/>
          </w:tcPr>
          <w:p w14:paraId="77B8060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200</w:t>
            </w:r>
          </w:p>
        </w:tc>
        <w:tc>
          <w:tcPr>
            <w:tcW w:w="550" w:type="pct"/>
            <w:shd w:val="clear" w:color="auto" w:fill="auto"/>
            <w:noWrap w:val="0"/>
            <w:vAlign w:val="center"/>
          </w:tcPr>
          <w:p w14:paraId="33F085D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秦恒飞</w:t>
            </w:r>
          </w:p>
        </w:tc>
        <w:tc>
          <w:tcPr>
            <w:tcW w:w="660" w:type="pct"/>
            <w:shd w:val="clear" w:color="auto" w:fill="auto"/>
            <w:noWrap w:val="0"/>
            <w:vAlign w:val="center"/>
          </w:tcPr>
          <w:p w14:paraId="0963D3F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18061713160</w:t>
            </w:r>
          </w:p>
        </w:tc>
        <w:tc>
          <w:tcPr>
            <w:tcW w:w="976" w:type="pct"/>
            <w:shd w:val="clear" w:color="auto" w:fill="auto"/>
            <w:noWrap w:val="0"/>
            <w:vAlign w:val="center"/>
          </w:tcPr>
          <w:p w14:paraId="4798C0E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jlgqinhf@jsut.edu.cn</w:t>
            </w:r>
          </w:p>
        </w:tc>
      </w:tr>
      <w:tr w14:paraId="60209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22366D11">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9</w:t>
            </w:r>
          </w:p>
        </w:tc>
        <w:tc>
          <w:tcPr>
            <w:tcW w:w="810" w:type="pct"/>
            <w:shd w:val="clear" w:color="auto" w:fill="auto"/>
            <w:noWrap w:val="0"/>
            <w:vAlign w:val="center"/>
          </w:tcPr>
          <w:p w14:paraId="3FB6BED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江苏理工学院</w:t>
            </w:r>
          </w:p>
        </w:tc>
        <w:tc>
          <w:tcPr>
            <w:tcW w:w="791" w:type="pct"/>
            <w:shd w:val="clear" w:color="auto" w:fill="auto"/>
            <w:noWrap w:val="0"/>
            <w:vAlign w:val="center"/>
          </w:tcPr>
          <w:p w14:paraId="507C46B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电动汽车永磁同步电机高性能驱动系统/数控机床永磁同步电主轴高性能驱动系统</w:t>
            </w:r>
          </w:p>
        </w:tc>
        <w:tc>
          <w:tcPr>
            <w:tcW w:w="364" w:type="pct"/>
            <w:shd w:val="clear" w:color="auto" w:fill="auto"/>
            <w:noWrap w:val="0"/>
            <w:vAlign w:val="center"/>
          </w:tcPr>
          <w:p w14:paraId="3D7BCA3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eastAsia="zh-CN"/>
              </w:rPr>
              <w:t>人工智能、新一代信息技术</w:t>
            </w:r>
          </w:p>
        </w:tc>
        <w:tc>
          <w:tcPr>
            <w:tcW w:w="504" w:type="pct"/>
            <w:shd w:val="clear" w:color="auto" w:fill="auto"/>
            <w:noWrap w:val="0"/>
            <w:vAlign w:val="center"/>
          </w:tcPr>
          <w:p w14:paraId="2E4111D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180</w:t>
            </w:r>
          </w:p>
        </w:tc>
        <w:tc>
          <w:tcPr>
            <w:tcW w:w="550" w:type="pct"/>
            <w:shd w:val="clear" w:color="auto" w:fill="auto"/>
            <w:noWrap w:val="0"/>
            <w:vAlign w:val="center"/>
          </w:tcPr>
          <w:p w14:paraId="6A47BB9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王琪</w:t>
            </w:r>
          </w:p>
        </w:tc>
        <w:tc>
          <w:tcPr>
            <w:tcW w:w="660" w:type="pct"/>
            <w:shd w:val="clear" w:color="auto" w:fill="auto"/>
            <w:noWrap w:val="0"/>
            <w:vAlign w:val="center"/>
          </w:tcPr>
          <w:p w14:paraId="6A4F2AD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13961162983</w:t>
            </w:r>
          </w:p>
        </w:tc>
        <w:tc>
          <w:tcPr>
            <w:tcW w:w="976" w:type="pct"/>
            <w:shd w:val="clear" w:color="auto" w:fill="auto"/>
            <w:noWrap w:val="0"/>
            <w:vAlign w:val="center"/>
          </w:tcPr>
          <w:p w14:paraId="4482717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wangqi@jsut.edu.cn</w:t>
            </w:r>
          </w:p>
        </w:tc>
      </w:tr>
      <w:tr w14:paraId="21ED9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10D44281">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10</w:t>
            </w:r>
          </w:p>
        </w:tc>
        <w:tc>
          <w:tcPr>
            <w:tcW w:w="810" w:type="pct"/>
            <w:shd w:val="clear" w:color="auto" w:fill="auto"/>
            <w:noWrap w:val="0"/>
            <w:vAlign w:val="center"/>
          </w:tcPr>
          <w:p w14:paraId="68F1C2F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江苏理工学院</w:t>
            </w:r>
          </w:p>
        </w:tc>
        <w:tc>
          <w:tcPr>
            <w:tcW w:w="791" w:type="pct"/>
            <w:shd w:val="clear" w:color="auto" w:fill="auto"/>
            <w:noWrap w:val="0"/>
            <w:vAlign w:val="center"/>
          </w:tcPr>
          <w:p w14:paraId="10C82D51">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大模型在机械设计中应用关键技术研究</w:t>
            </w:r>
          </w:p>
        </w:tc>
        <w:tc>
          <w:tcPr>
            <w:tcW w:w="364" w:type="pct"/>
            <w:shd w:val="clear" w:color="auto" w:fill="auto"/>
            <w:noWrap w:val="0"/>
            <w:vAlign w:val="center"/>
          </w:tcPr>
          <w:p w14:paraId="622E33ED">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eastAsia="zh-CN"/>
              </w:rPr>
              <w:t>新一代信息技术、高端装备</w:t>
            </w:r>
          </w:p>
        </w:tc>
        <w:tc>
          <w:tcPr>
            <w:tcW w:w="504" w:type="pct"/>
            <w:shd w:val="clear" w:color="auto" w:fill="auto"/>
            <w:noWrap w:val="0"/>
            <w:vAlign w:val="center"/>
          </w:tcPr>
          <w:p w14:paraId="6E27480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106</w:t>
            </w:r>
          </w:p>
        </w:tc>
        <w:tc>
          <w:tcPr>
            <w:tcW w:w="550" w:type="pct"/>
            <w:shd w:val="clear" w:color="auto" w:fill="auto"/>
            <w:noWrap w:val="0"/>
            <w:vAlign w:val="center"/>
          </w:tcPr>
          <w:p w14:paraId="0E37BB4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王永星</w:t>
            </w:r>
          </w:p>
        </w:tc>
        <w:tc>
          <w:tcPr>
            <w:tcW w:w="660" w:type="pct"/>
            <w:shd w:val="clear" w:color="auto" w:fill="auto"/>
            <w:noWrap w:val="0"/>
            <w:vAlign w:val="center"/>
          </w:tcPr>
          <w:p w14:paraId="11328D3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18906111097</w:t>
            </w:r>
          </w:p>
        </w:tc>
        <w:tc>
          <w:tcPr>
            <w:tcW w:w="976" w:type="pct"/>
            <w:shd w:val="clear" w:color="auto" w:fill="auto"/>
            <w:noWrap w:val="0"/>
            <w:vAlign w:val="center"/>
          </w:tcPr>
          <w:p w14:paraId="6272507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wyx_783@163.com</w:t>
            </w:r>
          </w:p>
        </w:tc>
      </w:tr>
      <w:tr w14:paraId="525D1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noWrap w:val="0"/>
            <w:vAlign w:val="center"/>
          </w:tcPr>
          <w:p w14:paraId="1187CA1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11</w:t>
            </w:r>
          </w:p>
        </w:tc>
        <w:tc>
          <w:tcPr>
            <w:tcW w:w="810" w:type="pct"/>
            <w:noWrap w:val="0"/>
            <w:vAlign w:val="center"/>
          </w:tcPr>
          <w:p w14:paraId="5995251D">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上海交通大学</w:t>
            </w:r>
          </w:p>
        </w:tc>
        <w:tc>
          <w:tcPr>
            <w:tcW w:w="791" w:type="pct"/>
            <w:noWrap w:val="0"/>
            <w:vAlign w:val="center"/>
          </w:tcPr>
          <w:p w14:paraId="327FAE5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轻质高强高模高阻尼烯碳铝合金</w:t>
            </w:r>
          </w:p>
        </w:tc>
        <w:tc>
          <w:tcPr>
            <w:tcW w:w="364" w:type="pct"/>
            <w:noWrap w:val="0"/>
            <w:vAlign w:val="center"/>
          </w:tcPr>
          <w:p w14:paraId="3599AC9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新材料</w:t>
            </w:r>
          </w:p>
        </w:tc>
        <w:tc>
          <w:tcPr>
            <w:tcW w:w="504" w:type="pct"/>
            <w:noWrap w:val="0"/>
            <w:vAlign w:val="center"/>
          </w:tcPr>
          <w:p w14:paraId="5A8CB8F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200</w:t>
            </w:r>
          </w:p>
        </w:tc>
        <w:tc>
          <w:tcPr>
            <w:tcW w:w="550" w:type="pct"/>
            <w:noWrap w:val="0"/>
            <w:vAlign w:val="center"/>
          </w:tcPr>
          <w:p w14:paraId="703711B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王东岑</w:t>
            </w:r>
          </w:p>
        </w:tc>
        <w:tc>
          <w:tcPr>
            <w:tcW w:w="660" w:type="pct"/>
            <w:noWrap w:val="0"/>
            <w:vAlign w:val="center"/>
          </w:tcPr>
          <w:p w14:paraId="04F6E07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13817711852</w:t>
            </w:r>
          </w:p>
        </w:tc>
        <w:tc>
          <w:tcPr>
            <w:tcW w:w="976" w:type="pct"/>
            <w:noWrap w:val="0"/>
            <w:vAlign w:val="center"/>
          </w:tcPr>
          <w:p w14:paraId="6C2B4B5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wangdongcen@sjtu.edu.cn</w:t>
            </w:r>
          </w:p>
        </w:tc>
      </w:tr>
      <w:tr w14:paraId="50A31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noWrap w:val="0"/>
            <w:vAlign w:val="center"/>
          </w:tcPr>
          <w:p w14:paraId="790D61B1">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12</w:t>
            </w:r>
          </w:p>
        </w:tc>
        <w:tc>
          <w:tcPr>
            <w:tcW w:w="810" w:type="pct"/>
            <w:noWrap w:val="0"/>
            <w:vAlign w:val="center"/>
          </w:tcPr>
          <w:p w14:paraId="4B802FD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上海交通大学</w:t>
            </w:r>
          </w:p>
        </w:tc>
        <w:tc>
          <w:tcPr>
            <w:tcW w:w="791" w:type="pct"/>
            <w:noWrap w:val="0"/>
            <w:vAlign w:val="center"/>
          </w:tcPr>
          <w:p w14:paraId="5B0BEF31">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数控机床综合误差动态实时补偿器</w:t>
            </w:r>
          </w:p>
        </w:tc>
        <w:tc>
          <w:tcPr>
            <w:tcW w:w="364" w:type="pct"/>
            <w:noWrap w:val="0"/>
            <w:vAlign w:val="center"/>
          </w:tcPr>
          <w:p w14:paraId="09D2BE8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人工智能、循环制造</w:t>
            </w:r>
          </w:p>
        </w:tc>
        <w:tc>
          <w:tcPr>
            <w:tcW w:w="504" w:type="pct"/>
            <w:noWrap w:val="0"/>
            <w:vAlign w:val="center"/>
          </w:tcPr>
          <w:p w14:paraId="71D1EB8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300</w:t>
            </w:r>
          </w:p>
        </w:tc>
        <w:tc>
          <w:tcPr>
            <w:tcW w:w="550" w:type="pct"/>
            <w:shd w:val="clear" w:color="auto" w:fill="auto"/>
            <w:noWrap w:val="0"/>
            <w:vAlign w:val="center"/>
          </w:tcPr>
          <w:p w14:paraId="3AC1D8E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eastAsia="zh-CN"/>
              </w:rPr>
              <w:t>王东岑</w:t>
            </w:r>
          </w:p>
        </w:tc>
        <w:tc>
          <w:tcPr>
            <w:tcW w:w="660" w:type="pct"/>
            <w:shd w:val="clear" w:color="auto" w:fill="auto"/>
            <w:noWrap w:val="0"/>
            <w:vAlign w:val="center"/>
          </w:tcPr>
          <w:p w14:paraId="3BE2B09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13817711852</w:t>
            </w:r>
          </w:p>
        </w:tc>
        <w:tc>
          <w:tcPr>
            <w:tcW w:w="976" w:type="pct"/>
            <w:shd w:val="clear" w:color="auto" w:fill="auto"/>
            <w:noWrap w:val="0"/>
            <w:vAlign w:val="center"/>
          </w:tcPr>
          <w:p w14:paraId="5CA4CFF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wangdongcen@sjtu.edu.cn</w:t>
            </w:r>
          </w:p>
        </w:tc>
      </w:tr>
      <w:tr w14:paraId="37F1B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noWrap w:val="0"/>
            <w:vAlign w:val="center"/>
          </w:tcPr>
          <w:p w14:paraId="3100052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13</w:t>
            </w:r>
          </w:p>
        </w:tc>
        <w:tc>
          <w:tcPr>
            <w:tcW w:w="810" w:type="pct"/>
            <w:noWrap w:val="0"/>
            <w:vAlign w:val="center"/>
          </w:tcPr>
          <w:p w14:paraId="183D9D5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上海交通大学</w:t>
            </w:r>
          </w:p>
        </w:tc>
        <w:tc>
          <w:tcPr>
            <w:tcW w:w="791" w:type="pct"/>
            <w:noWrap w:val="0"/>
            <w:vAlign w:val="center"/>
          </w:tcPr>
          <w:p w14:paraId="0A6C169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基于ToF的全自动高精度三维测量系统</w:t>
            </w:r>
          </w:p>
        </w:tc>
        <w:tc>
          <w:tcPr>
            <w:tcW w:w="364" w:type="pct"/>
            <w:noWrap w:val="0"/>
            <w:vAlign w:val="center"/>
          </w:tcPr>
          <w:p w14:paraId="7FD7118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人工智能、新一代信息技术</w:t>
            </w:r>
          </w:p>
        </w:tc>
        <w:tc>
          <w:tcPr>
            <w:tcW w:w="504" w:type="pct"/>
            <w:noWrap w:val="0"/>
            <w:vAlign w:val="center"/>
          </w:tcPr>
          <w:p w14:paraId="5357453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150</w:t>
            </w:r>
          </w:p>
        </w:tc>
        <w:tc>
          <w:tcPr>
            <w:tcW w:w="550" w:type="pct"/>
            <w:shd w:val="clear" w:color="auto" w:fill="auto"/>
            <w:noWrap w:val="0"/>
            <w:vAlign w:val="center"/>
          </w:tcPr>
          <w:p w14:paraId="390DFE1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eastAsia="zh-CN"/>
              </w:rPr>
              <w:t>王东岑</w:t>
            </w:r>
          </w:p>
        </w:tc>
        <w:tc>
          <w:tcPr>
            <w:tcW w:w="660" w:type="pct"/>
            <w:shd w:val="clear" w:color="auto" w:fill="auto"/>
            <w:noWrap w:val="0"/>
            <w:vAlign w:val="center"/>
          </w:tcPr>
          <w:p w14:paraId="457A7C51">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13817711852</w:t>
            </w:r>
          </w:p>
        </w:tc>
        <w:tc>
          <w:tcPr>
            <w:tcW w:w="976" w:type="pct"/>
            <w:shd w:val="clear" w:color="auto" w:fill="auto"/>
            <w:noWrap w:val="0"/>
            <w:vAlign w:val="center"/>
          </w:tcPr>
          <w:p w14:paraId="593E902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wangdongcen@sjtu.edu.cn</w:t>
            </w:r>
          </w:p>
        </w:tc>
      </w:tr>
      <w:tr w14:paraId="3FD8C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61D56E8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14</w:t>
            </w:r>
          </w:p>
        </w:tc>
        <w:tc>
          <w:tcPr>
            <w:tcW w:w="810" w:type="pct"/>
            <w:noWrap w:val="0"/>
            <w:vAlign w:val="center"/>
          </w:tcPr>
          <w:p w14:paraId="38279D0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常州南京大学高新技术研究院</w:t>
            </w:r>
          </w:p>
        </w:tc>
        <w:tc>
          <w:tcPr>
            <w:tcW w:w="791" w:type="pct"/>
            <w:noWrap w:val="0"/>
            <w:vAlign w:val="center"/>
          </w:tcPr>
          <w:p w14:paraId="206E5F2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急性/慢性肝损伤的乏氧可逆双模式成像</w:t>
            </w:r>
          </w:p>
        </w:tc>
        <w:tc>
          <w:tcPr>
            <w:tcW w:w="364" w:type="pct"/>
            <w:noWrap w:val="0"/>
            <w:vAlign w:val="center"/>
          </w:tcPr>
          <w:p w14:paraId="4C4F325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合成生物</w:t>
            </w:r>
          </w:p>
        </w:tc>
        <w:tc>
          <w:tcPr>
            <w:tcW w:w="504" w:type="pct"/>
            <w:noWrap w:val="0"/>
            <w:vAlign w:val="center"/>
          </w:tcPr>
          <w:p w14:paraId="1FA7C7B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1000</w:t>
            </w:r>
          </w:p>
        </w:tc>
        <w:tc>
          <w:tcPr>
            <w:tcW w:w="550" w:type="pct"/>
            <w:shd w:val="clear" w:color="auto" w:fill="auto"/>
            <w:noWrap w:val="0"/>
            <w:vAlign w:val="center"/>
          </w:tcPr>
          <w:p w14:paraId="794F058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岳邦毅</w:t>
            </w:r>
          </w:p>
        </w:tc>
        <w:tc>
          <w:tcPr>
            <w:tcW w:w="660" w:type="pct"/>
            <w:shd w:val="clear" w:color="auto" w:fill="auto"/>
            <w:noWrap w:val="0"/>
            <w:vAlign w:val="center"/>
          </w:tcPr>
          <w:p w14:paraId="69939D5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18961299766</w:t>
            </w:r>
          </w:p>
        </w:tc>
        <w:tc>
          <w:tcPr>
            <w:tcW w:w="976" w:type="pct"/>
            <w:shd w:val="clear" w:color="auto" w:fill="auto"/>
            <w:noWrap w:val="0"/>
            <w:vAlign w:val="center"/>
          </w:tcPr>
          <w:p w14:paraId="42E0DB2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627823152@qq.com</w:t>
            </w:r>
          </w:p>
        </w:tc>
      </w:tr>
      <w:tr w14:paraId="2F137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04496B7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15</w:t>
            </w:r>
          </w:p>
        </w:tc>
        <w:tc>
          <w:tcPr>
            <w:tcW w:w="810" w:type="pct"/>
            <w:noWrap w:val="0"/>
            <w:vAlign w:val="center"/>
          </w:tcPr>
          <w:p w14:paraId="467E5D6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常州南京大学高新技术研究院</w:t>
            </w:r>
          </w:p>
        </w:tc>
        <w:tc>
          <w:tcPr>
            <w:tcW w:w="791" w:type="pct"/>
            <w:noWrap w:val="0"/>
            <w:vAlign w:val="center"/>
          </w:tcPr>
          <w:p w14:paraId="5E08503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微囊藻毒素-RR（MC-RR）在制备预防和治疗组织纤维化疾病药物中的用途</w:t>
            </w:r>
          </w:p>
        </w:tc>
        <w:tc>
          <w:tcPr>
            <w:tcW w:w="364" w:type="pct"/>
            <w:noWrap w:val="0"/>
            <w:vAlign w:val="center"/>
          </w:tcPr>
          <w:p w14:paraId="6296488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合成生物</w:t>
            </w:r>
          </w:p>
        </w:tc>
        <w:tc>
          <w:tcPr>
            <w:tcW w:w="504" w:type="pct"/>
            <w:noWrap w:val="0"/>
            <w:vAlign w:val="center"/>
          </w:tcPr>
          <w:p w14:paraId="7E0AB51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600</w:t>
            </w:r>
          </w:p>
        </w:tc>
        <w:tc>
          <w:tcPr>
            <w:tcW w:w="550" w:type="pct"/>
            <w:shd w:val="clear" w:color="auto" w:fill="auto"/>
            <w:noWrap w:val="0"/>
            <w:vAlign w:val="center"/>
          </w:tcPr>
          <w:p w14:paraId="1D18DB2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岳邦毅</w:t>
            </w:r>
          </w:p>
        </w:tc>
        <w:tc>
          <w:tcPr>
            <w:tcW w:w="660" w:type="pct"/>
            <w:shd w:val="clear" w:color="auto" w:fill="auto"/>
            <w:noWrap w:val="0"/>
            <w:vAlign w:val="center"/>
          </w:tcPr>
          <w:p w14:paraId="2CAF671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18961299766</w:t>
            </w:r>
          </w:p>
        </w:tc>
        <w:tc>
          <w:tcPr>
            <w:tcW w:w="976" w:type="pct"/>
            <w:shd w:val="clear" w:color="auto" w:fill="auto"/>
            <w:noWrap w:val="0"/>
            <w:vAlign w:val="center"/>
          </w:tcPr>
          <w:p w14:paraId="75C46F0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627823152@qq.com</w:t>
            </w:r>
          </w:p>
        </w:tc>
      </w:tr>
      <w:tr w14:paraId="3B936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36FC180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16</w:t>
            </w:r>
          </w:p>
        </w:tc>
        <w:tc>
          <w:tcPr>
            <w:tcW w:w="810" w:type="pct"/>
            <w:noWrap w:val="0"/>
            <w:vAlign w:val="center"/>
          </w:tcPr>
          <w:p w14:paraId="7E86F7F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常州南京大学高新技术研究院</w:t>
            </w:r>
          </w:p>
        </w:tc>
        <w:tc>
          <w:tcPr>
            <w:tcW w:w="791" w:type="pct"/>
            <w:noWrap w:val="0"/>
            <w:vAlign w:val="center"/>
          </w:tcPr>
          <w:p w14:paraId="58E9EF3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一种5G通信用聚酰亚胺（PI）薄膜</w:t>
            </w:r>
          </w:p>
        </w:tc>
        <w:tc>
          <w:tcPr>
            <w:tcW w:w="364" w:type="pct"/>
            <w:noWrap w:val="0"/>
            <w:vAlign w:val="center"/>
          </w:tcPr>
          <w:p w14:paraId="4E417B3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新材料</w:t>
            </w:r>
          </w:p>
        </w:tc>
        <w:tc>
          <w:tcPr>
            <w:tcW w:w="504" w:type="pct"/>
            <w:noWrap w:val="0"/>
            <w:vAlign w:val="center"/>
          </w:tcPr>
          <w:p w14:paraId="49C2967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2000</w:t>
            </w:r>
          </w:p>
        </w:tc>
        <w:tc>
          <w:tcPr>
            <w:tcW w:w="550" w:type="pct"/>
            <w:shd w:val="clear" w:color="auto" w:fill="auto"/>
            <w:noWrap w:val="0"/>
            <w:vAlign w:val="center"/>
          </w:tcPr>
          <w:p w14:paraId="59749E0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岳邦毅</w:t>
            </w:r>
          </w:p>
        </w:tc>
        <w:tc>
          <w:tcPr>
            <w:tcW w:w="660" w:type="pct"/>
            <w:shd w:val="clear" w:color="auto" w:fill="auto"/>
            <w:noWrap w:val="0"/>
            <w:vAlign w:val="center"/>
          </w:tcPr>
          <w:p w14:paraId="47F3B2C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18961299766</w:t>
            </w:r>
          </w:p>
        </w:tc>
        <w:tc>
          <w:tcPr>
            <w:tcW w:w="976" w:type="pct"/>
            <w:shd w:val="clear" w:color="auto" w:fill="auto"/>
            <w:noWrap w:val="0"/>
            <w:vAlign w:val="center"/>
          </w:tcPr>
          <w:p w14:paraId="50D04CA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627823152@qq.com</w:t>
            </w:r>
          </w:p>
        </w:tc>
      </w:tr>
      <w:tr w14:paraId="7FEE1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5741B9C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17</w:t>
            </w:r>
          </w:p>
        </w:tc>
        <w:tc>
          <w:tcPr>
            <w:tcW w:w="810" w:type="pct"/>
            <w:noWrap w:val="0"/>
            <w:vAlign w:val="center"/>
          </w:tcPr>
          <w:p w14:paraId="61AAAB6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常州南京大学高新技术研究院</w:t>
            </w:r>
          </w:p>
        </w:tc>
        <w:tc>
          <w:tcPr>
            <w:tcW w:w="791" w:type="pct"/>
            <w:noWrap w:val="0"/>
            <w:vAlign w:val="center"/>
          </w:tcPr>
          <w:p w14:paraId="67783DA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下一代氮化镓大功率高集成数字电源关键技术及应用</w:t>
            </w:r>
          </w:p>
        </w:tc>
        <w:tc>
          <w:tcPr>
            <w:tcW w:w="364" w:type="pct"/>
            <w:noWrap w:val="0"/>
            <w:vAlign w:val="center"/>
          </w:tcPr>
          <w:p w14:paraId="308A2B8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新材料、新型储能</w:t>
            </w:r>
          </w:p>
        </w:tc>
        <w:tc>
          <w:tcPr>
            <w:tcW w:w="504" w:type="pct"/>
            <w:shd w:val="clear" w:color="auto" w:fill="auto"/>
            <w:noWrap w:val="0"/>
            <w:vAlign w:val="center"/>
          </w:tcPr>
          <w:p w14:paraId="719D4E6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1000</w:t>
            </w:r>
          </w:p>
        </w:tc>
        <w:tc>
          <w:tcPr>
            <w:tcW w:w="550" w:type="pct"/>
            <w:shd w:val="clear" w:color="auto" w:fill="auto"/>
            <w:noWrap w:val="0"/>
            <w:vAlign w:val="center"/>
          </w:tcPr>
          <w:p w14:paraId="20082BA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岳邦毅</w:t>
            </w:r>
          </w:p>
        </w:tc>
        <w:tc>
          <w:tcPr>
            <w:tcW w:w="660" w:type="pct"/>
            <w:shd w:val="clear" w:color="auto" w:fill="auto"/>
            <w:noWrap w:val="0"/>
            <w:vAlign w:val="center"/>
          </w:tcPr>
          <w:p w14:paraId="5715787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18961299766</w:t>
            </w:r>
          </w:p>
        </w:tc>
        <w:tc>
          <w:tcPr>
            <w:tcW w:w="976" w:type="pct"/>
            <w:shd w:val="clear" w:color="auto" w:fill="auto"/>
            <w:noWrap w:val="0"/>
            <w:vAlign w:val="center"/>
          </w:tcPr>
          <w:p w14:paraId="2306F15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627823152@qq.com</w:t>
            </w:r>
          </w:p>
        </w:tc>
      </w:tr>
      <w:tr w14:paraId="7AA8F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0B60A46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18</w:t>
            </w:r>
          </w:p>
        </w:tc>
        <w:tc>
          <w:tcPr>
            <w:tcW w:w="810" w:type="pct"/>
            <w:noWrap w:val="0"/>
            <w:vAlign w:val="center"/>
          </w:tcPr>
          <w:p w14:paraId="6CCB931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eastAsia="zh-CN"/>
              </w:rPr>
              <w:t>常州钟楼合成生物</w:t>
            </w:r>
            <w:r>
              <w:rPr>
                <w:rFonts w:hint="default" w:ascii="Times New Roman" w:hAnsi="Times New Roman" w:eastAsia="仿宋_GB2312" w:cs="Times New Roman"/>
                <w:kern w:val="2"/>
                <w:sz w:val="21"/>
                <w:szCs w:val="21"/>
                <w:lang w:val="en-US" w:eastAsia="zh-CN"/>
              </w:rPr>
              <w:t>AI研究院</w:t>
            </w:r>
          </w:p>
        </w:tc>
        <w:tc>
          <w:tcPr>
            <w:tcW w:w="791" w:type="pct"/>
            <w:noWrap w:val="0"/>
            <w:vAlign w:val="center"/>
          </w:tcPr>
          <w:p w14:paraId="0BB3E3C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生物智造与分子模拟服务平台</w:t>
            </w:r>
          </w:p>
        </w:tc>
        <w:tc>
          <w:tcPr>
            <w:tcW w:w="364" w:type="pct"/>
            <w:noWrap w:val="0"/>
            <w:vAlign w:val="center"/>
          </w:tcPr>
          <w:p w14:paraId="6CD665F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人工智能、合成生物</w:t>
            </w:r>
          </w:p>
        </w:tc>
        <w:tc>
          <w:tcPr>
            <w:tcW w:w="504" w:type="pct"/>
            <w:noWrap w:val="0"/>
            <w:vAlign w:val="center"/>
          </w:tcPr>
          <w:p w14:paraId="55CF4BC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100</w:t>
            </w:r>
          </w:p>
        </w:tc>
        <w:tc>
          <w:tcPr>
            <w:tcW w:w="550" w:type="pct"/>
            <w:noWrap w:val="0"/>
            <w:vAlign w:val="center"/>
          </w:tcPr>
          <w:p w14:paraId="44D4E41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eastAsia="zh-CN"/>
              </w:rPr>
            </w:pPr>
            <w:r>
              <w:rPr>
                <w:rFonts w:hint="default" w:ascii="Times New Roman" w:hAnsi="Times New Roman" w:eastAsia="仿宋_GB2312" w:cs="Times New Roman"/>
                <w:kern w:val="2"/>
                <w:sz w:val="21"/>
                <w:szCs w:val="21"/>
                <w:lang w:eastAsia="zh-CN"/>
              </w:rPr>
              <w:t>常珊</w:t>
            </w:r>
          </w:p>
        </w:tc>
        <w:tc>
          <w:tcPr>
            <w:tcW w:w="660" w:type="pct"/>
            <w:noWrap w:val="0"/>
            <w:vAlign w:val="center"/>
          </w:tcPr>
          <w:p w14:paraId="09D70F8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1585336450</w:t>
            </w:r>
          </w:p>
        </w:tc>
        <w:tc>
          <w:tcPr>
            <w:tcW w:w="976" w:type="pct"/>
            <w:noWrap w:val="0"/>
            <w:vAlign w:val="center"/>
          </w:tcPr>
          <w:p w14:paraId="5762A10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rPr>
            </w:pPr>
            <w:r>
              <w:rPr>
                <w:rFonts w:hint="default" w:ascii="Times New Roman" w:hAnsi="Times New Roman" w:eastAsia="仿宋_GB2312" w:cs="Times New Roman"/>
                <w:kern w:val="2"/>
                <w:sz w:val="21"/>
                <w:szCs w:val="21"/>
                <w:lang w:val="en-US" w:eastAsia="zh-CN"/>
              </w:rPr>
              <w:t>schang@jsut.edu.cn</w:t>
            </w:r>
          </w:p>
        </w:tc>
      </w:tr>
      <w:tr w14:paraId="5554F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4AF1236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19</w:t>
            </w:r>
          </w:p>
        </w:tc>
        <w:tc>
          <w:tcPr>
            <w:tcW w:w="810" w:type="pct"/>
            <w:shd w:val="clear" w:color="auto" w:fill="auto"/>
            <w:noWrap w:val="0"/>
            <w:vAlign w:val="center"/>
          </w:tcPr>
          <w:p w14:paraId="11887231">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常州江苏大学工程技术研究院</w:t>
            </w:r>
          </w:p>
        </w:tc>
        <w:tc>
          <w:tcPr>
            <w:tcW w:w="791" w:type="pct"/>
            <w:shd w:val="clear" w:color="auto" w:fill="auto"/>
            <w:noWrap w:val="0"/>
            <w:vAlign w:val="center"/>
          </w:tcPr>
          <w:p w14:paraId="1C99137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先进材料制备过程气流场高效温湿度与洁净度调控技术</w:t>
            </w:r>
          </w:p>
        </w:tc>
        <w:tc>
          <w:tcPr>
            <w:tcW w:w="364" w:type="pct"/>
            <w:shd w:val="clear" w:color="auto" w:fill="auto"/>
            <w:noWrap w:val="0"/>
            <w:vAlign w:val="center"/>
          </w:tcPr>
          <w:p w14:paraId="6C46B5E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先进半导体、新材料、高端装备</w:t>
            </w:r>
          </w:p>
        </w:tc>
        <w:tc>
          <w:tcPr>
            <w:tcW w:w="504" w:type="pct"/>
            <w:shd w:val="clear" w:color="auto" w:fill="auto"/>
            <w:noWrap w:val="0"/>
            <w:vAlign w:val="center"/>
          </w:tcPr>
          <w:p w14:paraId="0F82E5D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50</w:t>
            </w:r>
          </w:p>
        </w:tc>
        <w:tc>
          <w:tcPr>
            <w:tcW w:w="550" w:type="pct"/>
            <w:shd w:val="clear" w:color="auto" w:fill="auto"/>
            <w:noWrap w:val="0"/>
            <w:vAlign w:val="center"/>
          </w:tcPr>
          <w:p w14:paraId="3EF957BD">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徐惠斌</w:t>
            </w:r>
          </w:p>
        </w:tc>
        <w:tc>
          <w:tcPr>
            <w:tcW w:w="660" w:type="pct"/>
            <w:shd w:val="clear" w:color="auto" w:fill="auto"/>
            <w:noWrap w:val="0"/>
            <w:vAlign w:val="center"/>
          </w:tcPr>
          <w:p w14:paraId="7E489CD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13961165260</w:t>
            </w:r>
          </w:p>
        </w:tc>
        <w:tc>
          <w:tcPr>
            <w:tcW w:w="976" w:type="pct"/>
            <w:shd w:val="clear" w:color="auto" w:fill="auto"/>
            <w:noWrap w:val="0"/>
            <w:vAlign w:val="center"/>
          </w:tcPr>
          <w:p w14:paraId="69C7F6E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huibin_xu@ujs.edu.cn</w:t>
            </w:r>
          </w:p>
        </w:tc>
      </w:tr>
      <w:tr w14:paraId="3C8D9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232B3B9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20</w:t>
            </w:r>
          </w:p>
        </w:tc>
        <w:tc>
          <w:tcPr>
            <w:tcW w:w="810" w:type="pct"/>
            <w:shd w:val="clear" w:color="auto" w:fill="auto"/>
            <w:noWrap w:val="0"/>
            <w:vAlign w:val="center"/>
          </w:tcPr>
          <w:p w14:paraId="18D2036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常州江苏大学工程技术研究院</w:t>
            </w:r>
          </w:p>
        </w:tc>
        <w:tc>
          <w:tcPr>
            <w:tcW w:w="791" w:type="pct"/>
            <w:shd w:val="clear" w:color="auto" w:fill="auto"/>
            <w:noWrap w:val="0"/>
            <w:vAlign w:val="center"/>
          </w:tcPr>
          <w:p w14:paraId="4901841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线缆智能柔性输送线</w:t>
            </w:r>
          </w:p>
        </w:tc>
        <w:tc>
          <w:tcPr>
            <w:tcW w:w="364" w:type="pct"/>
            <w:shd w:val="clear" w:color="auto" w:fill="auto"/>
            <w:noWrap w:val="0"/>
            <w:vAlign w:val="center"/>
          </w:tcPr>
          <w:p w14:paraId="40DBDF5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高端装备</w:t>
            </w:r>
          </w:p>
        </w:tc>
        <w:tc>
          <w:tcPr>
            <w:tcW w:w="504" w:type="pct"/>
            <w:shd w:val="clear" w:color="auto" w:fill="auto"/>
            <w:noWrap w:val="0"/>
            <w:vAlign w:val="center"/>
          </w:tcPr>
          <w:p w14:paraId="65193031">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100</w:t>
            </w:r>
          </w:p>
        </w:tc>
        <w:tc>
          <w:tcPr>
            <w:tcW w:w="550" w:type="pct"/>
            <w:shd w:val="clear" w:color="auto" w:fill="auto"/>
            <w:noWrap w:val="0"/>
            <w:vAlign w:val="center"/>
          </w:tcPr>
          <w:p w14:paraId="27D92EA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袁浩</w:t>
            </w:r>
          </w:p>
        </w:tc>
        <w:tc>
          <w:tcPr>
            <w:tcW w:w="660" w:type="pct"/>
            <w:shd w:val="clear" w:color="auto" w:fill="auto"/>
            <w:noWrap w:val="0"/>
            <w:vAlign w:val="center"/>
          </w:tcPr>
          <w:p w14:paraId="4EBD572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13961165260</w:t>
            </w:r>
          </w:p>
        </w:tc>
        <w:tc>
          <w:tcPr>
            <w:tcW w:w="976" w:type="pct"/>
            <w:shd w:val="clear" w:color="auto" w:fill="auto"/>
            <w:noWrap w:val="0"/>
            <w:vAlign w:val="center"/>
          </w:tcPr>
          <w:p w14:paraId="0C8830A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285817681@qq.cpm</w:t>
            </w:r>
          </w:p>
        </w:tc>
      </w:tr>
      <w:tr w14:paraId="4A5E8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44A9146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21</w:t>
            </w:r>
          </w:p>
        </w:tc>
        <w:tc>
          <w:tcPr>
            <w:tcW w:w="810" w:type="pct"/>
            <w:shd w:val="clear" w:color="auto" w:fill="auto"/>
            <w:noWrap w:val="0"/>
            <w:vAlign w:val="center"/>
          </w:tcPr>
          <w:p w14:paraId="3BFB27F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常州江苏大学工程技术研究院</w:t>
            </w:r>
          </w:p>
        </w:tc>
        <w:tc>
          <w:tcPr>
            <w:tcW w:w="791" w:type="pct"/>
            <w:shd w:val="clear" w:color="auto" w:fill="auto"/>
            <w:noWrap w:val="0"/>
            <w:vAlign w:val="center"/>
          </w:tcPr>
          <w:p w14:paraId="2EB899FA">
            <w:pPr>
              <w:pStyle w:val="5"/>
              <w:widowControl w:val="0"/>
              <w:spacing w:before="0" w:beforeAutospacing="0" w:after="0" w:afterAutospacing="0" w:line="360" w:lineRule="exact"/>
              <w:jc w:val="both"/>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基于机器视觉的零件表面缺陷检测</w:t>
            </w:r>
          </w:p>
        </w:tc>
        <w:tc>
          <w:tcPr>
            <w:tcW w:w="364" w:type="pct"/>
            <w:shd w:val="clear" w:color="auto" w:fill="auto"/>
            <w:noWrap w:val="0"/>
            <w:vAlign w:val="center"/>
          </w:tcPr>
          <w:p w14:paraId="75C37E1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高端装备</w:t>
            </w:r>
          </w:p>
        </w:tc>
        <w:tc>
          <w:tcPr>
            <w:tcW w:w="504" w:type="pct"/>
            <w:shd w:val="clear" w:color="auto" w:fill="auto"/>
            <w:noWrap w:val="0"/>
            <w:vAlign w:val="center"/>
          </w:tcPr>
          <w:p w14:paraId="6310C23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面议</w:t>
            </w:r>
          </w:p>
        </w:tc>
        <w:tc>
          <w:tcPr>
            <w:tcW w:w="550" w:type="pct"/>
            <w:shd w:val="clear" w:color="auto" w:fill="auto"/>
            <w:noWrap w:val="0"/>
            <w:vAlign w:val="center"/>
          </w:tcPr>
          <w:p w14:paraId="1BCB69B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袁浩</w:t>
            </w:r>
          </w:p>
        </w:tc>
        <w:tc>
          <w:tcPr>
            <w:tcW w:w="660" w:type="pct"/>
            <w:shd w:val="clear" w:color="auto" w:fill="auto"/>
            <w:noWrap w:val="0"/>
            <w:vAlign w:val="center"/>
          </w:tcPr>
          <w:p w14:paraId="3C71F1B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13961165260</w:t>
            </w:r>
          </w:p>
        </w:tc>
        <w:tc>
          <w:tcPr>
            <w:tcW w:w="976" w:type="pct"/>
            <w:shd w:val="clear" w:color="auto" w:fill="auto"/>
            <w:noWrap w:val="0"/>
            <w:vAlign w:val="center"/>
          </w:tcPr>
          <w:p w14:paraId="3AD4A95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285817681@qq.cpm</w:t>
            </w:r>
          </w:p>
        </w:tc>
      </w:tr>
      <w:tr w14:paraId="7E9C0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7E71AD41">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22</w:t>
            </w:r>
          </w:p>
        </w:tc>
        <w:tc>
          <w:tcPr>
            <w:tcW w:w="810" w:type="pct"/>
            <w:shd w:val="clear" w:color="auto" w:fill="auto"/>
            <w:noWrap w:val="0"/>
            <w:vAlign w:val="center"/>
          </w:tcPr>
          <w:p w14:paraId="12F1702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常州江苏大学工程技术研究院</w:t>
            </w:r>
          </w:p>
        </w:tc>
        <w:tc>
          <w:tcPr>
            <w:tcW w:w="791" w:type="pct"/>
            <w:shd w:val="clear" w:color="auto" w:fill="auto"/>
            <w:noWrap w:val="0"/>
            <w:vAlign w:val="center"/>
          </w:tcPr>
          <w:p w14:paraId="290A484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无人化场景农业机器人导航控制与协同作业技术及系统</w:t>
            </w:r>
          </w:p>
        </w:tc>
        <w:tc>
          <w:tcPr>
            <w:tcW w:w="364" w:type="pct"/>
            <w:shd w:val="clear" w:color="auto" w:fill="auto"/>
            <w:noWrap w:val="0"/>
            <w:vAlign w:val="center"/>
          </w:tcPr>
          <w:p w14:paraId="53A7B7F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新一代信息技术、高端装备</w:t>
            </w:r>
          </w:p>
        </w:tc>
        <w:tc>
          <w:tcPr>
            <w:tcW w:w="504" w:type="pct"/>
            <w:shd w:val="clear" w:color="auto" w:fill="auto"/>
            <w:noWrap w:val="0"/>
            <w:vAlign w:val="center"/>
          </w:tcPr>
          <w:p w14:paraId="01B98F0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100</w:t>
            </w:r>
          </w:p>
        </w:tc>
        <w:tc>
          <w:tcPr>
            <w:tcW w:w="550" w:type="pct"/>
            <w:shd w:val="clear" w:color="auto" w:fill="auto"/>
            <w:noWrap w:val="0"/>
            <w:vAlign w:val="center"/>
          </w:tcPr>
          <w:p w14:paraId="2A051D4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崔冰波</w:t>
            </w:r>
          </w:p>
        </w:tc>
        <w:tc>
          <w:tcPr>
            <w:tcW w:w="660" w:type="pct"/>
            <w:shd w:val="clear" w:color="auto" w:fill="auto"/>
            <w:noWrap w:val="0"/>
            <w:vAlign w:val="center"/>
          </w:tcPr>
          <w:p w14:paraId="4A67BC1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13961165260</w:t>
            </w:r>
          </w:p>
        </w:tc>
        <w:tc>
          <w:tcPr>
            <w:tcW w:w="976" w:type="pct"/>
            <w:shd w:val="clear" w:color="auto" w:fill="auto"/>
            <w:noWrap w:val="0"/>
            <w:vAlign w:val="center"/>
          </w:tcPr>
          <w:p w14:paraId="1C819C8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cuibingbo@ujs.edu.cn</w:t>
            </w:r>
          </w:p>
        </w:tc>
      </w:tr>
      <w:tr w14:paraId="72302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81" w:hRule="atLeast"/>
          <w:jc w:val="center"/>
        </w:trPr>
        <w:tc>
          <w:tcPr>
            <w:tcW w:w="342" w:type="pct"/>
            <w:shd w:val="clear" w:color="auto" w:fill="auto"/>
            <w:noWrap w:val="0"/>
            <w:vAlign w:val="center"/>
          </w:tcPr>
          <w:p w14:paraId="59C1F85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23</w:t>
            </w:r>
          </w:p>
        </w:tc>
        <w:tc>
          <w:tcPr>
            <w:tcW w:w="810" w:type="pct"/>
            <w:shd w:val="clear" w:color="auto" w:fill="auto"/>
            <w:noWrap w:val="0"/>
            <w:vAlign w:val="center"/>
          </w:tcPr>
          <w:p w14:paraId="284A9DB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北京大数据研究院</w:t>
            </w:r>
          </w:p>
        </w:tc>
        <w:tc>
          <w:tcPr>
            <w:tcW w:w="791" w:type="pct"/>
            <w:shd w:val="clear" w:color="auto" w:fill="auto"/>
            <w:noWrap w:val="0"/>
            <w:vAlign w:val="center"/>
          </w:tcPr>
          <w:p w14:paraId="038AFFC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新能源电池研发设计干湿闭环科学智能体</w:t>
            </w:r>
          </w:p>
        </w:tc>
        <w:tc>
          <w:tcPr>
            <w:tcW w:w="364" w:type="pct"/>
            <w:shd w:val="clear" w:color="auto" w:fill="auto"/>
            <w:noWrap w:val="0"/>
            <w:vAlign w:val="center"/>
          </w:tcPr>
          <w:p w14:paraId="1C07A96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人工智能</w:t>
            </w:r>
          </w:p>
        </w:tc>
        <w:tc>
          <w:tcPr>
            <w:tcW w:w="504" w:type="pct"/>
            <w:shd w:val="clear" w:color="auto" w:fill="auto"/>
            <w:noWrap w:val="0"/>
            <w:vAlign w:val="center"/>
          </w:tcPr>
          <w:p w14:paraId="00EC2F0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100</w:t>
            </w:r>
          </w:p>
        </w:tc>
        <w:tc>
          <w:tcPr>
            <w:tcW w:w="550" w:type="pct"/>
            <w:shd w:val="clear" w:color="auto" w:fill="auto"/>
            <w:noWrap w:val="0"/>
            <w:vAlign w:val="center"/>
          </w:tcPr>
          <w:p w14:paraId="651A8B4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苏玥琦</w:t>
            </w:r>
          </w:p>
        </w:tc>
        <w:tc>
          <w:tcPr>
            <w:tcW w:w="660" w:type="pct"/>
            <w:shd w:val="clear" w:color="auto" w:fill="auto"/>
            <w:noWrap w:val="0"/>
            <w:vAlign w:val="center"/>
          </w:tcPr>
          <w:p w14:paraId="4071186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18811015596</w:t>
            </w:r>
          </w:p>
        </w:tc>
        <w:tc>
          <w:tcPr>
            <w:tcW w:w="976" w:type="pct"/>
            <w:shd w:val="clear" w:color="auto" w:fill="auto"/>
            <w:noWrap w:val="0"/>
            <w:vAlign w:val="center"/>
          </w:tcPr>
          <w:p w14:paraId="02FDC31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yueqis@bibdr.org</w:t>
            </w:r>
          </w:p>
        </w:tc>
      </w:tr>
      <w:tr w14:paraId="16515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94" w:hRule="atLeast"/>
          <w:jc w:val="center"/>
        </w:trPr>
        <w:tc>
          <w:tcPr>
            <w:tcW w:w="342" w:type="pct"/>
            <w:shd w:val="clear" w:color="auto" w:fill="auto"/>
            <w:noWrap w:val="0"/>
            <w:vAlign w:val="center"/>
          </w:tcPr>
          <w:p w14:paraId="6088EE1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24</w:t>
            </w:r>
          </w:p>
        </w:tc>
        <w:tc>
          <w:tcPr>
            <w:tcW w:w="810" w:type="pct"/>
            <w:shd w:val="clear" w:color="auto" w:fill="auto"/>
            <w:noWrap w:val="0"/>
            <w:vAlign w:val="center"/>
          </w:tcPr>
          <w:p w14:paraId="5CC7501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常州大学</w:t>
            </w:r>
          </w:p>
        </w:tc>
        <w:tc>
          <w:tcPr>
            <w:tcW w:w="791" w:type="pct"/>
            <w:shd w:val="clear" w:color="auto" w:fill="auto"/>
            <w:noWrap w:val="0"/>
            <w:vAlign w:val="center"/>
          </w:tcPr>
          <w:p w14:paraId="1D11057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果胶酶高产细胞工厂创制及高效生物制造</w:t>
            </w:r>
          </w:p>
        </w:tc>
        <w:tc>
          <w:tcPr>
            <w:tcW w:w="364" w:type="pct"/>
            <w:shd w:val="clear" w:color="auto" w:fill="auto"/>
            <w:noWrap w:val="0"/>
            <w:vAlign w:val="center"/>
          </w:tcPr>
          <w:p w14:paraId="371FAF2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生物医药</w:t>
            </w:r>
          </w:p>
        </w:tc>
        <w:tc>
          <w:tcPr>
            <w:tcW w:w="504" w:type="pct"/>
            <w:shd w:val="clear" w:color="auto" w:fill="auto"/>
            <w:noWrap w:val="0"/>
            <w:vAlign w:val="center"/>
          </w:tcPr>
          <w:p w14:paraId="1A09F68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300</w:t>
            </w:r>
          </w:p>
        </w:tc>
        <w:tc>
          <w:tcPr>
            <w:tcW w:w="550" w:type="pct"/>
            <w:shd w:val="clear" w:color="auto" w:fill="auto"/>
            <w:noWrap w:val="0"/>
            <w:vAlign w:val="center"/>
          </w:tcPr>
          <w:p w14:paraId="14CB4CA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敖大</w:t>
            </w:r>
          </w:p>
        </w:tc>
        <w:tc>
          <w:tcPr>
            <w:tcW w:w="660" w:type="pct"/>
            <w:shd w:val="clear" w:color="auto" w:fill="auto"/>
            <w:noWrap w:val="0"/>
            <w:vAlign w:val="center"/>
          </w:tcPr>
          <w:p w14:paraId="11C670E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15861320025</w:t>
            </w:r>
          </w:p>
        </w:tc>
        <w:tc>
          <w:tcPr>
            <w:tcW w:w="976" w:type="pct"/>
            <w:shd w:val="clear" w:color="auto" w:fill="auto"/>
            <w:noWrap w:val="0"/>
            <w:vAlign w:val="center"/>
          </w:tcPr>
          <w:p w14:paraId="0C43CE1D">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p>
        </w:tc>
      </w:tr>
      <w:tr w14:paraId="332C3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94" w:hRule="atLeast"/>
          <w:jc w:val="center"/>
        </w:trPr>
        <w:tc>
          <w:tcPr>
            <w:tcW w:w="342" w:type="pct"/>
            <w:shd w:val="clear" w:color="auto" w:fill="auto"/>
            <w:noWrap w:val="0"/>
            <w:vAlign w:val="center"/>
          </w:tcPr>
          <w:p w14:paraId="293C63B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25</w:t>
            </w:r>
          </w:p>
        </w:tc>
        <w:tc>
          <w:tcPr>
            <w:tcW w:w="810" w:type="pct"/>
            <w:shd w:val="clear" w:color="auto" w:fill="auto"/>
            <w:noWrap w:val="0"/>
            <w:vAlign w:val="center"/>
          </w:tcPr>
          <w:p w14:paraId="13F8BE5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常州大学</w:t>
            </w:r>
          </w:p>
        </w:tc>
        <w:tc>
          <w:tcPr>
            <w:tcW w:w="791" w:type="pct"/>
            <w:shd w:val="clear" w:color="auto" w:fill="auto"/>
            <w:noWrap w:val="0"/>
            <w:vAlign w:val="center"/>
          </w:tcPr>
          <w:p w14:paraId="16D8411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输电线路要害跨越段拆换线作业系统</w:t>
            </w:r>
          </w:p>
        </w:tc>
        <w:tc>
          <w:tcPr>
            <w:tcW w:w="364" w:type="pct"/>
            <w:shd w:val="clear" w:color="auto" w:fill="auto"/>
            <w:noWrap w:val="0"/>
            <w:vAlign w:val="center"/>
          </w:tcPr>
          <w:p w14:paraId="3EE1A13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高端装备</w:t>
            </w:r>
          </w:p>
        </w:tc>
        <w:tc>
          <w:tcPr>
            <w:tcW w:w="504" w:type="pct"/>
            <w:shd w:val="clear" w:color="auto" w:fill="auto"/>
            <w:noWrap w:val="0"/>
            <w:vAlign w:val="center"/>
          </w:tcPr>
          <w:p w14:paraId="58386B0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180</w:t>
            </w:r>
          </w:p>
        </w:tc>
        <w:tc>
          <w:tcPr>
            <w:tcW w:w="550" w:type="pct"/>
            <w:shd w:val="clear" w:color="auto" w:fill="auto"/>
            <w:noWrap w:val="0"/>
            <w:vAlign w:val="center"/>
          </w:tcPr>
          <w:p w14:paraId="0339930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陈阳</w:t>
            </w:r>
          </w:p>
        </w:tc>
        <w:tc>
          <w:tcPr>
            <w:tcW w:w="660" w:type="pct"/>
            <w:shd w:val="clear" w:color="auto" w:fill="auto"/>
            <w:noWrap w:val="0"/>
            <w:vAlign w:val="center"/>
          </w:tcPr>
          <w:p w14:paraId="30A2BBC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13685292205</w:t>
            </w:r>
          </w:p>
        </w:tc>
        <w:tc>
          <w:tcPr>
            <w:tcW w:w="976" w:type="pct"/>
            <w:shd w:val="clear" w:color="auto" w:fill="auto"/>
            <w:noWrap w:val="0"/>
            <w:vAlign w:val="center"/>
          </w:tcPr>
          <w:p w14:paraId="0390638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p>
        </w:tc>
      </w:tr>
      <w:tr w14:paraId="39619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94" w:hRule="atLeast"/>
          <w:jc w:val="center"/>
        </w:trPr>
        <w:tc>
          <w:tcPr>
            <w:tcW w:w="342" w:type="pct"/>
            <w:shd w:val="clear" w:color="auto" w:fill="auto"/>
            <w:noWrap w:val="0"/>
            <w:vAlign w:val="center"/>
          </w:tcPr>
          <w:p w14:paraId="6A78618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26</w:t>
            </w:r>
          </w:p>
        </w:tc>
        <w:tc>
          <w:tcPr>
            <w:tcW w:w="810" w:type="pct"/>
            <w:shd w:val="clear" w:color="auto" w:fill="auto"/>
            <w:noWrap w:val="0"/>
            <w:vAlign w:val="center"/>
          </w:tcPr>
          <w:p w14:paraId="1B8FCB1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常州大学</w:t>
            </w:r>
          </w:p>
        </w:tc>
        <w:tc>
          <w:tcPr>
            <w:tcW w:w="791" w:type="pct"/>
            <w:shd w:val="clear" w:color="auto" w:fill="auto"/>
            <w:noWrap w:val="0"/>
            <w:vAlign w:val="center"/>
          </w:tcPr>
          <w:p w14:paraId="0005B75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低压低碳发热带及发热涂层研发及大规模生产应用</w:t>
            </w:r>
          </w:p>
        </w:tc>
        <w:tc>
          <w:tcPr>
            <w:tcW w:w="364" w:type="pct"/>
            <w:shd w:val="clear" w:color="auto" w:fill="auto"/>
            <w:noWrap w:val="0"/>
            <w:vAlign w:val="center"/>
          </w:tcPr>
          <w:p w14:paraId="65E0F37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先进材料</w:t>
            </w:r>
          </w:p>
        </w:tc>
        <w:tc>
          <w:tcPr>
            <w:tcW w:w="504" w:type="pct"/>
            <w:shd w:val="clear" w:color="auto" w:fill="auto"/>
            <w:noWrap w:val="0"/>
            <w:vAlign w:val="center"/>
          </w:tcPr>
          <w:p w14:paraId="1F5596E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200</w:t>
            </w:r>
          </w:p>
        </w:tc>
        <w:tc>
          <w:tcPr>
            <w:tcW w:w="550" w:type="pct"/>
            <w:shd w:val="clear" w:color="auto" w:fill="auto"/>
            <w:noWrap w:val="0"/>
            <w:vAlign w:val="center"/>
          </w:tcPr>
          <w:p w14:paraId="6552392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themeColor="text1"/>
                <w:kern w:val="0"/>
                <w:sz w:val="21"/>
                <w:szCs w:val="21"/>
                <w:lang w:bidi="ar"/>
                <w14:textFill>
                  <w14:solidFill>
                    <w14:schemeClr w14:val="tx1"/>
                  </w14:solidFill>
                </w14:textFill>
              </w:rPr>
              <w:t>唐波</w:t>
            </w:r>
          </w:p>
        </w:tc>
        <w:tc>
          <w:tcPr>
            <w:tcW w:w="660" w:type="pct"/>
            <w:shd w:val="clear" w:color="auto" w:fill="auto"/>
            <w:noWrap w:val="0"/>
            <w:vAlign w:val="center"/>
          </w:tcPr>
          <w:p w14:paraId="71662BD3">
            <w:pPr>
              <w:widowControl/>
              <w:spacing w:line="24" w:lineRule="atLeast"/>
              <w:jc w:val="both"/>
              <w:textAlignment w:val="top"/>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themeColor="text1"/>
                <w:kern w:val="0"/>
                <w:sz w:val="21"/>
                <w:szCs w:val="21"/>
                <w:lang w:bidi="ar"/>
                <w14:textFill>
                  <w14:solidFill>
                    <w14:schemeClr w14:val="tx1"/>
                  </w14:solidFill>
                </w14:textFill>
              </w:rPr>
              <w:t>15051967139</w:t>
            </w:r>
          </w:p>
        </w:tc>
        <w:tc>
          <w:tcPr>
            <w:tcW w:w="976" w:type="pct"/>
            <w:shd w:val="clear" w:color="auto" w:fill="auto"/>
            <w:noWrap w:val="0"/>
            <w:vAlign w:val="center"/>
          </w:tcPr>
          <w:p w14:paraId="4BE4BF7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p>
        </w:tc>
      </w:tr>
      <w:tr w14:paraId="3157A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94" w:hRule="atLeast"/>
          <w:jc w:val="center"/>
        </w:trPr>
        <w:tc>
          <w:tcPr>
            <w:tcW w:w="342" w:type="pct"/>
            <w:shd w:val="clear" w:color="auto" w:fill="auto"/>
            <w:noWrap w:val="0"/>
            <w:vAlign w:val="center"/>
          </w:tcPr>
          <w:p w14:paraId="5665E2B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27</w:t>
            </w:r>
          </w:p>
        </w:tc>
        <w:tc>
          <w:tcPr>
            <w:tcW w:w="810" w:type="pct"/>
            <w:shd w:val="clear" w:color="auto" w:fill="auto"/>
            <w:noWrap w:val="0"/>
            <w:vAlign w:val="center"/>
          </w:tcPr>
          <w:p w14:paraId="20D8254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常州大学</w:t>
            </w:r>
          </w:p>
        </w:tc>
        <w:tc>
          <w:tcPr>
            <w:tcW w:w="791" w:type="pct"/>
            <w:shd w:val="clear" w:color="auto" w:fill="auto"/>
            <w:noWrap w:val="0"/>
            <w:vAlign w:val="center"/>
          </w:tcPr>
          <w:p w14:paraId="75BF19CD">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lang w:val="en-US" w:eastAsia="zh-CN" w:bidi="ar"/>
              </w:rPr>
              <w:t>高效除醛果冻(小绿罐)</w:t>
            </w:r>
          </w:p>
        </w:tc>
        <w:tc>
          <w:tcPr>
            <w:tcW w:w="364" w:type="pct"/>
            <w:shd w:val="clear" w:color="auto" w:fill="auto"/>
            <w:noWrap w:val="0"/>
            <w:vAlign w:val="center"/>
          </w:tcPr>
          <w:p w14:paraId="7D5948D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lang w:val="en-US" w:eastAsia="zh-CN" w:bidi="ar"/>
              </w:rPr>
              <w:t>新能源</w:t>
            </w:r>
          </w:p>
        </w:tc>
        <w:tc>
          <w:tcPr>
            <w:tcW w:w="504" w:type="pct"/>
            <w:shd w:val="clear" w:color="auto" w:fill="auto"/>
            <w:noWrap w:val="0"/>
            <w:vAlign w:val="center"/>
          </w:tcPr>
          <w:p w14:paraId="3944299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300</w:t>
            </w:r>
          </w:p>
        </w:tc>
        <w:tc>
          <w:tcPr>
            <w:tcW w:w="550" w:type="pct"/>
            <w:shd w:val="clear" w:color="auto" w:fill="auto"/>
            <w:noWrap w:val="0"/>
            <w:vAlign w:val="center"/>
          </w:tcPr>
          <w:p w14:paraId="0D09CA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jc w:val="center"/>
              <w:textAlignment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lang w:val="en-US" w:eastAsia="zh-CN" w:bidi="ar"/>
              </w:rPr>
              <w:t>胡衎</w:t>
            </w:r>
          </w:p>
        </w:tc>
        <w:tc>
          <w:tcPr>
            <w:tcW w:w="660" w:type="pct"/>
            <w:shd w:val="clear" w:color="auto" w:fill="auto"/>
            <w:noWrap w:val="0"/>
            <w:vAlign w:val="center"/>
          </w:tcPr>
          <w:p w14:paraId="4E0530B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lang w:val="en-US" w:eastAsia="zh-CN" w:bidi="ar"/>
              </w:rPr>
              <w:t>15375215079</w:t>
            </w:r>
          </w:p>
        </w:tc>
        <w:tc>
          <w:tcPr>
            <w:tcW w:w="976" w:type="pct"/>
            <w:shd w:val="clear" w:color="auto" w:fill="auto"/>
            <w:noWrap w:val="0"/>
            <w:vAlign w:val="center"/>
          </w:tcPr>
          <w:p w14:paraId="6E7ED7E4">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p>
        </w:tc>
      </w:tr>
      <w:tr w14:paraId="7D3D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346" w:hRule="atLeast"/>
          <w:jc w:val="center"/>
        </w:trPr>
        <w:tc>
          <w:tcPr>
            <w:tcW w:w="342" w:type="pct"/>
            <w:shd w:val="clear" w:color="auto" w:fill="auto"/>
            <w:noWrap w:val="0"/>
            <w:vAlign w:val="center"/>
          </w:tcPr>
          <w:p w14:paraId="4D5969A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28</w:t>
            </w:r>
          </w:p>
        </w:tc>
        <w:tc>
          <w:tcPr>
            <w:tcW w:w="810" w:type="pct"/>
            <w:shd w:val="clear" w:color="auto" w:fill="auto"/>
            <w:noWrap w:val="0"/>
            <w:vAlign w:val="center"/>
          </w:tcPr>
          <w:p w14:paraId="3AB8786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常州大学</w:t>
            </w:r>
          </w:p>
        </w:tc>
        <w:tc>
          <w:tcPr>
            <w:tcW w:w="791" w:type="pct"/>
            <w:shd w:val="clear" w:color="auto" w:fill="auto"/>
            <w:noWrap w:val="0"/>
            <w:vAlign w:val="center"/>
          </w:tcPr>
          <w:p w14:paraId="0D9666E0">
            <w:pPr>
              <w:widowControl/>
              <w:spacing w:line="24" w:lineRule="atLeast"/>
              <w:jc w:val="center"/>
              <w:textAlignment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lang w:val="en-US" w:eastAsia="zh-CN" w:bidi="ar"/>
              </w:rPr>
              <w:t>太阳能低成本高效制绿氢技术研发</w:t>
            </w:r>
          </w:p>
        </w:tc>
        <w:tc>
          <w:tcPr>
            <w:tcW w:w="364" w:type="pct"/>
            <w:shd w:val="clear" w:color="auto" w:fill="auto"/>
            <w:noWrap w:val="0"/>
            <w:vAlign w:val="center"/>
          </w:tcPr>
          <w:p w14:paraId="6A419AE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lang w:val="en-US" w:eastAsia="zh-CN" w:bidi="ar"/>
              </w:rPr>
              <w:t>新能源</w:t>
            </w:r>
          </w:p>
        </w:tc>
        <w:tc>
          <w:tcPr>
            <w:tcW w:w="504" w:type="pct"/>
            <w:shd w:val="clear" w:color="auto" w:fill="auto"/>
            <w:noWrap w:val="0"/>
            <w:vAlign w:val="center"/>
          </w:tcPr>
          <w:p w14:paraId="400E7CB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200</w:t>
            </w:r>
          </w:p>
        </w:tc>
        <w:tc>
          <w:tcPr>
            <w:tcW w:w="550" w:type="pct"/>
            <w:shd w:val="clear" w:color="auto" w:fill="auto"/>
            <w:noWrap w:val="0"/>
            <w:vAlign w:val="center"/>
          </w:tcPr>
          <w:p w14:paraId="6444954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lang w:val="en-US" w:eastAsia="zh-CN" w:bidi="ar"/>
              </w:rPr>
              <w:t>陈海飞</w:t>
            </w:r>
          </w:p>
        </w:tc>
        <w:tc>
          <w:tcPr>
            <w:tcW w:w="660" w:type="pct"/>
            <w:shd w:val="clear" w:color="auto" w:fill="auto"/>
            <w:noWrap w:val="0"/>
            <w:vAlign w:val="center"/>
          </w:tcPr>
          <w:p w14:paraId="2EA4B8AB">
            <w:pPr>
              <w:widowControl/>
              <w:spacing w:line="24" w:lineRule="atLeast"/>
              <w:jc w:val="center"/>
              <w:textAlignment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lang w:val="en-US" w:eastAsia="zh-CN" w:bidi="ar"/>
              </w:rPr>
              <w:t>15195010398</w:t>
            </w:r>
          </w:p>
        </w:tc>
        <w:tc>
          <w:tcPr>
            <w:tcW w:w="976" w:type="pct"/>
            <w:shd w:val="clear" w:color="auto" w:fill="auto"/>
            <w:noWrap w:val="0"/>
            <w:vAlign w:val="center"/>
          </w:tcPr>
          <w:p w14:paraId="358B2D6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p>
        </w:tc>
      </w:tr>
      <w:tr w14:paraId="371F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913" w:hRule="atLeast"/>
          <w:jc w:val="center"/>
        </w:trPr>
        <w:tc>
          <w:tcPr>
            <w:tcW w:w="342" w:type="pct"/>
            <w:shd w:val="clear" w:color="auto" w:fill="auto"/>
            <w:noWrap w:val="0"/>
            <w:vAlign w:val="center"/>
          </w:tcPr>
          <w:p w14:paraId="590EA55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29</w:t>
            </w:r>
          </w:p>
        </w:tc>
        <w:tc>
          <w:tcPr>
            <w:tcW w:w="810" w:type="pct"/>
            <w:shd w:val="clear" w:color="auto" w:fill="auto"/>
            <w:noWrap w:val="0"/>
            <w:vAlign w:val="center"/>
          </w:tcPr>
          <w:p w14:paraId="7A51865D">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常州信息职业技术学院</w:t>
            </w:r>
          </w:p>
        </w:tc>
        <w:tc>
          <w:tcPr>
            <w:tcW w:w="791" w:type="pct"/>
            <w:shd w:val="clear" w:color="auto" w:fill="auto"/>
            <w:noWrap w:val="0"/>
            <w:vAlign w:val="center"/>
          </w:tcPr>
          <w:p w14:paraId="031D24C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eastAsia="zh-CN"/>
              </w:rPr>
              <w:t>新型可变磁通磁阻电机的关键技术研究与应用</w:t>
            </w:r>
          </w:p>
        </w:tc>
        <w:tc>
          <w:tcPr>
            <w:tcW w:w="364" w:type="pct"/>
            <w:shd w:val="clear" w:color="auto" w:fill="auto"/>
            <w:noWrap w:val="0"/>
            <w:vAlign w:val="center"/>
          </w:tcPr>
          <w:p w14:paraId="384B0EFC">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eastAsia="zh-CN"/>
              </w:rPr>
              <w:t>新能源汽车</w:t>
            </w:r>
          </w:p>
        </w:tc>
        <w:tc>
          <w:tcPr>
            <w:tcW w:w="504" w:type="pct"/>
            <w:shd w:val="clear" w:color="auto" w:fill="auto"/>
            <w:noWrap w:val="0"/>
            <w:vAlign w:val="center"/>
          </w:tcPr>
          <w:p w14:paraId="1B20A9D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40</w:t>
            </w:r>
          </w:p>
        </w:tc>
        <w:tc>
          <w:tcPr>
            <w:tcW w:w="550" w:type="pct"/>
            <w:shd w:val="clear" w:color="auto" w:fill="auto"/>
            <w:noWrap w:val="0"/>
            <w:vAlign w:val="center"/>
          </w:tcPr>
          <w:p w14:paraId="46F752DD">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eastAsia="zh-CN"/>
              </w:rPr>
              <w:t>曹阳</w:t>
            </w:r>
          </w:p>
        </w:tc>
        <w:tc>
          <w:tcPr>
            <w:tcW w:w="660" w:type="pct"/>
            <w:shd w:val="clear" w:color="auto" w:fill="auto"/>
            <w:noWrap w:val="0"/>
            <w:vAlign w:val="center"/>
          </w:tcPr>
          <w:p w14:paraId="459E7750">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15222223150</w:t>
            </w:r>
          </w:p>
        </w:tc>
        <w:tc>
          <w:tcPr>
            <w:tcW w:w="976" w:type="pct"/>
            <w:shd w:val="clear" w:color="auto" w:fill="auto"/>
            <w:noWrap w:val="0"/>
            <w:vAlign w:val="center"/>
          </w:tcPr>
          <w:p w14:paraId="25A1D52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caoyang_hebut@163.com</w:t>
            </w:r>
          </w:p>
        </w:tc>
      </w:tr>
      <w:tr w14:paraId="58F56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94" w:hRule="atLeast"/>
          <w:jc w:val="center"/>
        </w:trPr>
        <w:tc>
          <w:tcPr>
            <w:tcW w:w="342" w:type="pct"/>
            <w:shd w:val="clear" w:color="auto" w:fill="auto"/>
            <w:noWrap w:val="0"/>
            <w:vAlign w:val="center"/>
          </w:tcPr>
          <w:p w14:paraId="0324CAF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30</w:t>
            </w:r>
          </w:p>
        </w:tc>
        <w:tc>
          <w:tcPr>
            <w:tcW w:w="810" w:type="pct"/>
            <w:shd w:val="clear" w:color="auto" w:fill="auto"/>
            <w:noWrap w:val="0"/>
            <w:vAlign w:val="center"/>
          </w:tcPr>
          <w:p w14:paraId="7F68F31F">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rPr>
              <w:t>常州信息职业技术学院</w:t>
            </w:r>
          </w:p>
        </w:tc>
        <w:tc>
          <w:tcPr>
            <w:tcW w:w="791" w:type="pct"/>
            <w:shd w:val="clear" w:color="auto" w:fill="auto"/>
            <w:noWrap w:val="0"/>
            <w:vAlign w:val="center"/>
          </w:tcPr>
          <w:p w14:paraId="0EA5290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磁-气双效耦合加热的碳纤维复合材料固体发动机内固化原位成型技术</w:t>
            </w:r>
          </w:p>
        </w:tc>
        <w:tc>
          <w:tcPr>
            <w:tcW w:w="364" w:type="pct"/>
            <w:shd w:val="clear" w:color="auto" w:fill="auto"/>
            <w:noWrap w:val="0"/>
            <w:vAlign w:val="center"/>
          </w:tcPr>
          <w:p w14:paraId="01CD643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新材料</w:t>
            </w:r>
          </w:p>
        </w:tc>
        <w:tc>
          <w:tcPr>
            <w:tcW w:w="504" w:type="pct"/>
            <w:shd w:val="clear" w:color="auto" w:fill="auto"/>
            <w:noWrap w:val="0"/>
            <w:vAlign w:val="center"/>
          </w:tcPr>
          <w:p w14:paraId="77CBFAB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150</w:t>
            </w:r>
          </w:p>
        </w:tc>
        <w:tc>
          <w:tcPr>
            <w:tcW w:w="550" w:type="pct"/>
            <w:shd w:val="clear" w:color="auto" w:fill="auto"/>
            <w:noWrap w:val="0"/>
            <w:vAlign w:val="center"/>
          </w:tcPr>
          <w:p w14:paraId="567CEB6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付天宇</w:t>
            </w:r>
          </w:p>
        </w:tc>
        <w:tc>
          <w:tcPr>
            <w:tcW w:w="660" w:type="pct"/>
            <w:shd w:val="clear" w:color="auto" w:fill="auto"/>
            <w:noWrap w:val="0"/>
            <w:vAlign w:val="center"/>
          </w:tcPr>
          <w:p w14:paraId="21F8E635">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18845157250</w:t>
            </w:r>
          </w:p>
        </w:tc>
        <w:tc>
          <w:tcPr>
            <w:tcW w:w="976" w:type="pct"/>
            <w:shd w:val="clear" w:color="auto" w:fill="auto"/>
            <w:noWrap w:val="0"/>
            <w:vAlign w:val="center"/>
          </w:tcPr>
          <w:p w14:paraId="21BA24B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827263230@qq.com</w:t>
            </w:r>
          </w:p>
        </w:tc>
      </w:tr>
      <w:tr w14:paraId="22315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94" w:hRule="atLeast"/>
          <w:jc w:val="center"/>
        </w:trPr>
        <w:tc>
          <w:tcPr>
            <w:tcW w:w="342" w:type="pct"/>
            <w:shd w:val="clear" w:color="auto" w:fill="auto"/>
            <w:noWrap w:val="0"/>
            <w:vAlign w:val="center"/>
          </w:tcPr>
          <w:p w14:paraId="7CE662C3">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31</w:t>
            </w:r>
          </w:p>
        </w:tc>
        <w:tc>
          <w:tcPr>
            <w:tcW w:w="810" w:type="pct"/>
            <w:shd w:val="clear" w:color="auto" w:fill="auto"/>
            <w:noWrap w:val="0"/>
            <w:vAlign w:val="center"/>
          </w:tcPr>
          <w:p w14:paraId="4F0D3E1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常州信息职业技术学院</w:t>
            </w:r>
          </w:p>
        </w:tc>
        <w:tc>
          <w:tcPr>
            <w:tcW w:w="791" w:type="pct"/>
            <w:shd w:val="clear" w:color="auto" w:fill="auto"/>
            <w:noWrap w:val="0"/>
            <w:vAlign w:val="center"/>
          </w:tcPr>
          <w:p w14:paraId="29DFADF8">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毫米波元器件测试与校准夹具</w:t>
            </w:r>
          </w:p>
        </w:tc>
        <w:tc>
          <w:tcPr>
            <w:tcW w:w="364" w:type="pct"/>
            <w:shd w:val="clear" w:color="auto" w:fill="auto"/>
            <w:noWrap w:val="0"/>
            <w:vAlign w:val="center"/>
          </w:tcPr>
          <w:p w14:paraId="63762AC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新一代信息技术</w:t>
            </w:r>
          </w:p>
        </w:tc>
        <w:tc>
          <w:tcPr>
            <w:tcW w:w="504" w:type="pct"/>
            <w:shd w:val="clear" w:color="auto" w:fill="auto"/>
            <w:noWrap w:val="0"/>
            <w:vAlign w:val="center"/>
          </w:tcPr>
          <w:p w14:paraId="3942172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50</w:t>
            </w:r>
          </w:p>
        </w:tc>
        <w:tc>
          <w:tcPr>
            <w:tcW w:w="550" w:type="pct"/>
            <w:shd w:val="clear" w:color="auto" w:fill="auto"/>
            <w:noWrap w:val="0"/>
            <w:vAlign w:val="center"/>
          </w:tcPr>
          <w:p w14:paraId="4CC4490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钱一凡</w:t>
            </w:r>
          </w:p>
        </w:tc>
        <w:tc>
          <w:tcPr>
            <w:tcW w:w="660" w:type="pct"/>
            <w:shd w:val="clear" w:color="auto" w:fill="auto"/>
            <w:noWrap w:val="0"/>
            <w:vAlign w:val="center"/>
          </w:tcPr>
          <w:p w14:paraId="0F6017FB">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13776567995</w:t>
            </w:r>
          </w:p>
        </w:tc>
        <w:tc>
          <w:tcPr>
            <w:tcW w:w="976" w:type="pct"/>
            <w:shd w:val="clear" w:color="auto" w:fill="auto"/>
            <w:noWrap w:val="0"/>
            <w:vAlign w:val="center"/>
          </w:tcPr>
          <w:p w14:paraId="3C9797BA">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qianyifan@czcit.edu.cn</w:t>
            </w:r>
          </w:p>
        </w:tc>
      </w:tr>
      <w:tr w14:paraId="22ED6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94" w:hRule="atLeast"/>
          <w:jc w:val="center"/>
        </w:trPr>
        <w:tc>
          <w:tcPr>
            <w:tcW w:w="342" w:type="pct"/>
            <w:shd w:val="clear" w:color="auto" w:fill="auto"/>
            <w:noWrap w:val="0"/>
            <w:vAlign w:val="center"/>
          </w:tcPr>
          <w:p w14:paraId="20F6793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32</w:t>
            </w:r>
          </w:p>
        </w:tc>
        <w:tc>
          <w:tcPr>
            <w:tcW w:w="810" w:type="pct"/>
            <w:shd w:val="clear" w:color="auto" w:fill="auto"/>
            <w:noWrap w:val="0"/>
            <w:vAlign w:val="center"/>
          </w:tcPr>
          <w:p w14:paraId="670A99F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常州信息职业技术学院</w:t>
            </w:r>
          </w:p>
        </w:tc>
        <w:tc>
          <w:tcPr>
            <w:tcW w:w="791" w:type="pct"/>
            <w:shd w:val="clear" w:color="auto" w:fill="auto"/>
            <w:noWrap w:val="0"/>
            <w:vAlign w:val="center"/>
          </w:tcPr>
          <w:p w14:paraId="12734E19">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柔性氢气传感及在线检测系统的研发</w:t>
            </w:r>
          </w:p>
        </w:tc>
        <w:tc>
          <w:tcPr>
            <w:tcW w:w="364" w:type="pct"/>
            <w:shd w:val="clear" w:color="auto" w:fill="auto"/>
            <w:noWrap w:val="0"/>
            <w:vAlign w:val="center"/>
          </w:tcPr>
          <w:p w14:paraId="03C94B12">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新材料</w:t>
            </w:r>
          </w:p>
        </w:tc>
        <w:tc>
          <w:tcPr>
            <w:tcW w:w="504" w:type="pct"/>
            <w:shd w:val="clear" w:color="auto" w:fill="auto"/>
            <w:noWrap w:val="0"/>
            <w:vAlign w:val="center"/>
          </w:tcPr>
          <w:p w14:paraId="6FC51B87">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30</w:t>
            </w:r>
          </w:p>
        </w:tc>
        <w:tc>
          <w:tcPr>
            <w:tcW w:w="550" w:type="pct"/>
            <w:shd w:val="clear" w:color="auto" w:fill="auto"/>
            <w:noWrap w:val="0"/>
            <w:vAlign w:val="center"/>
          </w:tcPr>
          <w:p w14:paraId="637BECDE">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韩龙祥</w:t>
            </w:r>
          </w:p>
        </w:tc>
        <w:tc>
          <w:tcPr>
            <w:tcW w:w="660" w:type="pct"/>
            <w:shd w:val="clear" w:color="auto" w:fill="auto"/>
            <w:noWrap w:val="0"/>
            <w:vAlign w:val="center"/>
          </w:tcPr>
          <w:p w14:paraId="19E863AD">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13182582205</w:t>
            </w:r>
          </w:p>
        </w:tc>
        <w:tc>
          <w:tcPr>
            <w:tcW w:w="976" w:type="pct"/>
            <w:shd w:val="clear" w:color="auto" w:fill="auto"/>
            <w:noWrap w:val="0"/>
            <w:vAlign w:val="center"/>
          </w:tcPr>
          <w:p w14:paraId="44BBEBD6">
            <w:pPr>
              <w:pStyle w:val="5"/>
              <w:widowControl w:val="0"/>
              <w:spacing w:before="0" w:beforeAutospacing="0" w:after="0" w:afterAutospacing="0"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hanlongxiang87@163.com</w:t>
            </w:r>
          </w:p>
        </w:tc>
      </w:tr>
    </w:tbl>
    <w:p w14:paraId="309CBE41">
      <w:pPr>
        <w:rPr>
          <w:rFonts w:hint="default" w:ascii="Times New Roman" w:hAnsi="Times New Roman" w:cs="Times New Roman"/>
        </w:rPr>
      </w:pPr>
    </w:p>
    <w:p w14:paraId="1F0B1C8F">
      <w:pPr>
        <w:rPr>
          <w:rFonts w:hint="default" w:ascii="Times New Roman" w:hAnsi="Times New Roman" w:cs="Times New Roman"/>
        </w:rPr>
      </w:pPr>
    </w:p>
    <w:p w14:paraId="63412443">
      <w:pPr>
        <w:rPr>
          <w:rFonts w:hint="default" w:ascii="Times New Roman" w:hAnsi="Times New Roman" w:cs="Times New Roman"/>
        </w:rPr>
      </w:pPr>
    </w:p>
    <w:p w14:paraId="129D0215">
      <w:pPr>
        <w:rPr>
          <w:rFonts w:hint="default" w:ascii="Times New Roman" w:hAnsi="Times New Roman" w:cs="Times New Roman"/>
        </w:rPr>
      </w:pPr>
      <w:r>
        <w:rPr>
          <w:rFonts w:hint="default" w:ascii="Times New Roman" w:hAnsi="Times New Roman" w:cs="Times New Roman"/>
        </w:rPr>
        <w:br w:type="page"/>
      </w:r>
    </w:p>
    <w:p w14:paraId="08CC16D4">
      <w:pPr>
        <w:rPr>
          <w:rFonts w:ascii="Times New Roman" w:hAnsi="Times New Roman" w:eastAsia="方正小标宋简体"/>
          <w:kern w:val="2"/>
          <w:sz w:val="44"/>
          <w:szCs w:val="44"/>
        </w:rPr>
      </w:pPr>
      <w:r>
        <w:rPr>
          <w:rFonts w:hint="eastAsia" w:ascii="Times New Roman" w:hAnsi="Times New Roman" w:eastAsia="黑体" w:cs="Times New Roman"/>
          <w:sz w:val="32"/>
          <w:szCs w:val="32"/>
          <w:lang w:eastAsia="zh-CN"/>
        </w:rPr>
        <w:t>编号</w:t>
      </w:r>
      <w:r>
        <w:rPr>
          <w:rFonts w:hint="eastAsia" w:ascii="Times New Roman" w:hAnsi="Times New Roman" w:eastAsia="黑体" w:cs="Times New Roman"/>
          <w:sz w:val="32"/>
          <w:szCs w:val="32"/>
          <w:lang w:val="en-US" w:eastAsia="zh-CN"/>
        </w:rPr>
        <w:t>1</w:t>
      </w:r>
    </w:p>
    <w:p w14:paraId="710FE60D">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54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889"/>
        <w:gridCol w:w="3301"/>
        <w:gridCol w:w="1863"/>
        <w:gridCol w:w="2772"/>
      </w:tblGrid>
      <w:tr w14:paraId="180C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771" w:type="dxa"/>
            <w:vAlign w:val="center"/>
          </w:tcPr>
          <w:p w14:paraId="28A288D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095" w:type="dxa"/>
            <w:vAlign w:val="center"/>
          </w:tcPr>
          <w:p w14:paraId="05ED368C">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w:t>
            </w:r>
          </w:p>
        </w:tc>
        <w:tc>
          <w:tcPr>
            <w:tcW w:w="1747" w:type="dxa"/>
            <w:vAlign w:val="center"/>
          </w:tcPr>
          <w:p w14:paraId="26C313B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599" w:type="dxa"/>
            <w:vAlign w:val="center"/>
          </w:tcPr>
          <w:p w14:paraId="69BBD59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12320000466007247U</w:t>
            </w:r>
          </w:p>
        </w:tc>
      </w:tr>
      <w:tr w14:paraId="53B13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37" w:hRule="exact"/>
          <w:jc w:val="center"/>
        </w:trPr>
        <w:tc>
          <w:tcPr>
            <w:tcW w:w="1771" w:type="dxa"/>
            <w:vAlign w:val="center"/>
          </w:tcPr>
          <w:p w14:paraId="61201E9C">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095" w:type="dxa"/>
            <w:vAlign w:val="center"/>
          </w:tcPr>
          <w:p w14:paraId="336B41D9">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中国江苏常州中吴大道1801号</w:t>
            </w:r>
          </w:p>
        </w:tc>
        <w:tc>
          <w:tcPr>
            <w:tcW w:w="1747" w:type="dxa"/>
            <w:vAlign w:val="center"/>
          </w:tcPr>
          <w:p w14:paraId="493E891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599" w:type="dxa"/>
            <w:vAlign w:val="center"/>
          </w:tcPr>
          <w:p w14:paraId="7050BE9F">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鲍克燕</w:t>
            </w:r>
          </w:p>
        </w:tc>
      </w:tr>
      <w:tr w14:paraId="68C0F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71" w:type="dxa"/>
            <w:vAlign w:val="center"/>
          </w:tcPr>
          <w:p w14:paraId="79ADFDD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095" w:type="dxa"/>
            <w:vAlign w:val="center"/>
          </w:tcPr>
          <w:p w14:paraId="44E0DC74">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18112318599</w:t>
            </w:r>
          </w:p>
        </w:tc>
        <w:tc>
          <w:tcPr>
            <w:tcW w:w="1747" w:type="dxa"/>
            <w:vAlign w:val="center"/>
          </w:tcPr>
          <w:p w14:paraId="1FFC613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599" w:type="dxa"/>
            <w:vAlign w:val="center"/>
          </w:tcPr>
          <w:p w14:paraId="44519F9A">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baokeyan@126.com</w:t>
            </w:r>
          </w:p>
        </w:tc>
      </w:tr>
      <w:tr w14:paraId="58DDB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771" w:type="dxa"/>
            <w:vAlign w:val="center"/>
          </w:tcPr>
          <w:p w14:paraId="7D559A7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441" w:type="dxa"/>
            <w:gridSpan w:val="3"/>
            <w:vAlign w:val="center"/>
          </w:tcPr>
          <w:p w14:paraId="4989A460">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□人工智能</w:t>
            </w:r>
            <w:r>
              <w:rPr>
                <w:rFonts w:hint="eastAsia" w:ascii="宋体" w:hAnsi="宋体" w:eastAsia="宋体" w:cs="Times New Roman"/>
                <w:b/>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 xml:space="preserve">数字经济   </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先进半导体   </w:t>
            </w:r>
            <w:r>
              <w:rPr>
                <w:rFonts w:hint="eastAsia" w:ascii="宋体" w:hAnsi="宋体" w:eastAsia="宋体" w:cs="Times New Roman"/>
                <w:bCs/>
                <w:sz w:val="28"/>
                <w:szCs w:val="21"/>
                <w:lang w:eastAsia="zh-CN"/>
              </w:rPr>
              <w:t>☑</w:t>
            </w:r>
            <w:r>
              <w:rPr>
                <w:rFonts w:ascii="宋体" w:hAnsi="宋体" w:eastAsia="宋体" w:cs="Times New Roman"/>
                <w:bCs/>
                <w:sz w:val="28"/>
                <w:szCs w:val="21"/>
              </w:rPr>
              <w:t>新</w:t>
            </w:r>
            <w:r>
              <w:rPr>
                <w:rFonts w:hint="eastAsia" w:ascii="宋体" w:hAnsi="宋体" w:eastAsia="宋体" w:cs="Times New Roman"/>
                <w:bCs/>
                <w:sz w:val="28"/>
                <w:szCs w:val="21"/>
              </w:rPr>
              <w:t>材料</w:t>
            </w:r>
            <w:r>
              <w:rPr>
                <w:rFonts w:ascii="宋体" w:hAnsi="宋体" w:eastAsia="宋体" w:cs="Times New Roman"/>
                <w:bCs/>
                <w:sz w:val="28"/>
                <w:szCs w:val="21"/>
              </w:rPr>
              <w:t xml:space="preserve"> </w:t>
            </w:r>
          </w:p>
          <w:p w14:paraId="12E53F8D">
            <w:pPr>
              <w:spacing w:line="320" w:lineRule="exact"/>
              <w:jc w:val="left"/>
              <w:rPr>
                <w:rFonts w:hint="eastAsia" w:ascii="宋体" w:hAnsi="宋体" w:eastAsia="宋体" w:cs="Times New Roman"/>
                <w:bCs/>
                <w:sz w:val="28"/>
                <w:szCs w:val="21"/>
              </w:rPr>
            </w:pPr>
            <w:r>
              <w:rPr>
                <w:rFonts w:hint="eastAsia" w:ascii="宋体" w:hAnsi="宋体" w:eastAsia="宋体" w:cs="Times New Roman"/>
                <w:bCs/>
                <w:sz w:val="28"/>
                <w:szCs w:val="21"/>
                <w:lang w:eastAsia="zh-CN"/>
              </w:rPr>
              <w:t>☑</w:t>
            </w:r>
            <w:r>
              <w:rPr>
                <w:rFonts w:hint="eastAsia" w:ascii="宋体" w:hAnsi="宋体" w:eastAsia="宋体" w:cs="Times New Roman"/>
                <w:bCs/>
                <w:sz w:val="28"/>
                <w:szCs w:val="21"/>
              </w:rPr>
              <w:t>新型储能</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合成生物</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新能源汽车   </w:t>
            </w:r>
            <w:r>
              <w:rPr>
                <w:rFonts w:ascii="宋体" w:hAnsi="宋体" w:eastAsia="宋体" w:cs="Times New Roman"/>
                <w:bCs/>
                <w:sz w:val="28"/>
                <w:szCs w:val="21"/>
              </w:rPr>
              <w:t>□</w:t>
            </w:r>
            <w:r>
              <w:rPr>
                <w:rFonts w:hint="eastAsia" w:ascii="宋体" w:hAnsi="宋体" w:eastAsia="宋体" w:cs="Times New Roman"/>
                <w:bCs/>
                <w:sz w:val="28"/>
                <w:szCs w:val="21"/>
              </w:rPr>
              <w:t>循环制</w:t>
            </w:r>
          </w:p>
          <w:p w14:paraId="57985044">
            <w:pPr>
              <w:spacing w:line="320" w:lineRule="exact"/>
              <w:rPr>
                <w:rFonts w:ascii="Times New Roman" w:hAnsi="Times New Roman" w:eastAsia="宋体" w:cs="Times New Roman"/>
                <w:bCs/>
                <w:sz w:val="28"/>
                <w:szCs w:val="21"/>
              </w:rPr>
            </w:pPr>
            <w:r>
              <w:rPr>
                <w:rFonts w:ascii="宋体" w:hAnsi="宋体" w:eastAsia="宋体" w:cs="Times New Roman"/>
                <w:bCs/>
                <w:sz w:val="28"/>
                <w:szCs w:val="21"/>
              </w:rPr>
              <w:sym w:font="Wingdings 2" w:char="00A3"/>
            </w:r>
            <w:r>
              <w:rPr>
                <w:rFonts w:hint="eastAsia" w:ascii="宋体" w:hAnsi="宋体" w:eastAsia="宋体" w:cs="Times New Roman"/>
                <w:bCs/>
                <w:sz w:val="28"/>
                <w:szCs w:val="21"/>
              </w:rPr>
              <w:t xml:space="preserve">新一代信息技术     </w:t>
            </w:r>
            <w:r>
              <w:rPr>
                <w:rFonts w:ascii="宋体" w:hAnsi="宋体" w:eastAsia="宋体" w:cs="Times New Roman"/>
                <w:bCs/>
                <w:sz w:val="28"/>
                <w:szCs w:val="21"/>
              </w:rPr>
              <w:sym w:font="Wingdings 2" w:char="00A3"/>
            </w:r>
            <w:r>
              <w:rPr>
                <w:rFonts w:hint="eastAsia" w:ascii="宋体" w:hAnsi="宋体" w:eastAsia="宋体" w:cs="Times New Roman"/>
                <w:bCs/>
                <w:sz w:val="28"/>
                <w:szCs w:val="21"/>
              </w:rPr>
              <w:t>高端装备</w:t>
            </w:r>
          </w:p>
        </w:tc>
      </w:tr>
      <w:tr w14:paraId="41455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71" w:type="dxa"/>
            <w:vAlign w:val="center"/>
          </w:tcPr>
          <w:p w14:paraId="4C6E65C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441" w:type="dxa"/>
            <w:gridSpan w:val="3"/>
            <w:vAlign w:val="center"/>
          </w:tcPr>
          <w:p w14:paraId="765830ED">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150</w:t>
            </w:r>
            <w:r>
              <w:rPr>
                <w:rFonts w:hint="eastAsia" w:ascii="Times New Roman" w:hAnsi="Times New Roman" w:eastAsia="宋体" w:cs="Times New Roman"/>
                <w:bCs/>
                <w:sz w:val="28"/>
                <w:szCs w:val="21"/>
              </w:rPr>
              <w:t>万元</w:t>
            </w:r>
          </w:p>
        </w:tc>
      </w:tr>
      <w:tr w14:paraId="31B99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771" w:type="dxa"/>
            <w:vAlign w:val="center"/>
          </w:tcPr>
          <w:p w14:paraId="7475559A">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441" w:type="dxa"/>
            <w:gridSpan w:val="3"/>
            <w:vAlign w:val="center"/>
          </w:tcPr>
          <w:p w14:paraId="43024A0F">
            <w:pPr>
              <w:spacing w:line="320" w:lineRule="exact"/>
              <w:ind w:left="160" w:leftChars="50"/>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rPr>
              <w:t>高安全水系钠离子电池</w:t>
            </w:r>
          </w:p>
        </w:tc>
      </w:tr>
      <w:tr w14:paraId="2800C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4" w:hRule="atLeast"/>
          <w:jc w:val="center"/>
        </w:trPr>
        <w:tc>
          <w:tcPr>
            <w:tcW w:w="1771" w:type="dxa"/>
            <w:vAlign w:val="center"/>
          </w:tcPr>
          <w:p w14:paraId="077BABF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441" w:type="dxa"/>
            <w:gridSpan w:val="3"/>
          </w:tcPr>
          <w:p w14:paraId="3113F358">
            <w:pPr>
              <w:pStyle w:val="2"/>
              <w:spacing w:line="320" w:lineRule="exact"/>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4C85ADE7">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1、已有技术积累和应用条件</w:t>
            </w:r>
          </w:p>
          <w:p w14:paraId="5AADACB2">
            <w:pPr>
              <w:spacing w:line="540" w:lineRule="exact"/>
              <w:ind w:firstLine="560" w:firstLineChars="200"/>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资源环境与清洁能源研究团队开发出具有自主知识产权的水系钠离子储能电池，具备安全无污染、低成本、可回收等优势，适用于大规模储能。团队攻克集流体耐腐蚀、高稳定电解液与电芯结构设计等关键技术，研发出80 Ah电芯，具备高倍率性能、低自放电率和1500次循环寿命，整体技术达到国际先进水平。2024年建成兆瓦时级示范电站并成功并网运行，相关成果已获授权国家发明专利18项，其中6项实现转化应用。</w:t>
            </w:r>
          </w:p>
          <w:p w14:paraId="5769F196">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项目开发的水系钠离子储能电池具备优异性能：电芯额定容量为80 Ah，额定电压1.6 V，在8 A、25 A、40 A放电条件下分别实现78 Ah、68 Ah、59 Ah容量，倍率性能良好；自放电率仅为1.4%，库仑效率达99.9%；在40 A恒流条件下循环寿命超过1500次。电池通过针刺、挤压、短路、过充、跌落、加热等多项安全测试，符合国家标准。已建设兆瓦时级示范电站并稳定并网运行，关键技术达到国际先进水平。</w:t>
            </w:r>
          </w:p>
          <w:p w14:paraId="6F8E068F">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2、成果的价值、特色和创新点</w:t>
            </w:r>
          </w:p>
          <w:p w14:paraId="6082D81C">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项目在水系钠离子储能电池领域实现多项创新突破：一是开发新型耐腐蚀碳基集流体，解决水系电池易腐蚀难题；二是构建高稳定性电解液配方，显著提升电池循环寿命与安全性；三是优化正负极材料制备工艺，提升倍率性能与容量保持率；四是设计模块化电芯结构与系统集成方案，满足储能电堆高效、安全运行需求。以上创新实现了电池技术由实验室向应用端的跨越，推动水系钠离子电池在大规模储能领域的实际应用。</w:t>
            </w:r>
          </w:p>
          <w:p w14:paraId="4B65DC1C">
            <w:pPr>
              <w:spacing w:line="320" w:lineRule="exact"/>
              <w:rPr>
                <w:rFonts w:ascii="Times New Roman" w:hAnsi="Times New Roman" w:eastAsia="宋体" w:cs="Times New Roman"/>
                <w:bCs/>
                <w:sz w:val="28"/>
                <w:szCs w:val="21"/>
              </w:rPr>
            </w:pPr>
          </w:p>
        </w:tc>
      </w:tr>
    </w:tbl>
    <w:p w14:paraId="7837C4E2">
      <w:pPr>
        <w:rPr>
          <w:rFonts w:hint="default" w:ascii="Times New Roman" w:hAnsi="Times New Roman" w:cs="Times New Roman"/>
        </w:rPr>
        <w:sectPr>
          <w:pgSz w:w="11905" w:h="16838"/>
          <w:pgMar w:top="1417" w:right="1531" w:bottom="1417" w:left="1531" w:header="0" w:footer="0" w:gutter="0"/>
          <w:paperSrc/>
          <w:cols w:space="0" w:num="1"/>
          <w:rtlGutter w:val="0"/>
          <w:docGrid w:linePitch="312" w:charSpace="0"/>
        </w:sectPr>
      </w:pPr>
    </w:p>
    <w:p w14:paraId="2A46B148">
      <w:pPr>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编号2</w:t>
      </w:r>
    </w:p>
    <w:p w14:paraId="5E9E87D6">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4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80"/>
        <w:gridCol w:w="3297"/>
        <w:gridCol w:w="1876"/>
        <w:gridCol w:w="2733"/>
      </w:tblGrid>
      <w:tr w14:paraId="605F5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93" w:type="dxa"/>
            <w:vAlign w:val="center"/>
          </w:tcPr>
          <w:p w14:paraId="2C5063C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135" w:type="dxa"/>
            <w:vAlign w:val="center"/>
          </w:tcPr>
          <w:p w14:paraId="7425E03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w:t>
            </w:r>
          </w:p>
        </w:tc>
        <w:tc>
          <w:tcPr>
            <w:tcW w:w="1784" w:type="dxa"/>
            <w:vAlign w:val="center"/>
          </w:tcPr>
          <w:p w14:paraId="3B99AC2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452" w:type="dxa"/>
            <w:vAlign w:val="center"/>
          </w:tcPr>
          <w:p w14:paraId="5CE171B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12320000466007247U</w:t>
            </w:r>
          </w:p>
        </w:tc>
      </w:tr>
      <w:tr w14:paraId="5B0E5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37" w:hRule="exact"/>
          <w:jc w:val="center"/>
        </w:trPr>
        <w:tc>
          <w:tcPr>
            <w:tcW w:w="1693" w:type="dxa"/>
            <w:vAlign w:val="center"/>
          </w:tcPr>
          <w:p w14:paraId="5E80EBFC">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135" w:type="dxa"/>
            <w:vAlign w:val="center"/>
          </w:tcPr>
          <w:p w14:paraId="5B7D2476">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中国江苏常州中吴大道1801号</w:t>
            </w:r>
          </w:p>
        </w:tc>
        <w:tc>
          <w:tcPr>
            <w:tcW w:w="1784" w:type="dxa"/>
            <w:vAlign w:val="center"/>
          </w:tcPr>
          <w:p w14:paraId="352F805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452" w:type="dxa"/>
            <w:vAlign w:val="center"/>
          </w:tcPr>
          <w:p w14:paraId="3D77561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程洁红</w:t>
            </w:r>
          </w:p>
        </w:tc>
      </w:tr>
      <w:tr w14:paraId="45B80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0D9BDF3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135" w:type="dxa"/>
            <w:vAlign w:val="center"/>
          </w:tcPr>
          <w:p w14:paraId="0947549C">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13685212484</w:t>
            </w:r>
          </w:p>
        </w:tc>
        <w:tc>
          <w:tcPr>
            <w:tcW w:w="1784" w:type="dxa"/>
            <w:vAlign w:val="center"/>
          </w:tcPr>
          <w:p w14:paraId="3B3F39C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452" w:type="dxa"/>
            <w:vAlign w:val="center"/>
          </w:tcPr>
          <w:p w14:paraId="0FF46742">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cjh@jsut.edu.cn</w:t>
            </w:r>
          </w:p>
        </w:tc>
      </w:tr>
      <w:tr w14:paraId="089B4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693" w:type="dxa"/>
            <w:vAlign w:val="center"/>
          </w:tcPr>
          <w:p w14:paraId="65871C3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71" w:type="dxa"/>
            <w:gridSpan w:val="3"/>
            <w:vAlign w:val="center"/>
          </w:tcPr>
          <w:p w14:paraId="5D7C9FA4">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□人工智能</w:t>
            </w:r>
            <w:r>
              <w:rPr>
                <w:rFonts w:hint="eastAsia" w:ascii="宋体" w:hAnsi="宋体" w:eastAsia="宋体" w:cs="Times New Roman"/>
                <w:b/>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 xml:space="preserve">数字经济   </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先进半导体   </w:t>
            </w:r>
            <w:r>
              <w:rPr>
                <w:rFonts w:hint="eastAsia" w:ascii="宋体" w:hAnsi="宋体" w:eastAsia="宋体" w:cs="Times New Roman"/>
                <w:bCs/>
                <w:sz w:val="28"/>
                <w:szCs w:val="21"/>
                <w:lang w:eastAsia="zh-CN"/>
              </w:rPr>
              <w:t>☑</w:t>
            </w:r>
            <w:r>
              <w:rPr>
                <w:rFonts w:ascii="宋体" w:hAnsi="宋体" w:eastAsia="宋体" w:cs="Times New Roman"/>
                <w:bCs/>
                <w:sz w:val="28"/>
                <w:szCs w:val="21"/>
              </w:rPr>
              <w:t>新</w:t>
            </w:r>
            <w:r>
              <w:rPr>
                <w:rFonts w:hint="eastAsia" w:ascii="宋体" w:hAnsi="宋体" w:eastAsia="宋体" w:cs="Times New Roman"/>
                <w:bCs/>
                <w:sz w:val="28"/>
                <w:szCs w:val="21"/>
              </w:rPr>
              <w:t>材料</w:t>
            </w:r>
            <w:r>
              <w:rPr>
                <w:rFonts w:ascii="宋体" w:hAnsi="宋体" w:eastAsia="宋体" w:cs="Times New Roman"/>
                <w:bCs/>
                <w:sz w:val="28"/>
                <w:szCs w:val="21"/>
              </w:rPr>
              <w:t xml:space="preserve"> </w:t>
            </w:r>
          </w:p>
          <w:p w14:paraId="7D984C63">
            <w:pPr>
              <w:spacing w:line="320" w:lineRule="exact"/>
              <w:jc w:val="left"/>
              <w:rPr>
                <w:rFonts w:hint="eastAsia" w:ascii="宋体" w:hAnsi="宋体" w:eastAsia="宋体" w:cs="Times New Roman"/>
                <w:bCs/>
                <w:sz w:val="28"/>
                <w:szCs w:val="21"/>
              </w:rPr>
            </w:pPr>
            <w:r>
              <w:rPr>
                <w:rFonts w:hint="eastAsia" w:ascii="宋体" w:hAnsi="宋体" w:eastAsia="宋体" w:cs="Times New Roman"/>
                <w:bCs/>
                <w:sz w:val="28"/>
                <w:szCs w:val="21"/>
                <w:lang w:eastAsia="zh-CN"/>
              </w:rPr>
              <w:t>□</w:t>
            </w:r>
            <w:r>
              <w:rPr>
                <w:rFonts w:hint="eastAsia" w:ascii="宋体" w:hAnsi="宋体" w:eastAsia="宋体" w:cs="Times New Roman"/>
                <w:bCs/>
                <w:sz w:val="28"/>
                <w:szCs w:val="21"/>
              </w:rPr>
              <w:t>新型储能</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合成生物</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新能源汽车   </w:t>
            </w:r>
            <w:r>
              <w:rPr>
                <w:rFonts w:hint="eastAsia" w:ascii="宋体" w:hAnsi="宋体" w:eastAsia="宋体" w:cs="Times New Roman"/>
                <w:bCs/>
                <w:sz w:val="28"/>
                <w:szCs w:val="21"/>
                <w:lang w:eastAsia="zh-CN"/>
              </w:rPr>
              <w:t>☑</w:t>
            </w:r>
            <w:r>
              <w:rPr>
                <w:rFonts w:hint="eastAsia" w:ascii="宋体" w:hAnsi="宋体" w:eastAsia="宋体" w:cs="Times New Roman"/>
                <w:bCs/>
                <w:sz w:val="28"/>
                <w:szCs w:val="21"/>
              </w:rPr>
              <w:t>循环制</w:t>
            </w:r>
          </w:p>
          <w:p w14:paraId="79E66431">
            <w:pPr>
              <w:spacing w:line="320" w:lineRule="exact"/>
              <w:rPr>
                <w:rFonts w:ascii="Times New Roman" w:hAnsi="Times New Roman" w:eastAsia="宋体" w:cs="Times New Roman"/>
                <w:bCs/>
                <w:sz w:val="28"/>
                <w:szCs w:val="21"/>
              </w:rPr>
            </w:pPr>
            <w:r>
              <w:rPr>
                <w:rFonts w:ascii="宋体" w:hAnsi="宋体" w:eastAsia="宋体" w:cs="Times New Roman"/>
                <w:bCs/>
                <w:sz w:val="28"/>
                <w:szCs w:val="21"/>
              </w:rPr>
              <w:sym w:font="Wingdings 2" w:char="00A3"/>
            </w:r>
            <w:r>
              <w:rPr>
                <w:rFonts w:hint="eastAsia" w:ascii="宋体" w:hAnsi="宋体" w:eastAsia="宋体" w:cs="Times New Roman"/>
                <w:bCs/>
                <w:sz w:val="28"/>
                <w:szCs w:val="21"/>
              </w:rPr>
              <w:t xml:space="preserve">新一代信息技术     </w:t>
            </w:r>
            <w:r>
              <w:rPr>
                <w:rFonts w:ascii="宋体" w:hAnsi="宋体" w:eastAsia="宋体" w:cs="Times New Roman"/>
                <w:bCs/>
                <w:sz w:val="28"/>
                <w:szCs w:val="21"/>
              </w:rPr>
              <w:sym w:font="Wingdings 2" w:char="00A3"/>
            </w:r>
            <w:r>
              <w:rPr>
                <w:rFonts w:hint="eastAsia" w:ascii="宋体" w:hAnsi="宋体" w:eastAsia="宋体" w:cs="Times New Roman"/>
                <w:bCs/>
                <w:sz w:val="28"/>
                <w:szCs w:val="21"/>
              </w:rPr>
              <w:t>高端装备</w:t>
            </w:r>
          </w:p>
        </w:tc>
      </w:tr>
      <w:tr w14:paraId="0D4C8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75A7ADD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71" w:type="dxa"/>
            <w:gridSpan w:val="3"/>
            <w:vAlign w:val="center"/>
          </w:tcPr>
          <w:p w14:paraId="487A0655">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1</w:t>
            </w:r>
            <w:r>
              <w:rPr>
                <w:rFonts w:hint="eastAsia" w:ascii="Times New Roman" w:hAnsi="Times New Roman" w:eastAsia="宋体" w:cs="Times New Roman"/>
                <w:bCs/>
                <w:sz w:val="28"/>
                <w:szCs w:val="21"/>
                <w:lang w:val="en-US" w:eastAsia="zh-CN"/>
              </w:rPr>
              <w:t>60</w:t>
            </w:r>
            <w:r>
              <w:rPr>
                <w:rFonts w:hint="eastAsia" w:ascii="Times New Roman" w:hAnsi="Times New Roman" w:eastAsia="宋体" w:cs="Times New Roman"/>
                <w:bCs/>
                <w:sz w:val="28"/>
                <w:szCs w:val="21"/>
              </w:rPr>
              <w:t>万元</w:t>
            </w:r>
          </w:p>
        </w:tc>
      </w:tr>
      <w:tr w14:paraId="445A8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93" w:type="dxa"/>
            <w:vAlign w:val="center"/>
          </w:tcPr>
          <w:p w14:paraId="4A4FC2F9">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71" w:type="dxa"/>
            <w:gridSpan w:val="3"/>
            <w:vAlign w:val="center"/>
          </w:tcPr>
          <w:p w14:paraId="4FAFF086">
            <w:pPr>
              <w:spacing w:line="320" w:lineRule="exact"/>
              <w:ind w:left="160" w:leftChars="50"/>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rPr>
              <w:t>新型生物活性碳的制备及其脱色作用开发</w:t>
            </w:r>
          </w:p>
        </w:tc>
      </w:tr>
      <w:tr w14:paraId="521C1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4" w:hRule="atLeast"/>
          <w:jc w:val="center"/>
        </w:trPr>
        <w:tc>
          <w:tcPr>
            <w:tcW w:w="1693" w:type="dxa"/>
            <w:vAlign w:val="center"/>
          </w:tcPr>
          <w:p w14:paraId="41A2CB6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371" w:type="dxa"/>
            <w:gridSpan w:val="3"/>
          </w:tcPr>
          <w:p w14:paraId="144F7278">
            <w:pPr>
              <w:pStyle w:val="2"/>
              <w:spacing w:line="320" w:lineRule="exact"/>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76AFD89A">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1、已有技术积累和应用条件</w:t>
            </w:r>
          </w:p>
          <w:p w14:paraId="562A045F">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本技术由江苏理工学院研发，利用城市污泥等固废资源制备高效生物碳催化剂TD，应用于印染废水的脱色和COD去除。催化剂由污泥与硫酸亚铁等原料制成，具备丰富的含氧官能团、纳米级晶粒及多相金属氧化物结构，具有优异的催化性能。在毛纺废水处理中，脱色率提升30–40%，COD总去除率达88.6%，处理后达一级B排放标准，处理成本降低至1.1元/吨。相关成果已获国家发明专利授权，具有良好的环保效益与推广前景。</w:t>
            </w:r>
          </w:p>
          <w:p w14:paraId="5968E468">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生物碳催化剂TD具备纳米晶粒结构，含C=C、C=O等官能团和多种金属氧化物复合相，具良好催化性能；印染废水脱色率提高30–40%，毛纺针织废水总COD去除率达88.6%；处理后出水达到《城镇污水处理厂污染物排放标准》一级B标准；在保证处理效果的同时，成本降低至1.1元/吨水，相比传统聚合氯化铝工艺节约成本39%；催化剂制备过程可控性强，具备规模化推广条件；已获授权国家发明专利ZL202310541949.1。</w:t>
            </w:r>
          </w:p>
          <w:p w14:paraId="293A35B1">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2、成果的价值、特色和创新点</w:t>
            </w:r>
          </w:p>
          <w:p w14:paraId="23E95602">
            <w:pPr>
              <w:spacing w:line="540" w:lineRule="exact"/>
              <w:ind w:firstLine="560" w:firstLineChars="200"/>
              <w:rPr>
                <w:rFonts w:ascii="Times New Roman" w:hAnsi="Times New Roman" w:eastAsia="宋体" w:cs="Times New Roman"/>
                <w:bCs/>
                <w:sz w:val="28"/>
                <w:szCs w:val="21"/>
              </w:rPr>
            </w:pPr>
            <w:r>
              <w:rPr>
                <w:rFonts w:hint="eastAsia" w:ascii="Times New Roman" w:hAnsi="Times New Roman" w:eastAsia="宋体" w:cs="Times New Roman"/>
                <w:bCs/>
                <w:sz w:val="28"/>
                <w:szCs w:val="21"/>
              </w:rPr>
              <w:t>本技术创新性地将城市污泥资源化利用，开发出含Fe3O4、FeMnOx等复合组分的高活性生物碳催化剂TD，实现废弃物制备高效环保材料；催化剂结构中富含石墨碳、金属氧化物及金属硅酸盐，增强其吸附与催化协同效应；通过氮气和CO₂双气氛控制煅烧工艺，提升催化剂结构稳定性与反应活性；工艺实现脱色与COD同步高效去除，且成本显著低于传统药剂处理，推动污泥资源化与废水治理技术融合发展。</w:t>
            </w:r>
          </w:p>
          <w:p w14:paraId="66EDCD0D">
            <w:pPr>
              <w:spacing w:line="320" w:lineRule="exact"/>
              <w:rPr>
                <w:rFonts w:ascii="Times New Roman" w:hAnsi="Times New Roman" w:eastAsia="宋体" w:cs="Times New Roman"/>
                <w:bCs/>
                <w:sz w:val="28"/>
                <w:szCs w:val="21"/>
              </w:rPr>
            </w:pPr>
          </w:p>
        </w:tc>
      </w:tr>
    </w:tbl>
    <w:p w14:paraId="06294D5A">
      <w:pPr>
        <w:rPr>
          <w:rFonts w:hint="default" w:ascii="Times New Roman" w:hAnsi="Times New Roman" w:cs="Times New Roman"/>
        </w:rPr>
        <w:sectPr>
          <w:pgSz w:w="11905" w:h="16838"/>
          <w:pgMar w:top="1417" w:right="1531" w:bottom="1417" w:left="1531" w:header="0" w:footer="0" w:gutter="0"/>
          <w:paperSrc/>
          <w:cols w:space="0" w:num="1"/>
          <w:rtlGutter w:val="0"/>
          <w:docGrid w:linePitch="312" w:charSpace="0"/>
        </w:sectPr>
      </w:pPr>
    </w:p>
    <w:p w14:paraId="1A9460DD">
      <w:pPr>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编号</w:t>
      </w:r>
      <w:r>
        <w:rPr>
          <w:rFonts w:ascii="Times New Roman" w:hAnsi="Times New Roman" w:eastAsia="黑体" w:cs="Times New Roman"/>
          <w:sz w:val="32"/>
          <w:szCs w:val="32"/>
        </w:rPr>
        <w:t>3</w:t>
      </w:r>
    </w:p>
    <w:p w14:paraId="5F3E1414">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4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80"/>
        <w:gridCol w:w="3297"/>
        <w:gridCol w:w="1876"/>
        <w:gridCol w:w="2733"/>
      </w:tblGrid>
      <w:tr w14:paraId="3B394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93" w:type="dxa"/>
            <w:vAlign w:val="center"/>
          </w:tcPr>
          <w:p w14:paraId="71F09E4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135" w:type="dxa"/>
            <w:vAlign w:val="center"/>
          </w:tcPr>
          <w:p w14:paraId="3D060FF2">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w:t>
            </w:r>
          </w:p>
        </w:tc>
        <w:tc>
          <w:tcPr>
            <w:tcW w:w="1784" w:type="dxa"/>
            <w:vAlign w:val="center"/>
          </w:tcPr>
          <w:p w14:paraId="2FAA29BC">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452" w:type="dxa"/>
            <w:vAlign w:val="center"/>
          </w:tcPr>
          <w:p w14:paraId="518AF88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12320000466007247U</w:t>
            </w:r>
          </w:p>
        </w:tc>
      </w:tr>
      <w:tr w14:paraId="59A13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37" w:hRule="exact"/>
          <w:jc w:val="center"/>
        </w:trPr>
        <w:tc>
          <w:tcPr>
            <w:tcW w:w="1693" w:type="dxa"/>
            <w:vAlign w:val="center"/>
          </w:tcPr>
          <w:p w14:paraId="460F093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135" w:type="dxa"/>
            <w:vAlign w:val="center"/>
          </w:tcPr>
          <w:p w14:paraId="2E68BB06">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中国江苏常州中吴大道1801号</w:t>
            </w:r>
          </w:p>
        </w:tc>
        <w:tc>
          <w:tcPr>
            <w:tcW w:w="1784" w:type="dxa"/>
            <w:vAlign w:val="center"/>
          </w:tcPr>
          <w:p w14:paraId="4271363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452" w:type="dxa"/>
            <w:vAlign w:val="center"/>
          </w:tcPr>
          <w:p w14:paraId="20DD467A">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丁力</w:t>
            </w:r>
          </w:p>
        </w:tc>
      </w:tr>
      <w:tr w14:paraId="5C94F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3E2A6B64">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135" w:type="dxa"/>
            <w:vAlign w:val="center"/>
          </w:tcPr>
          <w:p w14:paraId="6F49E024">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18906111097</w:t>
            </w:r>
          </w:p>
        </w:tc>
        <w:tc>
          <w:tcPr>
            <w:tcW w:w="1784" w:type="dxa"/>
            <w:vAlign w:val="center"/>
          </w:tcPr>
          <w:p w14:paraId="5B4F285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452" w:type="dxa"/>
            <w:vAlign w:val="center"/>
          </w:tcPr>
          <w:p w14:paraId="13C2DC78">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nuaadli@163.com</w:t>
            </w:r>
          </w:p>
        </w:tc>
      </w:tr>
      <w:tr w14:paraId="5670B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693" w:type="dxa"/>
            <w:vAlign w:val="center"/>
          </w:tcPr>
          <w:p w14:paraId="52449DD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71" w:type="dxa"/>
            <w:gridSpan w:val="3"/>
            <w:vAlign w:val="center"/>
          </w:tcPr>
          <w:p w14:paraId="5BCE6311">
            <w:pPr>
              <w:spacing w:line="320" w:lineRule="exact"/>
              <w:jc w:val="left"/>
              <w:rPr>
                <w:rFonts w:hint="eastAsia" w:ascii="宋体" w:hAnsi="宋体" w:eastAsia="宋体" w:cs="Times New Roman"/>
                <w:bCs/>
                <w:sz w:val="28"/>
                <w:szCs w:val="21"/>
              </w:rPr>
            </w:pPr>
            <w:r>
              <w:rPr>
                <w:rFonts w:hint="eastAsia" w:ascii="宋体" w:hAnsi="宋体" w:eastAsia="宋体" w:cs="Times New Roman"/>
                <w:bCs/>
                <w:sz w:val="28"/>
                <w:szCs w:val="21"/>
                <w:lang w:eastAsia="zh-CN"/>
              </w:rPr>
              <w:t>☑</w:t>
            </w:r>
            <w:r>
              <w:rPr>
                <w:rFonts w:ascii="宋体" w:hAnsi="宋体" w:eastAsia="宋体" w:cs="Times New Roman"/>
                <w:bCs/>
                <w:sz w:val="28"/>
                <w:szCs w:val="21"/>
              </w:rPr>
              <w:t>人工智能</w:t>
            </w:r>
            <w:r>
              <w:rPr>
                <w:rFonts w:hint="eastAsia" w:ascii="宋体" w:hAnsi="宋体" w:eastAsia="宋体" w:cs="Times New Roman"/>
                <w:b/>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 xml:space="preserve">数字经济   </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先进半导体   </w:t>
            </w:r>
            <w:r>
              <w:rPr>
                <w:rFonts w:ascii="宋体" w:hAnsi="宋体" w:eastAsia="宋体" w:cs="Times New Roman"/>
                <w:bCs/>
                <w:sz w:val="28"/>
                <w:szCs w:val="21"/>
              </w:rPr>
              <w:t>□新</w:t>
            </w:r>
            <w:r>
              <w:rPr>
                <w:rFonts w:hint="eastAsia" w:ascii="宋体" w:hAnsi="宋体" w:eastAsia="宋体" w:cs="Times New Roman"/>
                <w:bCs/>
                <w:sz w:val="28"/>
                <w:szCs w:val="21"/>
              </w:rPr>
              <w:t>材料</w:t>
            </w:r>
            <w:r>
              <w:rPr>
                <w:rFonts w:ascii="宋体" w:hAnsi="宋体" w:eastAsia="宋体" w:cs="Times New Roman"/>
                <w:bCs/>
                <w:sz w:val="28"/>
                <w:szCs w:val="21"/>
              </w:rPr>
              <w:t xml:space="preserve"> </w:t>
            </w:r>
          </w:p>
          <w:p w14:paraId="457D0A93">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w:t>
            </w:r>
            <w:r>
              <w:rPr>
                <w:rFonts w:hint="eastAsia" w:ascii="宋体" w:hAnsi="宋体" w:eastAsia="宋体" w:cs="Times New Roman"/>
                <w:bCs/>
                <w:sz w:val="28"/>
                <w:szCs w:val="21"/>
              </w:rPr>
              <w:t>新型储能</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合成生物</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新能源汽车   </w:t>
            </w:r>
            <w:r>
              <w:rPr>
                <w:rFonts w:ascii="宋体" w:hAnsi="宋体" w:eastAsia="宋体" w:cs="Times New Roman"/>
                <w:bCs/>
                <w:sz w:val="28"/>
                <w:szCs w:val="21"/>
              </w:rPr>
              <w:t>□</w:t>
            </w:r>
            <w:r>
              <w:rPr>
                <w:rFonts w:hint="eastAsia" w:ascii="宋体" w:hAnsi="宋体" w:eastAsia="宋体" w:cs="Times New Roman"/>
                <w:bCs/>
                <w:sz w:val="28"/>
                <w:szCs w:val="21"/>
              </w:rPr>
              <w:t>循环制</w:t>
            </w:r>
          </w:p>
          <w:p w14:paraId="0BAB6CF4">
            <w:pPr>
              <w:spacing w:line="320" w:lineRule="exact"/>
              <w:rPr>
                <w:rFonts w:ascii="Times New Roman" w:hAnsi="Times New Roman" w:eastAsia="宋体" w:cs="Times New Roman"/>
                <w:bCs/>
                <w:sz w:val="28"/>
                <w:szCs w:val="21"/>
              </w:rPr>
            </w:pPr>
            <w:r>
              <w:rPr>
                <w:rFonts w:ascii="宋体" w:hAnsi="宋体" w:eastAsia="宋体" w:cs="Times New Roman"/>
                <w:bCs/>
                <w:sz w:val="28"/>
                <w:szCs w:val="21"/>
              </w:rPr>
              <w:sym w:font="Wingdings 2" w:char="00A3"/>
            </w:r>
            <w:r>
              <w:rPr>
                <w:rFonts w:hint="eastAsia" w:ascii="宋体" w:hAnsi="宋体" w:eastAsia="宋体" w:cs="Times New Roman"/>
                <w:bCs/>
                <w:sz w:val="28"/>
                <w:szCs w:val="21"/>
              </w:rPr>
              <w:t xml:space="preserve">新一代信息技术     </w:t>
            </w:r>
            <w:r>
              <w:rPr>
                <w:rFonts w:ascii="宋体" w:hAnsi="宋体" w:eastAsia="宋体" w:cs="Times New Roman"/>
                <w:bCs/>
                <w:sz w:val="28"/>
                <w:szCs w:val="21"/>
              </w:rPr>
              <w:sym w:font="Wingdings 2" w:char="F052"/>
            </w:r>
            <w:r>
              <w:rPr>
                <w:rFonts w:hint="eastAsia" w:ascii="宋体" w:hAnsi="宋体" w:eastAsia="宋体" w:cs="Times New Roman"/>
                <w:bCs/>
                <w:sz w:val="28"/>
                <w:szCs w:val="21"/>
              </w:rPr>
              <w:t>高端装备</w:t>
            </w:r>
          </w:p>
        </w:tc>
      </w:tr>
      <w:tr w14:paraId="1ABDC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79F39EB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71" w:type="dxa"/>
            <w:gridSpan w:val="3"/>
            <w:vAlign w:val="center"/>
          </w:tcPr>
          <w:p w14:paraId="43599EDC">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1</w:t>
            </w:r>
            <w:r>
              <w:rPr>
                <w:rFonts w:hint="eastAsia" w:ascii="Times New Roman" w:hAnsi="Times New Roman" w:eastAsia="宋体" w:cs="Times New Roman"/>
                <w:bCs/>
                <w:sz w:val="28"/>
                <w:szCs w:val="21"/>
                <w:lang w:val="en-US" w:eastAsia="zh-CN"/>
              </w:rPr>
              <w:t>60</w:t>
            </w:r>
            <w:r>
              <w:rPr>
                <w:rFonts w:hint="eastAsia" w:ascii="Times New Roman" w:hAnsi="Times New Roman" w:eastAsia="宋体" w:cs="Times New Roman"/>
                <w:bCs/>
                <w:sz w:val="28"/>
                <w:szCs w:val="21"/>
              </w:rPr>
              <w:t>万元</w:t>
            </w:r>
          </w:p>
        </w:tc>
      </w:tr>
      <w:tr w14:paraId="57BDB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93" w:type="dxa"/>
            <w:vAlign w:val="center"/>
          </w:tcPr>
          <w:p w14:paraId="3F98C2FE">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71" w:type="dxa"/>
            <w:gridSpan w:val="3"/>
            <w:vAlign w:val="center"/>
          </w:tcPr>
          <w:p w14:paraId="24C4DADA">
            <w:pPr>
              <w:spacing w:line="320" w:lineRule="exact"/>
              <w:ind w:left="160" w:leftChars="50"/>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rPr>
              <w:t>水质采样空中机械臂</w:t>
            </w:r>
          </w:p>
        </w:tc>
      </w:tr>
      <w:tr w14:paraId="7B65C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4" w:hRule="atLeast"/>
          <w:jc w:val="center"/>
        </w:trPr>
        <w:tc>
          <w:tcPr>
            <w:tcW w:w="1693" w:type="dxa"/>
            <w:vAlign w:val="center"/>
          </w:tcPr>
          <w:p w14:paraId="1957CB84">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371" w:type="dxa"/>
            <w:gridSpan w:val="3"/>
          </w:tcPr>
          <w:p w14:paraId="443B694D">
            <w:pPr>
              <w:pStyle w:val="2"/>
              <w:spacing w:line="320" w:lineRule="exact"/>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3EEA6B33">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1、已有技术积累和应用条件</w:t>
            </w:r>
          </w:p>
          <w:p w14:paraId="44DB3476">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设计了一种面向水质采样的绳驱动空中机械臂系统，由四旋翼飞行器挂载二自由度绳驱动机械臂组成，具备轻量化、高精度控制能力。系统集成飞行机器人与智能采样功能，突破传统采样方式效率低、数据精度差的限制，能够在复杂环境中替代人工实现排污口水质精准采样。项目涵盖机构设计、动力学建模、目标识别、抗干扰控制等关键技术，样机验证表明系统具备良好作业性能与工程应用价值。</w:t>
            </w:r>
          </w:p>
          <w:p w14:paraId="34EE20A3">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绳驱动空中机械臂系统总高780 mm，总质量3.5 kg，每个绳驱动模块质量≤1030 g。系统具备2个自由度，角位移控制精度达0.01°–0.05°，机械臂末端位置控制精度为0.1–0.6 m，飞行器姿态角控制精度为0.01°–4°。系统可在复杂河湖排污环境中自主完成污水采样任务，具备快速部署、精确操作与高稳定性等特点，适用于环保监测、水体调查等多场景应用需求。</w:t>
            </w:r>
          </w:p>
          <w:p w14:paraId="0A2AF4E3">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2、成果的价值、特色和创新点</w:t>
            </w:r>
          </w:p>
          <w:p w14:paraId="2268AB5C">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该成果在四方面实现技术创新：（1）发明新型绳索走线结构，实现多关节运动学主动解耦，提升机械臂轻量化水平；（2）提出基于空间算子代数的刚柔耦合动力学建模方法，提升系统建模效率与精度；（3）构建仿生立体视觉定位模型，实现目标区域三维重建与高精度定位；（4）研发高精度抗干扰控制算法，结合线性扩张观测器与非奇异快速终端滑模，实现高鲁棒性位姿控制，为复杂环境下的水质采样作业提供关键支撑。</w:t>
            </w:r>
          </w:p>
          <w:p w14:paraId="3242F28C">
            <w:pPr>
              <w:spacing w:line="320" w:lineRule="exact"/>
              <w:rPr>
                <w:rFonts w:ascii="Times New Roman" w:hAnsi="Times New Roman" w:eastAsia="宋体" w:cs="Times New Roman"/>
                <w:bCs/>
                <w:sz w:val="28"/>
                <w:szCs w:val="21"/>
              </w:rPr>
            </w:pPr>
          </w:p>
        </w:tc>
      </w:tr>
    </w:tbl>
    <w:p w14:paraId="17E09865">
      <w:pPr>
        <w:rPr>
          <w:rFonts w:hint="eastAsia" w:ascii="Times New Roman" w:hAnsi="Times New Roman" w:eastAsia="黑体" w:cs="Times New Roman"/>
          <w:sz w:val="32"/>
          <w:szCs w:val="32"/>
          <w:lang w:val="en-US" w:eastAsia="zh-CN"/>
        </w:rPr>
      </w:pPr>
    </w:p>
    <w:p w14:paraId="5689885A">
      <w:pPr>
        <w:rPr>
          <w:rFonts w:hint="eastAsia" w:ascii="Times New Roman" w:hAnsi="Times New Roman" w:eastAsia="黑体" w:cs="Times New Roman"/>
          <w:sz w:val="32"/>
          <w:szCs w:val="32"/>
          <w:lang w:val="en-US" w:eastAsia="zh-CN"/>
        </w:rPr>
      </w:pPr>
    </w:p>
    <w:p w14:paraId="4C652978">
      <w:pPr>
        <w:rPr>
          <w:rFonts w:hint="eastAsia" w:ascii="Times New Roman" w:hAnsi="Times New Roman" w:eastAsia="黑体" w:cs="Times New Roman"/>
          <w:sz w:val="32"/>
          <w:szCs w:val="32"/>
          <w:lang w:val="en-US" w:eastAsia="zh-CN"/>
        </w:rPr>
      </w:pPr>
    </w:p>
    <w:p w14:paraId="5F64364D">
      <w:pPr>
        <w:rPr>
          <w:rFonts w:hint="eastAsia" w:ascii="Times New Roman" w:hAnsi="Times New Roman" w:eastAsia="黑体" w:cs="Times New Roman"/>
          <w:sz w:val="32"/>
          <w:szCs w:val="32"/>
          <w:lang w:val="en-US" w:eastAsia="zh-CN"/>
        </w:rPr>
      </w:pPr>
    </w:p>
    <w:p w14:paraId="399171B5">
      <w:pPr>
        <w:rPr>
          <w:rFonts w:hint="eastAsia" w:ascii="Times New Roman" w:hAnsi="Times New Roman" w:eastAsia="黑体" w:cs="Times New Roman"/>
          <w:sz w:val="32"/>
          <w:szCs w:val="32"/>
          <w:lang w:val="en-US" w:eastAsia="zh-CN"/>
        </w:rPr>
      </w:pPr>
    </w:p>
    <w:p w14:paraId="24F2DCAA">
      <w:pPr>
        <w:rPr>
          <w:rFonts w:hint="eastAsia" w:ascii="Times New Roman" w:hAnsi="Times New Roman" w:eastAsia="黑体" w:cs="Times New Roman"/>
          <w:sz w:val="32"/>
          <w:szCs w:val="32"/>
          <w:lang w:val="en-US" w:eastAsia="zh-CN"/>
        </w:rPr>
      </w:pPr>
    </w:p>
    <w:p w14:paraId="3770D3F2">
      <w:pPr>
        <w:rPr>
          <w:rFonts w:hint="eastAsia" w:ascii="Times New Roman" w:hAnsi="Times New Roman" w:eastAsia="黑体" w:cs="Times New Roman"/>
          <w:sz w:val="32"/>
          <w:szCs w:val="32"/>
          <w:lang w:val="en-US" w:eastAsia="zh-CN"/>
        </w:rPr>
      </w:pPr>
    </w:p>
    <w:p w14:paraId="15C80539">
      <w:pPr>
        <w:rPr>
          <w:rFonts w:hint="eastAsia" w:ascii="Times New Roman" w:hAnsi="Times New Roman" w:eastAsia="黑体" w:cs="Times New Roman"/>
          <w:sz w:val="32"/>
          <w:szCs w:val="32"/>
          <w:lang w:val="en-US" w:eastAsia="zh-CN"/>
        </w:rPr>
      </w:pPr>
    </w:p>
    <w:p w14:paraId="0C871FD8">
      <w:pPr>
        <w:rPr>
          <w:rFonts w:hint="eastAsia" w:ascii="Times New Roman" w:hAnsi="Times New Roman" w:eastAsia="黑体" w:cs="Times New Roman"/>
          <w:sz w:val="32"/>
          <w:szCs w:val="32"/>
          <w:lang w:val="en-US" w:eastAsia="zh-CN"/>
        </w:rPr>
      </w:pPr>
    </w:p>
    <w:p w14:paraId="48DD3A5C">
      <w:pPr>
        <w:rPr>
          <w:rFonts w:hint="eastAsia" w:ascii="Times New Roman" w:hAnsi="Times New Roman" w:eastAsia="黑体" w:cs="Times New Roman"/>
          <w:sz w:val="32"/>
          <w:szCs w:val="32"/>
          <w:lang w:val="en-US" w:eastAsia="zh-CN"/>
        </w:rPr>
      </w:pPr>
    </w:p>
    <w:p w14:paraId="4266950E">
      <w:pPr>
        <w:rPr>
          <w:rFonts w:hint="eastAsia" w:ascii="Times New Roman" w:hAnsi="Times New Roman" w:eastAsia="黑体" w:cs="Times New Roman"/>
          <w:sz w:val="32"/>
          <w:szCs w:val="32"/>
          <w:lang w:val="en-US" w:eastAsia="zh-CN"/>
        </w:rPr>
      </w:pPr>
    </w:p>
    <w:p w14:paraId="15CE8D8A">
      <w:pPr>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br w:type="page"/>
      </w:r>
    </w:p>
    <w:p w14:paraId="1C1A83C1">
      <w:pPr>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编号4</w:t>
      </w:r>
    </w:p>
    <w:p w14:paraId="6DB0CA9D">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4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80"/>
        <w:gridCol w:w="3297"/>
        <w:gridCol w:w="1876"/>
        <w:gridCol w:w="2733"/>
      </w:tblGrid>
      <w:tr w14:paraId="1BB23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93" w:type="dxa"/>
            <w:vAlign w:val="center"/>
          </w:tcPr>
          <w:p w14:paraId="081C0B4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135" w:type="dxa"/>
            <w:vAlign w:val="center"/>
          </w:tcPr>
          <w:p w14:paraId="214C14F4">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w:t>
            </w:r>
          </w:p>
        </w:tc>
        <w:tc>
          <w:tcPr>
            <w:tcW w:w="1784" w:type="dxa"/>
            <w:vAlign w:val="center"/>
          </w:tcPr>
          <w:p w14:paraId="7A8EE11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452" w:type="dxa"/>
            <w:vAlign w:val="center"/>
          </w:tcPr>
          <w:p w14:paraId="10E0778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12320000466007247U</w:t>
            </w:r>
          </w:p>
        </w:tc>
      </w:tr>
      <w:tr w14:paraId="56D0E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37" w:hRule="exact"/>
          <w:jc w:val="center"/>
        </w:trPr>
        <w:tc>
          <w:tcPr>
            <w:tcW w:w="1693" w:type="dxa"/>
            <w:vAlign w:val="center"/>
          </w:tcPr>
          <w:p w14:paraId="0EFE6F9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135" w:type="dxa"/>
            <w:vAlign w:val="center"/>
          </w:tcPr>
          <w:p w14:paraId="7CBFB85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中国江苏常州中吴大道1801号</w:t>
            </w:r>
          </w:p>
        </w:tc>
        <w:tc>
          <w:tcPr>
            <w:tcW w:w="1784" w:type="dxa"/>
            <w:vAlign w:val="center"/>
          </w:tcPr>
          <w:p w14:paraId="41E0838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452" w:type="dxa"/>
            <w:vAlign w:val="center"/>
          </w:tcPr>
          <w:p w14:paraId="6186E776">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景征骏</w:t>
            </w:r>
          </w:p>
        </w:tc>
      </w:tr>
      <w:tr w14:paraId="37B71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6B613E64">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135" w:type="dxa"/>
            <w:vAlign w:val="center"/>
          </w:tcPr>
          <w:p w14:paraId="60F4D42E">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13616106073</w:t>
            </w:r>
          </w:p>
        </w:tc>
        <w:tc>
          <w:tcPr>
            <w:tcW w:w="1784" w:type="dxa"/>
            <w:vAlign w:val="center"/>
          </w:tcPr>
          <w:p w14:paraId="6C2A507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452" w:type="dxa"/>
            <w:vAlign w:val="center"/>
          </w:tcPr>
          <w:p w14:paraId="125E6629">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jzjing@jsut.edu.cn</w:t>
            </w:r>
          </w:p>
        </w:tc>
      </w:tr>
      <w:tr w14:paraId="7B65F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693" w:type="dxa"/>
            <w:vAlign w:val="center"/>
          </w:tcPr>
          <w:p w14:paraId="4A9234B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71" w:type="dxa"/>
            <w:gridSpan w:val="3"/>
            <w:vAlign w:val="center"/>
          </w:tcPr>
          <w:p w14:paraId="7DD7732C">
            <w:pPr>
              <w:spacing w:line="320" w:lineRule="exact"/>
              <w:jc w:val="left"/>
              <w:rPr>
                <w:rFonts w:hint="eastAsia" w:ascii="宋体" w:hAnsi="宋体" w:eastAsia="宋体" w:cs="Times New Roman"/>
                <w:bCs/>
                <w:sz w:val="28"/>
                <w:szCs w:val="21"/>
              </w:rPr>
            </w:pPr>
            <w:r>
              <w:rPr>
                <w:rFonts w:hint="eastAsia" w:ascii="宋体" w:hAnsi="宋体" w:eastAsia="宋体" w:cs="Times New Roman"/>
                <w:bCs/>
                <w:sz w:val="28"/>
                <w:szCs w:val="21"/>
                <w:lang w:eastAsia="zh-CN"/>
              </w:rPr>
              <w:t>☑</w:t>
            </w:r>
            <w:r>
              <w:rPr>
                <w:rFonts w:ascii="宋体" w:hAnsi="宋体" w:eastAsia="宋体" w:cs="Times New Roman"/>
                <w:bCs/>
                <w:sz w:val="28"/>
                <w:szCs w:val="21"/>
              </w:rPr>
              <w:t>人工智能</w:t>
            </w:r>
            <w:r>
              <w:rPr>
                <w:rFonts w:hint="eastAsia" w:ascii="宋体" w:hAnsi="宋体" w:eastAsia="宋体" w:cs="Times New Roman"/>
                <w:b/>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 xml:space="preserve">数字经济   </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先进半导体   </w:t>
            </w:r>
            <w:r>
              <w:rPr>
                <w:rFonts w:ascii="宋体" w:hAnsi="宋体" w:eastAsia="宋体" w:cs="Times New Roman"/>
                <w:bCs/>
                <w:sz w:val="28"/>
                <w:szCs w:val="21"/>
              </w:rPr>
              <w:t>□新</w:t>
            </w:r>
            <w:r>
              <w:rPr>
                <w:rFonts w:hint="eastAsia" w:ascii="宋体" w:hAnsi="宋体" w:eastAsia="宋体" w:cs="Times New Roman"/>
                <w:bCs/>
                <w:sz w:val="28"/>
                <w:szCs w:val="21"/>
              </w:rPr>
              <w:t>材料</w:t>
            </w:r>
            <w:r>
              <w:rPr>
                <w:rFonts w:ascii="宋体" w:hAnsi="宋体" w:eastAsia="宋体" w:cs="Times New Roman"/>
                <w:bCs/>
                <w:sz w:val="28"/>
                <w:szCs w:val="21"/>
              </w:rPr>
              <w:t xml:space="preserve"> </w:t>
            </w:r>
          </w:p>
          <w:p w14:paraId="2CEA394C">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w:t>
            </w:r>
            <w:r>
              <w:rPr>
                <w:rFonts w:hint="eastAsia" w:ascii="宋体" w:hAnsi="宋体" w:eastAsia="宋体" w:cs="Times New Roman"/>
                <w:bCs/>
                <w:sz w:val="28"/>
                <w:szCs w:val="21"/>
              </w:rPr>
              <w:t>新型储能</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合成生物</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新能源汽车   </w:t>
            </w:r>
            <w:r>
              <w:rPr>
                <w:rFonts w:ascii="宋体" w:hAnsi="宋体" w:eastAsia="宋体" w:cs="Times New Roman"/>
                <w:bCs/>
                <w:sz w:val="28"/>
                <w:szCs w:val="21"/>
              </w:rPr>
              <w:t>□</w:t>
            </w:r>
            <w:r>
              <w:rPr>
                <w:rFonts w:hint="eastAsia" w:ascii="宋体" w:hAnsi="宋体" w:eastAsia="宋体" w:cs="Times New Roman"/>
                <w:bCs/>
                <w:sz w:val="28"/>
                <w:szCs w:val="21"/>
              </w:rPr>
              <w:t>循环制</w:t>
            </w:r>
          </w:p>
          <w:p w14:paraId="6D8978B0">
            <w:pPr>
              <w:spacing w:line="320" w:lineRule="exact"/>
              <w:rPr>
                <w:rFonts w:ascii="Times New Roman" w:hAnsi="Times New Roman" w:eastAsia="宋体" w:cs="Times New Roman"/>
                <w:bCs/>
                <w:sz w:val="28"/>
                <w:szCs w:val="21"/>
              </w:rPr>
            </w:pPr>
            <w:r>
              <w:rPr>
                <w:rFonts w:ascii="宋体" w:hAnsi="宋体" w:eastAsia="宋体" w:cs="Times New Roman"/>
                <w:bCs/>
                <w:sz w:val="28"/>
                <w:szCs w:val="21"/>
              </w:rPr>
              <w:sym w:font="Wingdings 2" w:char="F052"/>
            </w:r>
            <w:r>
              <w:rPr>
                <w:rFonts w:hint="eastAsia" w:ascii="宋体" w:hAnsi="宋体" w:eastAsia="宋体" w:cs="Times New Roman"/>
                <w:bCs/>
                <w:sz w:val="28"/>
                <w:szCs w:val="21"/>
              </w:rPr>
              <w:t xml:space="preserve">新一代信息技术     </w:t>
            </w:r>
            <w:r>
              <w:rPr>
                <w:rFonts w:ascii="宋体" w:hAnsi="宋体" w:eastAsia="宋体" w:cs="Times New Roman"/>
                <w:bCs/>
                <w:sz w:val="28"/>
                <w:szCs w:val="21"/>
              </w:rPr>
              <w:sym w:font="Wingdings 2" w:char="00A3"/>
            </w:r>
            <w:r>
              <w:rPr>
                <w:rFonts w:hint="eastAsia" w:ascii="宋体" w:hAnsi="宋体" w:eastAsia="宋体" w:cs="Times New Roman"/>
                <w:bCs/>
                <w:sz w:val="28"/>
                <w:szCs w:val="21"/>
              </w:rPr>
              <w:t>高端装备</w:t>
            </w:r>
          </w:p>
        </w:tc>
      </w:tr>
      <w:tr w14:paraId="5A49C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7952091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71" w:type="dxa"/>
            <w:gridSpan w:val="3"/>
            <w:vAlign w:val="center"/>
          </w:tcPr>
          <w:p w14:paraId="38617640">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1</w:t>
            </w:r>
            <w:r>
              <w:rPr>
                <w:rFonts w:hint="eastAsia" w:ascii="Times New Roman" w:hAnsi="Times New Roman" w:eastAsia="宋体" w:cs="Times New Roman"/>
                <w:bCs/>
                <w:sz w:val="28"/>
                <w:szCs w:val="21"/>
                <w:lang w:val="en-US" w:eastAsia="zh-CN"/>
              </w:rPr>
              <w:t>70</w:t>
            </w:r>
            <w:r>
              <w:rPr>
                <w:rFonts w:hint="eastAsia" w:ascii="Times New Roman" w:hAnsi="Times New Roman" w:eastAsia="宋体" w:cs="Times New Roman"/>
                <w:bCs/>
                <w:sz w:val="28"/>
                <w:szCs w:val="21"/>
              </w:rPr>
              <w:t>万元</w:t>
            </w:r>
          </w:p>
        </w:tc>
      </w:tr>
      <w:tr w14:paraId="0AF80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93" w:type="dxa"/>
            <w:vAlign w:val="center"/>
          </w:tcPr>
          <w:p w14:paraId="42931C52">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71" w:type="dxa"/>
            <w:gridSpan w:val="3"/>
            <w:vAlign w:val="center"/>
          </w:tcPr>
          <w:p w14:paraId="69272EBA">
            <w:pPr>
              <w:spacing w:line="320" w:lineRule="exact"/>
              <w:ind w:left="160" w:leftChars="50"/>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rPr>
              <w:t>基于嵌入式多功能终端的教学管理应用平台</w:t>
            </w:r>
          </w:p>
        </w:tc>
      </w:tr>
      <w:tr w14:paraId="77EE3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4" w:hRule="atLeast"/>
          <w:jc w:val="center"/>
        </w:trPr>
        <w:tc>
          <w:tcPr>
            <w:tcW w:w="1693" w:type="dxa"/>
            <w:vAlign w:val="center"/>
          </w:tcPr>
          <w:p w14:paraId="0D0B07E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371" w:type="dxa"/>
            <w:gridSpan w:val="3"/>
          </w:tcPr>
          <w:p w14:paraId="5A6EADCD">
            <w:pPr>
              <w:pStyle w:val="2"/>
              <w:spacing w:line="320" w:lineRule="exact"/>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2B870E6C">
            <w:pPr>
              <w:numPr>
                <w:ilvl w:val="0"/>
                <w:numId w:val="1"/>
              </w:numPr>
              <w:spacing w:line="540" w:lineRule="exact"/>
              <w:ind w:firstLine="562" w:firstLineChars="200"/>
              <w:rPr>
                <w:rFonts w:hint="eastAsia" w:ascii="Times New Roman" w:hAnsi="Times New Roman" w:eastAsia="宋体" w:cs="Times New Roman"/>
                <w:b/>
                <w:sz w:val="28"/>
                <w:szCs w:val="21"/>
                <w:lang w:val="en-US" w:eastAsia="zh-CN"/>
              </w:rPr>
            </w:pPr>
            <w:r>
              <w:rPr>
                <w:rFonts w:hint="eastAsia" w:ascii="Times New Roman" w:hAnsi="Times New Roman" w:eastAsia="宋体" w:cs="Times New Roman"/>
                <w:b/>
                <w:sz w:val="28"/>
                <w:szCs w:val="21"/>
                <w:lang w:val="en-US" w:eastAsia="zh-CN"/>
              </w:rPr>
              <w:t>已有技术积累和应用条件</w:t>
            </w:r>
          </w:p>
          <w:p w14:paraId="4A9DF45D">
            <w:pPr>
              <w:spacing w:line="540" w:lineRule="exact"/>
              <w:ind w:firstLine="560" w:firstLineChars="200"/>
              <w:rPr>
                <w:rFonts w:hint="default" w:ascii="Times New Roman" w:hAnsi="Times New Roman" w:eastAsia="宋体" w:cs="Times New Roman"/>
                <w:bCs/>
                <w:sz w:val="28"/>
                <w:szCs w:val="21"/>
                <w:lang w:val="en-US" w:eastAsia="zh-CN"/>
              </w:rPr>
            </w:pPr>
            <w:r>
              <w:rPr>
                <w:rFonts w:hint="default" w:ascii="Times New Roman" w:hAnsi="Times New Roman" w:eastAsia="宋体" w:cs="Times New Roman"/>
                <w:bCs/>
                <w:sz w:val="28"/>
                <w:szCs w:val="21"/>
                <w:lang w:val="en-US" w:eastAsia="zh-CN"/>
              </w:rPr>
              <w:t>多功能终端是一种集人脸识别、指纹识别、刷卡、信息显示等功能于一体的智能设备，广泛应用于教育、办公、科研等场景。设备以电子屏为载体，支持CPU卡、射频卡及多种识别方式，配套管理平台集成门禁、会议预约、信息发布、实验室管理、考场管理等多系统模块，提供高效、智能、安全的一体化场景数字化解决方案，提升管理效率与用户体验。系统支持数据分析与校情宣传，助力智慧校园与数字空间建设。</w:t>
            </w:r>
          </w:p>
          <w:p w14:paraId="2FDDFBFF">
            <w:pPr>
              <w:spacing w:line="540" w:lineRule="exact"/>
              <w:ind w:firstLine="560" w:firstLineChars="200"/>
              <w:rPr>
                <w:rFonts w:hint="default" w:ascii="Times New Roman" w:hAnsi="Times New Roman" w:eastAsia="宋体" w:cs="Times New Roman"/>
                <w:bCs/>
                <w:sz w:val="28"/>
                <w:szCs w:val="21"/>
                <w:lang w:val="en-US" w:eastAsia="zh-CN"/>
              </w:rPr>
            </w:pPr>
            <w:r>
              <w:rPr>
                <w:rFonts w:hint="default" w:ascii="Times New Roman" w:hAnsi="Times New Roman" w:eastAsia="宋体" w:cs="Times New Roman"/>
                <w:bCs/>
                <w:sz w:val="28"/>
                <w:szCs w:val="21"/>
                <w:lang w:val="en-US" w:eastAsia="zh-CN"/>
              </w:rPr>
              <w:t>终端设备支持1:1与1:N人脸识别（识别率≥99.5%，识别时间≤0.5秒）、指纹识别（FRR≤1%，FAR≤0.001%）、CPU/射频卡读写（兼容ISO14443协议）；7/10/15英寸高清触控显示屏，工业级设计，支持全天候稳定运行；平台支持并发用户管理超10万人次，响应时间≤1秒；系统模块接口标准化，具备多系统接入能力；支持数据加密传输、权限分级控制及日志追溯，满足高安全场景要求，软硬件均通过相关认证与测试。</w:t>
            </w:r>
          </w:p>
          <w:p w14:paraId="0A6D79F5">
            <w:pPr>
              <w:spacing w:line="540" w:lineRule="exact"/>
              <w:ind w:firstLine="560" w:firstLineChars="200"/>
              <w:rPr>
                <w:rFonts w:ascii="Times New Roman" w:hAnsi="Times New Roman" w:eastAsia="宋体" w:cs="Times New Roman"/>
                <w:b/>
                <w:sz w:val="28"/>
                <w:szCs w:val="21"/>
              </w:rPr>
            </w:pPr>
            <w:r>
              <w:rPr>
                <w:rFonts w:hint="eastAsia" w:ascii="Times New Roman" w:hAnsi="Times New Roman" w:eastAsia="宋体" w:cs="Times New Roman"/>
                <w:bCs/>
                <w:sz w:val="28"/>
                <w:szCs w:val="21"/>
              </w:rPr>
              <w:t>2</w:t>
            </w:r>
            <w:r>
              <w:rPr>
                <w:rFonts w:hint="eastAsia" w:ascii="Times New Roman" w:hAnsi="Times New Roman" w:eastAsia="宋体" w:cs="Times New Roman"/>
                <w:b/>
                <w:sz w:val="28"/>
                <w:szCs w:val="21"/>
              </w:rPr>
              <w:t>、成果的价值、特色和创新点</w:t>
            </w:r>
          </w:p>
          <w:p w14:paraId="6AD6E2C4">
            <w:pPr>
              <w:spacing w:line="540" w:lineRule="exact"/>
              <w:ind w:firstLine="560" w:firstLineChars="200"/>
              <w:rPr>
                <w:rFonts w:ascii="Times New Roman" w:hAnsi="Times New Roman" w:eastAsia="宋体" w:cs="Times New Roman"/>
                <w:bCs/>
                <w:sz w:val="28"/>
                <w:szCs w:val="21"/>
              </w:rPr>
            </w:pPr>
            <w:r>
              <w:rPr>
                <w:rFonts w:hint="eastAsia" w:ascii="Times New Roman" w:hAnsi="Times New Roman" w:eastAsia="宋体" w:cs="Times New Roman"/>
                <w:bCs/>
                <w:sz w:val="28"/>
                <w:szCs w:val="21"/>
              </w:rPr>
              <w:t>本系统创新融合多模态身份识别技术（人脸、指纹、刷卡）与智能管理平台，打造兼具硬件接入与软件协同的多功能终端体系；平台模块化设计支持门禁、会议预约、教室管理等多场景智能调度，实现统一管理与个性化配置；创新集成数据分析与可视化功能，支撑行为监控、资源调度优化等决策支持；同时系统高度开放兼容，支持第三方系统对接与应用扩展，具备强适应性与推广价值，为智慧校园与智能办公提供核心支撑。</w:t>
            </w:r>
          </w:p>
          <w:p w14:paraId="32DED73E">
            <w:pPr>
              <w:spacing w:line="320" w:lineRule="exact"/>
              <w:rPr>
                <w:rFonts w:ascii="Times New Roman" w:hAnsi="Times New Roman" w:eastAsia="宋体" w:cs="Times New Roman"/>
                <w:bCs/>
                <w:sz w:val="28"/>
                <w:szCs w:val="21"/>
              </w:rPr>
            </w:pPr>
          </w:p>
        </w:tc>
      </w:tr>
    </w:tbl>
    <w:p w14:paraId="0E0D1C0D">
      <w:pPr>
        <w:rPr>
          <w:rFonts w:ascii="Times New Roman" w:hAnsi="Times New Roman" w:eastAsia="黑体" w:cs="Times New Roman"/>
          <w:sz w:val="32"/>
          <w:szCs w:val="32"/>
        </w:rPr>
        <w:sectPr>
          <w:pgSz w:w="11905" w:h="16838"/>
          <w:pgMar w:top="1417" w:right="1531" w:bottom="1417" w:left="1531" w:header="0" w:footer="0" w:gutter="0"/>
          <w:paperSrc/>
          <w:cols w:space="0" w:num="1"/>
          <w:rtlGutter w:val="0"/>
          <w:docGrid w:linePitch="312" w:charSpace="0"/>
        </w:sectPr>
      </w:pPr>
    </w:p>
    <w:p w14:paraId="41242DC4">
      <w:pPr>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编号5</w:t>
      </w:r>
    </w:p>
    <w:p w14:paraId="597FAECE">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4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46"/>
        <w:gridCol w:w="3235"/>
        <w:gridCol w:w="1841"/>
        <w:gridCol w:w="2864"/>
      </w:tblGrid>
      <w:tr w14:paraId="7A167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93" w:type="dxa"/>
            <w:vAlign w:val="center"/>
          </w:tcPr>
          <w:p w14:paraId="237FA1E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135" w:type="dxa"/>
            <w:vAlign w:val="center"/>
          </w:tcPr>
          <w:p w14:paraId="5F098082">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w:t>
            </w:r>
          </w:p>
        </w:tc>
        <w:tc>
          <w:tcPr>
            <w:tcW w:w="1784" w:type="dxa"/>
            <w:vAlign w:val="center"/>
          </w:tcPr>
          <w:p w14:paraId="7FD628E3">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452" w:type="dxa"/>
            <w:vAlign w:val="center"/>
          </w:tcPr>
          <w:p w14:paraId="3876F84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12320000466007247U</w:t>
            </w:r>
          </w:p>
        </w:tc>
      </w:tr>
      <w:tr w14:paraId="2EC6B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37" w:hRule="exact"/>
          <w:jc w:val="center"/>
        </w:trPr>
        <w:tc>
          <w:tcPr>
            <w:tcW w:w="1693" w:type="dxa"/>
            <w:vAlign w:val="center"/>
          </w:tcPr>
          <w:p w14:paraId="3BCD61B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135" w:type="dxa"/>
            <w:vAlign w:val="center"/>
          </w:tcPr>
          <w:p w14:paraId="4DB45E39">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中国江苏常州中吴大道1801号</w:t>
            </w:r>
          </w:p>
        </w:tc>
        <w:tc>
          <w:tcPr>
            <w:tcW w:w="1784" w:type="dxa"/>
            <w:vAlign w:val="center"/>
          </w:tcPr>
          <w:p w14:paraId="37278DF4">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452" w:type="dxa"/>
            <w:vAlign w:val="center"/>
          </w:tcPr>
          <w:p w14:paraId="6A681D25">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李小平</w:t>
            </w:r>
          </w:p>
        </w:tc>
      </w:tr>
      <w:tr w14:paraId="6B3A2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1FD7B56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135" w:type="dxa"/>
            <w:vAlign w:val="center"/>
          </w:tcPr>
          <w:p w14:paraId="2DDDA7E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15195004282</w:t>
            </w:r>
          </w:p>
        </w:tc>
        <w:tc>
          <w:tcPr>
            <w:tcW w:w="1784" w:type="dxa"/>
            <w:vAlign w:val="center"/>
          </w:tcPr>
          <w:p w14:paraId="30F379D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452" w:type="dxa"/>
            <w:vAlign w:val="center"/>
          </w:tcPr>
          <w:p w14:paraId="35089668">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18119316859@163.com</w:t>
            </w:r>
          </w:p>
        </w:tc>
      </w:tr>
      <w:tr w14:paraId="374A3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693" w:type="dxa"/>
            <w:vAlign w:val="center"/>
          </w:tcPr>
          <w:p w14:paraId="3082B76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71" w:type="dxa"/>
            <w:gridSpan w:val="3"/>
            <w:vAlign w:val="center"/>
          </w:tcPr>
          <w:p w14:paraId="2B3DD664">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□人工智能</w:t>
            </w:r>
            <w:r>
              <w:rPr>
                <w:rFonts w:hint="eastAsia" w:ascii="宋体" w:hAnsi="宋体" w:eastAsia="宋体" w:cs="Times New Roman"/>
                <w:b/>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 xml:space="preserve">数字经济   </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先进半导体   </w:t>
            </w:r>
            <w:r>
              <w:rPr>
                <w:rFonts w:hint="eastAsia" w:ascii="宋体" w:hAnsi="宋体" w:eastAsia="宋体" w:cs="Times New Roman"/>
                <w:bCs/>
                <w:sz w:val="28"/>
                <w:szCs w:val="21"/>
                <w:lang w:eastAsia="zh-CN"/>
              </w:rPr>
              <w:t>☑</w:t>
            </w:r>
            <w:r>
              <w:rPr>
                <w:rFonts w:ascii="宋体" w:hAnsi="宋体" w:eastAsia="宋体" w:cs="Times New Roman"/>
                <w:bCs/>
                <w:sz w:val="28"/>
                <w:szCs w:val="21"/>
              </w:rPr>
              <w:t>新</w:t>
            </w:r>
            <w:r>
              <w:rPr>
                <w:rFonts w:hint="eastAsia" w:ascii="宋体" w:hAnsi="宋体" w:eastAsia="宋体" w:cs="Times New Roman"/>
                <w:bCs/>
                <w:sz w:val="28"/>
                <w:szCs w:val="21"/>
              </w:rPr>
              <w:t>材料</w:t>
            </w:r>
            <w:r>
              <w:rPr>
                <w:rFonts w:ascii="宋体" w:hAnsi="宋体" w:eastAsia="宋体" w:cs="Times New Roman"/>
                <w:bCs/>
                <w:sz w:val="28"/>
                <w:szCs w:val="21"/>
              </w:rPr>
              <w:t xml:space="preserve"> </w:t>
            </w:r>
          </w:p>
          <w:p w14:paraId="5A36D0E3">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w:t>
            </w:r>
            <w:r>
              <w:rPr>
                <w:rFonts w:hint="eastAsia" w:ascii="宋体" w:hAnsi="宋体" w:eastAsia="宋体" w:cs="Times New Roman"/>
                <w:bCs/>
                <w:sz w:val="28"/>
                <w:szCs w:val="21"/>
              </w:rPr>
              <w:t>新型储能</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合成生物</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新能源汽车   </w:t>
            </w:r>
            <w:r>
              <w:rPr>
                <w:rFonts w:hint="eastAsia" w:ascii="宋体" w:hAnsi="宋体" w:eastAsia="宋体" w:cs="Times New Roman"/>
                <w:bCs/>
                <w:sz w:val="28"/>
                <w:szCs w:val="21"/>
                <w:lang w:eastAsia="zh-CN"/>
              </w:rPr>
              <w:t>□</w:t>
            </w:r>
            <w:r>
              <w:rPr>
                <w:rFonts w:hint="eastAsia" w:ascii="宋体" w:hAnsi="宋体" w:eastAsia="宋体" w:cs="Times New Roman"/>
                <w:bCs/>
                <w:sz w:val="28"/>
                <w:szCs w:val="21"/>
              </w:rPr>
              <w:t>循环制</w:t>
            </w:r>
          </w:p>
          <w:p w14:paraId="470564F3">
            <w:pPr>
              <w:spacing w:line="320" w:lineRule="exact"/>
              <w:rPr>
                <w:rFonts w:ascii="Times New Roman" w:hAnsi="Times New Roman" w:eastAsia="宋体" w:cs="Times New Roman"/>
                <w:bCs/>
                <w:sz w:val="28"/>
                <w:szCs w:val="21"/>
              </w:rPr>
            </w:pPr>
            <w:r>
              <w:rPr>
                <w:rFonts w:ascii="宋体" w:hAnsi="宋体" w:eastAsia="宋体" w:cs="Times New Roman"/>
                <w:bCs/>
                <w:sz w:val="28"/>
                <w:szCs w:val="21"/>
              </w:rPr>
              <w:sym w:font="Wingdings 2" w:char="00A3"/>
            </w:r>
            <w:r>
              <w:rPr>
                <w:rFonts w:hint="eastAsia" w:ascii="宋体" w:hAnsi="宋体" w:eastAsia="宋体" w:cs="Times New Roman"/>
                <w:bCs/>
                <w:sz w:val="28"/>
                <w:szCs w:val="21"/>
              </w:rPr>
              <w:t xml:space="preserve">新一代信息技术     </w:t>
            </w:r>
            <w:r>
              <w:rPr>
                <w:rFonts w:ascii="宋体" w:hAnsi="宋体" w:eastAsia="宋体" w:cs="Times New Roman"/>
                <w:bCs/>
                <w:sz w:val="28"/>
                <w:szCs w:val="21"/>
              </w:rPr>
              <w:sym w:font="Wingdings 2" w:char="00A3"/>
            </w:r>
            <w:r>
              <w:rPr>
                <w:rFonts w:hint="eastAsia" w:ascii="宋体" w:hAnsi="宋体" w:eastAsia="宋体" w:cs="Times New Roman"/>
                <w:bCs/>
                <w:sz w:val="28"/>
                <w:szCs w:val="21"/>
              </w:rPr>
              <w:t>高端装备</w:t>
            </w:r>
          </w:p>
        </w:tc>
      </w:tr>
      <w:tr w14:paraId="41102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48BF4273">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71" w:type="dxa"/>
            <w:gridSpan w:val="3"/>
            <w:vAlign w:val="center"/>
          </w:tcPr>
          <w:p w14:paraId="5A3B0CA4">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200</w:t>
            </w:r>
            <w:r>
              <w:rPr>
                <w:rFonts w:hint="eastAsia" w:ascii="Times New Roman" w:hAnsi="Times New Roman" w:eastAsia="宋体" w:cs="Times New Roman"/>
                <w:bCs/>
                <w:sz w:val="28"/>
                <w:szCs w:val="21"/>
              </w:rPr>
              <w:t>万元</w:t>
            </w:r>
          </w:p>
        </w:tc>
      </w:tr>
      <w:tr w14:paraId="60727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93" w:type="dxa"/>
            <w:vAlign w:val="center"/>
          </w:tcPr>
          <w:p w14:paraId="20E1250A">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71" w:type="dxa"/>
            <w:gridSpan w:val="3"/>
            <w:vAlign w:val="center"/>
          </w:tcPr>
          <w:p w14:paraId="5027C472">
            <w:pPr>
              <w:spacing w:line="320" w:lineRule="exact"/>
              <w:ind w:left="160" w:leftChars="50"/>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rPr>
              <w:t>7系超高强铝合金的焊接与增材制造成套关键技术及其应用</w:t>
            </w:r>
          </w:p>
        </w:tc>
      </w:tr>
      <w:tr w14:paraId="63DE3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4" w:hRule="atLeast"/>
          <w:jc w:val="center"/>
        </w:trPr>
        <w:tc>
          <w:tcPr>
            <w:tcW w:w="1693" w:type="dxa"/>
            <w:vAlign w:val="center"/>
          </w:tcPr>
          <w:p w14:paraId="1912D43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371" w:type="dxa"/>
            <w:gridSpan w:val="3"/>
          </w:tcPr>
          <w:p w14:paraId="26D503FF">
            <w:pPr>
              <w:pStyle w:val="2"/>
              <w:spacing w:line="320" w:lineRule="exact"/>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4CC6280D">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1、已有技术积累和应用条件</w:t>
            </w:r>
          </w:p>
          <w:p w14:paraId="48B2EE38">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本项目突破7系Al-Zn-Mg-Cu超高强铝合金可加工性差、可焊性弱等技术瓶颈，建立了喷射成形-半固态压铸的高强铝合金制备工艺，开发出成熟的焊丝、型材与异型材生产流程，关键技术和设备已完成中试，整体技术达国际先进、局部国际领先水平。成果已获授权发明专利30余件、国际专利2件，广泛应用于新能源汽车、高铁、机器人、低空飞行器等领域，获多项国家级科技奖励。</w:t>
            </w:r>
          </w:p>
          <w:p w14:paraId="39471DEE">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项目实现多项高水平技术指标：开发的7系Al-Zn-Mg-Cu超高强铝合金型材抗拉强度≥600 MPa，延伸率≥10%，材料组织致密、性能均匀；制备的铝合金焊丝直径公差控制在±0.02 mm以内，具备优良的电弧稳定性与焊接性能；喷射成形+半固态压铸工艺实现尺寸精度±0.05 mm，成形复杂度提高30%以上，材料利用率提升20%；实现连续化、高一致性生产，核心装备稳定运行超过1000小时。整体技术通过权威机构鉴定，达到国际先进水平，部分指标居国际领先。</w:t>
            </w:r>
          </w:p>
          <w:p w14:paraId="7E980078">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2、成果的价值、特色和创新点</w:t>
            </w:r>
          </w:p>
          <w:p w14:paraId="5A28F706">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本项目在高强铝合金制备领域实现多项关键技术创新：一是突破传统7系Al-Zn-Mg-Cu铝合金塑性差、可焊性差的技术瓶颈，建立喷射成形结合半固态压铸的成形新工艺；二是首次实现7系铝合金焊丝及异型材的稳定制备，填补国内空白；三是自主研发整套高强铝合金线材、型材制备工艺与装备，提升材料整体性能与成形精度；四是形成从材料开发到工程应用的系统解决方案，显著提升我国高强铝合金在航空、轨道交通、低空装备等领域的自主保障能力。</w:t>
            </w:r>
          </w:p>
          <w:p w14:paraId="2060C529">
            <w:pPr>
              <w:spacing w:line="320" w:lineRule="exact"/>
              <w:rPr>
                <w:rFonts w:ascii="Times New Roman" w:hAnsi="Times New Roman" w:eastAsia="宋体" w:cs="Times New Roman"/>
                <w:bCs/>
                <w:sz w:val="28"/>
                <w:szCs w:val="21"/>
              </w:rPr>
            </w:pPr>
          </w:p>
        </w:tc>
      </w:tr>
    </w:tbl>
    <w:p w14:paraId="587F75CE">
      <w:pPr>
        <w:rPr>
          <w:rFonts w:hint="default" w:ascii="Times New Roman" w:hAnsi="Times New Roman" w:cs="Times New Roman"/>
        </w:rPr>
        <w:sectPr>
          <w:pgSz w:w="11905" w:h="16838"/>
          <w:pgMar w:top="1417" w:right="1531" w:bottom="1417" w:left="1531" w:header="0" w:footer="0" w:gutter="0"/>
          <w:paperSrc/>
          <w:cols w:space="0" w:num="1"/>
          <w:rtlGutter w:val="0"/>
          <w:docGrid w:linePitch="312" w:charSpace="0"/>
        </w:sectPr>
      </w:pPr>
    </w:p>
    <w:p w14:paraId="4116FE31">
      <w:pP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eastAsia="zh-CN"/>
        </w:rPr>
        <w:t>编号</w:t>
      </w:r>
      <w:r>
        <w:rPr>
          <w:rFonts w:hint="eastAsia" w:ascii="Times New Roman" w:hAnsi="Times New Roman" w:eastAsia="黑体" w:cs="Times New Roman"/>
          <w:sz w:val="32"/>
          <w:szCs w:val="32"/>
          <w:lang w:val="en-US" w:eastAsia="zh-CN"/>
        </w:rPr>
        <w:t>6</w:t>
      </w:r>
    </w:p>
    <w:p w14:paraId="1564F9E4">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4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80"/>
        <w:gridCol w:w="3297"/>
        <w:gridCol w:w="1876"/>
        <w:gridCol w:w="2733"/>
      </w:tblGrid>
      <w:tr w14:paraId="329FE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93" w:type="dxa"/>
            <w:vAlign w:val="center"/>
          </w:tcPr>
          <w:p w14:paraId="23E79F1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135" w:type="dxa"/>
            <w:vAlign w:val="center"/>
          </w:tcPr>
          <w:p w14:paraId="6031FE31">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w:t>
            </w:r>
          </w:p>
        </w:tc>
        <w:tc>
          <w:tcPr>
            <w:tcW w:w="1784" w:type="dxa"/>
            <w:vAlign w:val="center"/>
          </w:tcPr>
          <w:p w14:paraId="3EAB464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452" w:type="dxa"/>
            <w:vAlign w:val="center"/>
          </w:tcPr>
          <w:p w14:paraId="78C28B0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12320000466007247U</w:t>
            </w:r>
          </w:p>
        </w:tc>
      </w:tr>
      <w:tr w14:paraId="108AB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37" w:hRule="exact"/>
          <w:jc w:val="center"/>
        </w:trPr>
        <w:tc>
          <w:tcPr>
            <w:tcW w:w="1693" w:type="dxa"/>
            <w:vAlign w:val="center"/>
          </w:tcPr>
          <w:p w14:paraId="7D4271F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135" w:type="dxa"/>
            <w:vAlign w:val="center"/>
          </w:tcPr>
          <w:p w14:paraId="1DA1092E">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中国江苏常州中吴大道1801号</w:t>
            </w:r>
          </w:p>
        </w:tc>
        <w:tc>
          <w:tcPr>
            <w:tcW w:w="1784" w:type="dxa"/>
            <w:vAlign w:val="center"/>
          </w:tcPr>
          <w:p w14:paraId="7446C0E3">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452" w:type="dxa"/>
            <w:vAlign w:val="center"/>
          </w:tcPr>
          <w:p w14:paraId="75AF5331">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邱睿</w:t>
            </w:r>
          </w:p>
        </w:tc>
      </w:tr>
      <w:tr w14:paraId="19146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6224C0C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135" w:type="dxa"/>
            <w:vAlign w:val="center"/>
          </w:tcPr>
          <w:p w14:paraId="46973828">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15051951916</w:t>
            </w:r>
          </w:p>
        </w:tc>
        <w:tc>
          <w:tcPr>
            <w:tcW w:w="1784" w:type="dxa"/>
            <w:vAlign w:val="center"/>
          </w:tcPr>
          <w:p w14:paraId="7C5AE1D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452" w:type="dxa"/>
            <w:vAlign w:val="center"/>
          </w:tcPr>
          <w:p w14:paraId="615D1188">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1qiurui999@163.com</w:t>
            </w:r>
          </w:p>
        </w:tc>
      </w:tr>
      <w:tr w14:paraId="16BD2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693" w:type="dxa"/>
            <w:vAlign w:val="center"/>
          </w:tcPr>
          <w:p w14:paraId="139CF26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71" w:type="dxa"/>
            <w:gridSpan w:val="3"/>
            <w:vAlign w:val="center"/>
          </w:tcPr>
          <w:p w14:paraId="5EA6F3C5">
            <w:pPr>
              <w:spacing w:line="320" w:lineRule="exact"/>
              <w:jc w:val="left"/>
              <w:rPr>
                <w:rFonts w:hint="eastAsia" w:ascii="宋体" w:hAnsi="宋体" w:eastAsia="宋体" w:cs="Times New Roman"/>
                <w:bCs/>
                <w:sz w:val="28"/>
                <w:szCs w:val="21"/>
              </w:rPr>
            </w:pPr>
            <w:r>
              <w:rPr>
                <w:rFonts w:hint="eastAsia" w:ascii="宋体" w:hAnsi="宋体" w:eastAsia="宋体" w:cs="Times New Roman"/>
                <w:bCs/>
                <w:sz w:val="28"/>
                <w:szCs w:val="21"/>
                <w:lang w:eastAsia="zh-CN"/>
              </w:rPr>
              <w:t>☑</w:t>
            </w:r>
            <w:r>
              <w:rPr>
                <w:rFonts w:ascii="宋体" w:hAnsi="宋体" w:eastAsia="宋体" w:cs="Times New Roman"/>
                <w:bCs/>
                <w:sz w:val="28"/>
                <w:szCs w:val="21"/>
              </w:rPr>
              <w:t>人工智能</w:t>
            </w:r>
            <w:r>
              <w:rPr>
                <w:rFonts w:hint="eastAsia" w:ascii="宋体" w:hAnsi="宋体" w:eastAsia="宋体" w:cs="Times New Roman"/>
                <w:b/>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 xml:space="preserve">数字经济   </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先进半导体   </w:t>
            </w:r>
            <w:r>
              <w:rPr>
                <w:rFonts w:hint="eastAsia" w:ascii="宋体" w:hAnsi="宋体" w:eastAsia="宋体" w:cs="Times New Roman"/>
                <w:bCs/>
                <w:sz w:val="28"/>
                <w:szCs w:val="21"/>
                <w:lang w:eastAsia="zh-CN"/>
              </w:rPr>
              <w:t>☑</w:t>
            </w:r>
            <w:r>
              <w:rPr>
                <w:rFonts w:ascii="宋体" w:hAnsi="宋体" w:eastAsia="宋体" w:cs="Times New Roman"/>
                <w:bCs/>
                <w:sz w:val="28"/>
                <w:szCs w:val="21"/>
              </w:rPr>
              <w:t>新</w:t>
            </w:r>
            <w:r>
              <w:rPr>
                <w:rFonts w:hint="eastAsia" w:ascii="宋体" w:hAnsi="宋体" w:eastAsia="宋体" w:cs="Times New Roman"/>
                <w:bCs/>
                <w:sz w:val="28"/>
                <w:szCs w:val="21"/>
              </w:rPr>
              <w:t>材料</w:t>
            </w:r>
            <w:r>
              <w:rPr>
                <w:rFonts w:ascii="宋体" w:hAnsi="宋体" w:eastAsia="宋体" w:cs="Times New Roman"/>
                <w:bCs/>
                <w:sz w:val="28"/>
                <w:szCs w:val="21"/>
              </w:rPr>
              <w:t xml:space="preserve"> </w:t>
            </w:r>
          </w:p>
          <w:p w14:paraId="280E557F">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w:t>
            </w:r>
            <w:r>
              <w:rPr>
                <w:rFonts w:hint="eastAsia" w:ascii="宋体" w:hAnsi="宋体" w:eastAsia="宋体" w:cs="Times New Roman"/>
                <w:bCs/>
                <w:sz w:val="28"/>
                <w:szCs w:val="21"/>
              </w:rPr>
              <w:t>新型储能</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合成生物</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新能源汽车   </w:t>
            </w:r>
            <w:r>
              <w:rPr>
                <w:rFonts w:ascii="宋体" w:hAnsi="宋体" w:eastAsia="宋体" w:cs="Times New Roman"/>
                <w:bCs/>
                <w:sz w:val="28"/>
                <w:szCs w:val="21"/>
              </w:rPr>
              <w:t>□</w:t>
            </w:r>
            <w:r>
              <w:rPr>
                <w:rFonts w:hint="eastAsia" w:ascii="宋体" w:hAnsi="宋体" w:eastAsia="宋体" w:cs="Times New Roman"/>
                <w:bCs/>
                <w:sz w:val="28"/>
                <w:szCs w:val="21"/>
              </w:rPr>
              <w:t>循环制</w:t>
            </w:r>
          </w:p>
          <w:p w14:paraId="105E0F1D">
            <w:pPr>
              <w:spacing w:line="320" w:lineRule="exact"/>
              <w:rPr>
                <w:rFonts w:ascii="Times New Roman" w:hAnsi="Times New Roman" w:eastAsia="宋体" w:cs="Times New Roman"/>
                <w:bCs/>
                <w:sz w:val="28"/>
                <w:szCs w:val="21"/>
              </w:rPr>
            </w:pPr>
            <w:r>
              <w:rPr>
                <w:rFonts w:ascii="宋体" w:hAnsi="宋体" w:eastAsia="宋体" w:cs="Times New Roman"/>
                <w:bCs/>
                <w:sz w:val="28"/>
                <w:szCs w:val="21"/>
              </w:rPr>
              <w:sym w:font="Wingdings 2" w:char="00A3"/>
            </w:r>
            <w:r>
              <w:rPr>
                <w:rFonts w:hint="eastAsia" w:ascii="宋体" w:hAnsi="宋体" w:eastAsia="宋体" w:cs="Times New Roman"/>
                <w:bCs/>
                <w:sz w:val="28"/>
                <w:szCs w:val="21"/>
              </w:rPr>
              <w:t xml:space="preserve">新一代信息技术     </w:t>
            </w:r>
            <w:r>
              <w:rPr>
                <w:rFonts w:ascii="宋体" w:hAnsi="宋体" w:eastAsia="宋体" w:cs="Times New Roman"/>
                <w:bCs/>
                <w:sz w:val="28"/>
                <w:szCs w:val="21"/>
              </w:rPr>
              <w:sym w:font="Wingdings 2" w:char="00A3"/>
            </w:r>
            <w:r>
              <w:rPr>
                <w:rFonts w:hint="eastAsia" w:ascii="宋体" w:hAnsi="宋体" w:eastAsia="宋体" w:cs="Times New Roman"/>
                <w:bCs/>
                <w:sz w:val="28"/>
                <w:szCs w:val="21"/>
              </w:rPr>
              <w:t>高端装备</w:t>
            </w:r>
          </w:p>
        </w:tc>
      </w:tr>
      <w:tr w14:paraId="1A1BF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0091AB5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71" w:type="dxa"/>
            <w:gridSpan w:val="3"/>
            <w:vAlign w:val="center"/>
          </w:tcPr>
          <w:p w14:paraId="4D20CD42">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1</w:t>
            </w:r>
            <w:r>
              <w:rPr>
                <w:rFonts w:hint="eastAsia" w:ascii="Times New Roman" w:hAnsi="Times New Roman" w:eastAsia="宋体" w:cs="Times New Roman"/>
                <w:bCs/>
                <w:sz w:val="28"/>
                <w:szCs w:val="21"/>
                <w:lang w:val="en-US" w:eastAsia="zh-CN"/>
              </w:rPr>
              <w:t>60</w:t>
            </w:r>
            <w:r>
              <w:rPr>
                <w:rFonts w:hint="eastAsia" w:ascii="Times New Roman" w:hAnsi="Times New Roman" w:eastAsia="宋体" w:cs="Times New Roman"/>
                <w:bCs/>
                <w:sz w:val="28"/>
                <w:szCs w:val="21"/>
              </w:rPr>
              <w:t>万元</w:t>
            </w:r>
          </w:p>
        </w:tc>
      </w:tr>
      <w:tr w14:paraId="528C0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93" w:type="dxa"/>
            <w:vAlign w:val="center"/>
          </w:tcPr>
          <w:p w14:paraId="3312A4EC">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71" w:type="dxa"/>
            <w:gridSpan w:val="3"/>
            <w:vAlign w:val="center"/>
          </w:tcPr>
          <w:p w14:paraId="371EE756">
            <w:pPr>
              <w:spacing w:line="320" w:lineRule="exact"/>
              <w:ind w:left="160" w:leftChars="50"/>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rPr>
              <w:t>复合材料结构件数字化设计制造技术及应用</w:t>
            </w:r>
          </w:p>
        </w:tc>
      </w:tr>
      <w:tr w14:paraId="1F141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4" w:hRule="atLeast"/>
          <w:jc w:val="center"/>
        </w:trPr>
        <w:tc>
          <w:tcPr>
            <w:tcW w:w="1693" w:type="dxa"/>
            <w:vAlign w:val="center"/>
          </w:tcPr>
          <w:p w14:paraId="31C7817C">
            <w:pPr>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371" w:type="dxa"/>
            <w:gridSpan w:val="3"/>
          </w:tcPr>
          <w:p w14:paraId="252EA92C">
            <w:pPr>
              <w:pStyle w:val="2"/>
              <w:pageBreakBefore w:val="0"/>
              <w:widowControl w:val="0"/>
              <w:kinsoku/>
              <w:wordWrap/>
              <w:overflowPunct/>
              <w:topLinePunct w:val="0"/>
              <w:autoSpaceDE/>
              <w:autoSpaceDN/>
              <w:bidi w:val="0"/>
              <w:adjustRightInd/>
              <w:snapToGrid/>
              <w:spacing w:line="360" w:lineRule="exact"/>
              <w:textAlignment w:val="auto"/>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7CE52395">
            <w:pPr>
              <w:pageBreakBefore w:val="0"/>
              <w:widowControl w:val="0"/>
              <w:kinsoku/>
              <w:wordWrap/>
              <w:overflowPunct/>
              <w:topLinePunct w:val="0"/>
              <w:autoSpaceDE/>
              <w:autoSpaceDN/>
              <w:bidi w:val="0"/>
              <w:adjustRightInd/>
              <w:snapToGrid/>
              <w:spacing w:line="360" w:lineRule="exact"/>
              <w:ind w:firstLine="562" w:firstLineChars="200"/>
              <w:textAlignment w:val="auto"/>
              <w:rPr>
                <w:rFonts w:ascii="Times New Roman" w:hAnsi="Times New Roman" w:eastAsia="宋体" w:cs="Times New Roman"/>
                <w:b/>
                <w:sz w:val="28"/>
                <w:szCs w:val="21"/>
              </w:rPr>
            </w:pPr>
            <w:r>
              <w:rPr>
                <w:rFonts w:hint="eastAsia" w:ascii="Times New Roman" w:hAnsi="Times New Roman" w:eastAsia="宋体" w:cs="Times New Roman"/>
                <w:b/>
                <w:sz w:val="28"/>
                <w:szCs w:val="21"/>
              </w:rPr>
              <w:t>1、已有技术积累和应用条件</w:t>
            </w:r>
          </w:p>
          <w:p w14:paraId="46B756C1">
            <w:pPr>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围绕复合材料（FRP）结构件数字化设计制造技术，系统突破优化设计、铺放规划与装备开发等共性关键技术，构建了完整的FRP数字化设计制造体系。通过跨尺度设计、强度建模与高效成形装备，推动FRP结构件在汽车轻量化领域的工程化应用。成果广泛服务于奇瑞汽车、中机精密等头部企业，3年内实现新增销售额超1124亿元，新增利润近亿元。技术总体达到国际先进水平，为新能源汽车领域FRP结构件的大规模产业化和绿色制造提供了有力支撑。</w:t>
            </w:r>
          </w:p>
          <w:p w14:paraId="1A15689E">
            <w:pPr>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构建的FRP跨尺度设计方法实现热固结构件减重≥30%、热塑结构件减重≥15%；新型强度可靠性建模方法计算精度提高10倍，成本降至蒙特卡罗法的10%；开发混杂纤维经编装备，转速达50–1200 rpm，适应多种纤维构型；热固/热塑性模压线分别可稳定成形300–800 MPa与100–300 MPa级FRP车身结构件，实现高节拍、批量化制造；系统具备工业级应用能力，核心技术获发明专利28件，经权威机构评价达到国际先进水平，已在多家重点企业中落地应用。</w:t>
            </w:r>
          </w:p>
          <w:p w14:paraId="091BFC9B">
            <w:pPr>
              <w:pageBreakBefore w:val="0"/>
              <w:widowControl w:val="0"/>
              <w:kinsoku/>
              <w:wordWrap/>
              <w:overflowPunct/>
              <w:topLinePunct w:val="0"/>
              <w:autoSpaceDE/>
              <w:autoSpaceDN/>
              <w:bidi w:val="0"/>
              <w:adjustRightInd/>
              <w:snapToGrid/>
              <w:spacing w:line="360" w:lineRule="exact"/>
              <w:ind w:firstLine="562" w:firstLineChars="200"/>
              <w:textAlignment w:val="auto"/>
              <w:rPr>
                <w:rFonts w:ascii="Times New Roman" w:hAnsi="Times New Roman" w:eastAsia="宋体" w:cs="Times New Roman"/>
                <w:b/>
                <w:sz w:val="28"/>
                <w:szCs w:val="21"/>
              </w:rPr>
            </w:pPr>
            <w:r>
              <w:rPr>
                <w:rFonts w:hint="eastAsia" w:ascii="Times New Roman" w:hAnsi="Times New Roman" w:eastAsia="宋体" w:cs="Times New Roman"/>
                <w:b/>
                <w:sz w:val="28"/>
                <w:szCs w:val="21"/>
              </w:rPr>
              <w:t>2、成果的价值、特色和创新点</w:t>
            </w:r>
          </w:p>
          <w:p w14:paraId="28873871">
            <w:pPr>
              <w:pageBreakBefore w:val="0"/>
              <w:widowControl w:val="0"/>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宋体" w:cs="Times New Roman"/>
                <w:bCs/>
                <w:sz w:val="28"/>
                <w:szCs w:val="21"/>
              </w:rPr>
            </w:pPr>
            <w:r>
              <w:rPr>
                <w:rFonts w:hint="eastAsia" w:ascii="Times New Roman" w:hAnsi="Times New Roman" w:eastAsia="宋体" w:cs="Times New Roman"/>
                <w:bCs/>
                <w:sz w:val="28"/>
                <w:szCs w:val="21"/>
              </w:rPr>
              <w:t>项目创新构建FRP结构件宏-细观跨尺度设计方法，实现热固/热塑结构件分别减重超30%与15%；提出FRP强度可靠性新型建模理论，在保证计算精度提升10倍的同时，计算成本仅为蒙特卡罗法的10%；开发多类型FRP成形装备，突破混杂纤维经编、高节拍热固/热塑成形等瓶颈。首次实现设计-验证-制造的全链路数字化闭环，打通结构优化设计与批量化制造之间的关键环节，为FRP在新能源车领域的规模应用奠定了核心技术基础。</w:t>
            </w:r>
          </w:p>
        </w:tc>
      </w:tr>
    </w:tbl>
    <w:p w14:paraId="15495B5B">
      <w:pPr>
        <w:rPr>
          <w:rFonts w:hint="default" w:ascii="Times New Roman" w:hAnsi="Times New Roman" w:cs="Times New Roman"/>
        </w:rPr>
        <w:sectPr>
          <w:pgSz w:w="11905" w:h="16838"/>
          <w:pgMar w:top="1417" w:right="1531" w:bottom="1417" w:left="1531" w:header="0" w:footer="0" w:gutter="0"/>
          <w:paperSrc/>
          <w:cols w:space="0" w:num="1"/>
          <w:rtlGutter w:val="0"/>
          <w:docGrid w:linePitch="312" w:charSpace="0"/>
        </w:sectPr>
      </w:pPr>
    </w:p>
    <w:p w14:paraId="005BD6BF">
      <w:pPr>
        <w:rPr>
          <w:rFonts w:hint="default" w:ascii="Times New Roman" w:hAnsi="Times New Roman" w:eastAsia="黑体" w:cs="Times New Roman"/>
          <w:sz w:val="32"/>
          <w:szCs w:val="32"/>
          <w:lang w:val="en-US"/>
        </w:rPr>
      </w:pPr>
      <w:r>
        <w:rPr>
          <w:rFonts w:hint="eastAsia" w:ascii="Times New Roman" w:hAnsi="Times New Roman" w:eastAsia="黑体" w:cs="Times New Roman"/>
          <w:sz w:val="32"/>
          <w:szCs w:val="32"/>
          <w:lang w:eastAsia="zh-CN"/>
        </w:rPr>
        <w:t>编号</w:t>
      </w:r>
      <w:r>
        <w:rPr>
          <w:rFonts w:hint="eastAsia" w:ascii="Times New Roman" w:hAnsi="Times New Roman" w:eastAsia="黑体" w:cs="Times New Roman"/>
          <w:sz w:val="32"/>
          <w:szCs w:val="32"/>
          <w:lang w:val="en-US" w:eastAsia="zh-CN"/>
        </w:rPr>
        <w:t>7</w:t>
      </w:r>
    </w:p>
    <w:p w14:paraId="2CB2172B">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4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80"/>
        <w:gridCol w:w="3297"/>
        <w:gridCol w:w="1876"/>
        <w:gridCol w:w="2733"/>
      </w:tblGrid>
      <w:tr w14:paraId="38803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93" w:type="dxa"/>
            <w:vAlign w:val="center"/>
          </w:tcPr>
          <w:p w14:paraId="3880F90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135" w:type="dxa"/>
            <w:vAlign w:val="center"/>
          </w:tcPr>
          <w:p w14:paraId="4F12E67D">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w:t>
            </w:r>
          </w:p>
        </w:tc>
        <w:tc>
          <w:tcPr>
            <w:tcW w:w="1784" w:type="dxa"/>
            <w:vAlign w:val="center"/>
          </w:tcPr>
          <w:p w14:paraId="50A477C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452" w:type="dxa"/>
            <w:vAlign w:val="center"/>
          </w:tcPr>
          <w:p w14:paraId="7C7A58C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12320000466007247U</w:t>
            </w:r>
          </w:p>
        </w:tc>
      </w:tr>
      <w:tr w14:paraId="30132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37" w:hRule="exact"/>
          <w:jc w:val="center"/>
        </w:trPr>
        <w:tc>
          <w:tcPr>
            <w:tcW w:w="1693" w:type="dxa"/>
            <w:vAlign w:val="center"/>
          </w:tcPr>
          <w:p w14:paraId="103A976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135" w:type="dxa"/>
            <w:vAlign w:val="center"/>
          </w:tcPr>
          <w:p w14:paraId="36C2B76C">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中国江苏常州中吴大道1801号</w:t>
            </w:r>
          </w:p>
        </w:tc>
        <w:tc>
          <w:tcPr>
            <w:tcW w:w="1784" w:type="dxa"/>
            <w:vAlign w:val="center"/>
          </w:tcPr>
          <w:p w14:paraId="39F6F3A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452" w:type="dxa"/>
            <w:vAlign w:val="center"/>
          </w:tcPr>
          <w:p w14:paraId="087230B2">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缑延强</w:t>
            </w:r>
          </w:p>
        </w:tc>
      </w:tr>
      <w:tr w14:paraId="7A716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1D3B0E9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135" w:type="dxa"/>
            <w:vAlign w:val="center"/>
          </w:tcPr>
          <w:p w14:paraId="6A1D1AA8">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15295167797</w:t>
            </w:r>
          </w:p>
        </w:tc>
        <w:tc>
          <w:tcPr>
            <w:tcW w:w="1784" w:type="dxa"/>
            <w:vAlign w:val="center"/>
          </w:tcPr>
          <w:p w14:paraId="545E80C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452" w:type="dxa"/>
            <w:vAlign w:val="center"/>
          </w:tcPr>
          <w:p w14:paraId="1FFED0F6">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gouyqujs@163.com</w:t>
            </w:r>
          </w:p>
        </w:tc>
      </w:tr>
      <w:tr w14:paraId="62D14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693" w:type="dxa"/>
            <w:vAlign w:val="center"/>
          </w:tcPr>
          <w:p w14:paraId="4C8F036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71" w:type="dxa"/>
            <w:gridSpan w:val="3"/>
            <w:vAlign w:val="center"/>
          </w:tcPr>
          <w:p w14:paraId="1362722C">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□人工智能</w:t>
            </w:r>
            <w:r>
              <w:rPr>
                <w:rFonts w:hint="eastAsia" w:ascii="宋体" w:hAnsi="宋体" w:eastAsia="宋体" w:cs="Times New Roman"/>
                <w:b/>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 xml:space="preserve">数字经济   </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先进半导体   </w:t>
            </w:r>
            <w:r>
              <w:rPr>
                <w:rFonts w:hint="eastAsia" w:ascii="宋体" w:hAnsi="宋体" w:eastAsia="宋体" w:cs="Times New Roman"/>
                <w:bCs/>
                <w:sz w:val="28"/>
                <w:szCs w:val="21"/>
                <w:lang w:eastAsia="zh-CN"/>
              </w:rPr>
              <w:t>☑</w:t>
            </w:r>
            <w:r>
              <w:rPr>
                <w:rFonts w:ascii="宋体" w:hAnsi="宋体" w:eastAsia="宋体" w:cs="Times New Roman"/>
                <w:bCs/>
                <w:sz w:val="28"/>
                <w:szCs w:val="21"/>
              </w:rPr>
              <w:t>新</w:t>
            </w:r>
            <w:r>
              <w:rPr>
                <w:rFonts w:hint="eastAsia" w:ascii="宋体" w:hAnsi="宋体" w:eastAsia="宋体" w:cs="Times New Roman"/>
                <w:bCs/>
                <w:sz w:val="28"/>
                <w:szCs w:val="21"/>
              </w:rPr>
              <w:t>材料</w:t>
            </w:r>
            <w:r>
              <w:rPr>
                <w:rFonts w:ascii="宋体" w:hAnsi="宋体" w:eastAsia="宋体" w:cs="Times New Roman"/>
                <w:bCs/>
                <w:sz w:val="28"/>
                <w:szCs w:val="21"/>
              </w:rPr>
              <w:t xml:space="preserve"> </w:t>
            </w:r>
          </w:p>
          <w:p w14:paraId="2C6A1B48">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w:t>
            </w:r>
            <w:r>
              <w:rPr>
                <w:rFonts w:hint="eastAsia" w:ascii="宋体" w:hAnsi="宋体" w:eastAsia="宋体" w:cs="Times New Roman"/>
                <w:bCs/>
                <w:sz w:val="28"/>
                <w:szCs w:val="21"/>
              </w:rPr>
              <w:t>新型储能</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 </w:t>
            </w:r>
            <w:r>
              <w:rPr>
                <w:rFonts w:hint="eastAsia" w:ascii="宋体" w:hAnsi="宋体" w:eastAsia="宋体" w:cs="Times New Roman"/>
                <w:bCs/>
                <w:sz w:val="28"/>
                <w:szCs w:val="21"/>
                <w:lang w:eastAsia="zh-CN"/>
              </w:rPr>
              <w:t>□</w:t>
            </w:r>
            <w:r>
              <w:rPr>
                <w:rFonts w:hint="eastAsia" w:ascii="宋体" w:hAnsi="宋体" w:eastAsia="宋体" w:cs="Times New Roman"/>
                <w:bCs/>
                <w:sz w:val="28"/>
                <w:szCs w:val="21"/>
              </w:rPr>
              <w:t>合成生物</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新能源汽车   </w:t>
            </w:r>
            <w:r>
              <w:rPr>
                <w:rFonts w:ascii="宋体" w:hAnsi="宋体" w:eastAsia="宋体" w:cs="Times New Roman"/>
                <w:bCs/>
                <w:sz w:val="28"/>
                <w:szCs w:val="21"/>
              </w:rPr>
              <w:t>□</w:t>
            </w:r>
            <w:r>
              <w:rPr>
                <w:rFonts w:hint="eastAsia" w:ascii="宋体" w:hAnsi="宋体" w:eastAsia="宋体" w:cs="Times New Roman"/>
                <w:bCs/>
                <w:sz w:val="28"/>
                <w:szCs w:val="21"/>
              </w:rPr>
              <w:t>循环制</w:t>
            </w:r>
          </w:p>
          <w:p w14:paraId="32298BF2">
            <w:pPr>
              <w:spacing w:line="320" w:lineRule="exact"/>
              <w:rPr>
                <w:rFonts w:ascii="Times New Roman" w:hAnsi="Times New Roman" w:eastAsia="宋体" w:cs="Times New Roman"/>
                <w:bCs/>
                <w:sz w:val="28"/>
                <w:szCs w:val="21"/>
              </w:rPr>
            </w:pPr>
            <w:r>
              <w:rPr>
                <w:rFonts w:ascii="宋体" w:hAnsi="宋体" w:eastAsia="宋体" w:cs="Times New Roman"/>
                <w:bCs/>
                <w:sz w:val="28"/>
                <w:szCs w:val="21"/>
              </w:rPr>
              <w:sym w:font="Wingdings 2" w:char="00A3"/>
            </w:r>
            <w:r>
              <w:rPr>
                <w:rFonts w:hint="eastAsia" w:ascii="宋体" w:hAnsi="宋体" w:eastAsia="宋体" w:cs="Times New Roman"/>
                <w:bCs/>
                <w:sz w:val="28"/>
                <w:szCs w:val="21"/>
              </w:rPr>
              <w:t xml:space="preserve">新一代信息技术     </w:t>
            </w:r>
            <w:r>
              <w:rPr>
                <w:rFonts w:ascii="宋体" w:hAnsi="宋体" w:eastAsia="宋体" w:cs="Times New Roman"/>
                <w:bCs/>
                <w:sz w:val="28"/>
                <w:szCs w:val="21"/>
              </w:rPr>
              <w:sym w:font="Wingdings 2" w:char="0052"/>
            </w:r>
            <w:r>
              <w:rPr>
                <w:rFonts w:hint="eastAsia" w:ascii="宋体" w:hAnsi="宋体" w:eastAsia="宋体" w:cs="Times New Roman"/>
                <w:bCs/>
                <w:sz w:val="28"/>
                <w:szCs w:val="21"/>
              </w:rPr>
              <w:t>高端装备</w:t>
            </w:r>
          </w:p>
        </w:tc>
      </w:tr>
      <w:tr w14:paraId="7FE8C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3B598D8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71" w:type="dxa"/>
            <w:gridSpan w:val="3"/>
            <w:vAlign w:val="center"/>
          </w:tcPr>
          <w:p w14:paraId="0F9FCFC7">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1</w:t>
            </w:r>
            <w:r>
              <w:rPr>
                <w:rFonts w:hint="eastAsia" w:ascii="Times New Roman" w:hAnsi="Times New Roman" w:eastAsia="宋体" w:cs="Times New Roman"/>
                <w:bCs/>
                <w:sz w:val="28"/>
                <w:szCs w:val="21"/>
                <w:lang w:val="en-US" w:eastAsia="zh-CN"/>
              </w:rPr>
              <w:t>50</w:t>
            </w:r>
            <w:r>
              <w:rPr>
                <w:rFonts w:hint="eastAsia" w:ascii="Times New Roman" w:hAnsi="Times New Roman" w:eastAsia="宋体" w:cs="Times New Roman"/>
                <w:bCs/>
                <w:sz w:val="28"/>
                <w:szCs w:val="21"/>
              </w:rPr>
              <w:t>万元</w:t>
            </w:r>
          </w:p>
        </w:tc>
      </w:tr>
      <w:tr w14:paraId="0A1C0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93" w:type="dxa"/>
            <w:vAlign w:val="center"/>
          </w:tcPr>
          <w:p w14:paraId="6D61C88C">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71" w:type="dxa"/>
            <w:gridSpan w:val="3"/>
            <w:vAlign w:val="center"/>
          </w:tcPr>
          <w:p w14:paraId="28DDF255">
            <w:pPr>
              <w:spacing w:line="320" w:lineRule="exact"/>
              <w:ind w:left="160" w:leftChars="50"/>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rPr>
              <w:t>高性能航空铝合金超疏水表面</w:t>
            </w:r>
          </w:p>
        </w:tc>
      </w:tr>
      <w:tr w14:paraId="7AB3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4" w:hRule="atLeast"/>
          <w:jc w:val="center"/>
        </w:trPr>
        <w:tc>
          <w:tcPr>
            <w:tcW w:w="1693" w:type="dxa"/>
            <w:vAlign w:val="center"/>
          </w:tcPr>
          <w:p w14:paraId="2F99EDAB">
            <w:pPr>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371" w:type="dxa"/>
            <w:gridSpan w:val="3"/>
          </w:tcPr>
          <w:p w14:paraId="1917A5B0">
            <w:pPr>
              <w:pStyle w:val="2"/>
              <w:pageBreakBefore w:val="0"/>
              <w:widowControl w:val="0"/>
              <w:kinsoku/>
              <w:wordWrap/>
              <w:overflowPunct/>
              <w:topLinePunct w:val="0"/>
              <w:autoSpaceDE/>
              <w:autoSpaceDN/>
              <w:bidi w:val="0"/>
              <w:adjustRightInd/>
              <w:snapToGrid/>
              <w:spacing w:line="440" w:lineRule="exact"/>
              <w:textAlignment w:val="auto"/>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3E5FB655">
            <w:pPr>
              <w:pageBreakBefore w:val="0"/>
              <w:widowControl w:val="0"/>
              <w:kinsoku/>
              <w:wordWrap/>
              <w:overflowPunct/>
              <w:topLinePunct w:val="0"/>
              <w:autoSpaceDE/>
              <w:autoSpaceDN/>
              <w:bidi w:val="0"/>
              <w:adjustRightInd/>
              <w:snapToGrid/>
              <w:spacing w:line="440" w:lineRule="exact"/>
              <w:ind w:firstLine="562" w:firstLineChars="200"/>
              <w:textAlignment w:val="auto"/>
              <w:rPr>
                <w:rFonts w:ascii="Times New Roman" w:hAnsi="Times New Roman" w:eastAsia="宋体" w:cs="Times New Roman"/>
                <w:b/>
                <w:sz w:val="28"/>
                <w:szCs w:val="21"/>
              </w:rPr>
            </w:pPr>
            <w:r>
              <w:rPr>
                <w:rFonts w:hint="eastAsia" w:ascii="Times New Roman" w:hAnsi="Times New Roman" w:eastAsia="宋体" w:cs="Times New Roman"/>
                <w:b/>
                <w:sz w:val="28"/>
                <w:szCs w:val="21"/>
              </w:rPr>
              <w:t>1、已有技术积累和应用条件</w:t>
            </w:r>
          </w:p>
          <w:p w14:paraId="301F1352">
            <w:pPr>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激光先进制造团队研发出了具有前沿性的高性能航空铝合金超疏水表面制备技术，实现航空构件表面润湿性与基体材料力学性能的协同优化控制。团队针对航空发动机进气口铝合金叶片海洋服役环境下应力腐蚀开裂的问题，提出了无吸收层激光喷丸超疏水表面的制备方法，使得航空铝合金表面具有超疏水性，疲劳寿命提高了95.6%，腐蚀防护效率提升了98%。相关研究成果授权中国发明专利10件，授权美国发明专利4件，英国发明专利2件。</w:t>
            </w:r>
          </w:p>
          <w:p w14:paraId="4F5813AF">
            <w:pPr>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宋体" w:cs="Times New Roman"/>
                <w:bCs/>
                <w:sz w:val="28"/>
                <w:szCs w:val="21"/>
              </w:rPr>
            </w:pPr>
            <w:r>
              <w:rPr>
                <w:rFonts w:hint="default" w:ascii="Times New Roman" w:hAnsi="Times New Roman" w:eastAsia="宋体" w:cs="Times New Roman"/>
                <w:bCs/>
                <w:sz w:val="28"/>
                <w:szCs w:val="21"/>
              </w:rPr>
              <w:t>项目开发的高性能航空铝合金超疏水表面具备优异性能：</w:t>
            </w:r>
            <w:r>
              <w:rPr>
                <w:rFonts w:hint="default" w:ascii="Times New Roman" w:hAnsi="Times New Roman" w:eastAsia="宋体" w:cs="Times New Roman"/>
                <w:bCs/>
                <w:sz w:val="28"/>
                <w:szCs w:val="21"/>
                <w:lang w:val="en-US" w:eastAsia="zh-CN"/>
              </w:rPr>
              <w:t>航空铝合金表面液滴接触角150°以上，液滴滚动角10°以下；表面疏水纳米级孔隙尺度50-200nm，微米级孔隙尺度10-30μm，孔隙面积每平方厘米占比在85%以上；自腐蚀电位(Ecorr)正移≥0.2V，腐蚀电流密度(Icorr)降低1-2个数量级（Tafel曲线分析）；材料阻尼比提高30%-50%，高频振动载荷（如20-100 Hz）下，疲劳寿命提升≥50%；</w:t>
            </w:r>
            <w:r>
              <w:rPr>
                <w:rFonts w:hint="eastAsia" w:ascii="Times New Roman" w:hAnsi="Times New Roman" w:eastAsia="宋体" w:cs="Times New Roman"/>
                <w:bCs/>
                <w:sz w:val="28"/>
                <w:szCs w:val="21"/>
                <w:lang w:val="en-US" w:eastAsia="zh-CN"/>
              </w:rPr>
              <w:t>铝合金超疏水构件经力学性能测试，满足复杂受力环境下航空构件使用要求。</w:t>
            </w:r>
          </w:p>
          <w:p w14:paraId="1EB498AB">
            <w:pPr>
              <w:pageBreakBefore w:val="0"/>
              <w:widowControl w:val="0"/>
              <w:kinsoku/>
              <w:wordWrap/>
              <w:overflowPunct/>
              <w:topLinePunct w:val="0"/>
              <w:autoSpaceDE/>
              <w:autoSpaceDN/>
              <w:bidi w:val="0"/>
              <w:adjustRightInd/>
              <w:snapToGrid/>
              <w:spacing w:line="440" w:lineRule="exact"/>
              <w:ind w:firstLine="562" w:firstLineChars="200"/>
              <w:textAlignment w:val="auto"/>
              <w:rPr>
                <w:rFonts w:ascii="Times New Roman" w:hAnsi="Times New Roman" w:eastAsia="宋体" w:cs="Times New Roman"/>
                <w:b/>
                <w:sz w:val="28"/>
                <w:szCs w:val="21"/>
              </w:rPr>
            </w:pPr>
            <w:r>
              <w:rPr>
                <w:rFonts w:hint="eastAsia" w:ascii="Times New Roman" w:hAnsi="Times New Roman" w:eastAsia="宋体" w:cs="Times New Roman"/>
                <w:b/>
                <w:sz w:val="28"/>
                <w:szCs w:val="21"/>
              </w:rPr>
              <w:t>2、成果的价值、特色和创新点</w:t>
            </w:r>
          </w:p>
          <w:p w14:paraId="3343D62A">
            <w:pPr>
              <w:pageBreakBefore w:val="0"/>
              <w:widowControl w:val="0"/>
              <w:kinsoku/>
              <w:wordWrap/>
              <w:overflowPunct/>
              <w:topLinePunct w:val="0"/>
              <w:autoSpaceDE/>
              <w:autoSpaceDN/>
              <w:bidi w:val="0"/>
              <w:adjustRightInd/>
              <w:snapToGrid/>
              <w:spacing w:line="440" w:lineRule="exact"/>
              <w:ind w:firstLine="560" w:firstLineChars="200"/>
              <w:textAlignment w:val="auto"/>
              <w:rPr>
                <w:rFonts w:ascii="Times New Roman" w:hAnsi="Times New Roman" w:eastAsia="宋体" w:cs="Times New Roman"/>
                <w:bCs/>
                <w:sz w:val="28"/>
                <w:szCs w:val="21"/>
              </w:rPr>
            </w:pPr>
            <w:r>
              <w:rPr>
                <w:rFonts w:hint="eastAsia" w:ascii="Times New Roman" w:hAnsi="Times New Roman" w:eastAsia="宋体" w:cs="Times New Roman"/>
                <w:bCs/>
                <w:sz w:val="28"/>
                <w:szCs w:val="21"/>
              </w:rPr>
              <w:t>项目在航空铝合金超疏水表面制备领域实现多项创新突破：一是提出无吸收层激光喷丸一体化超疏水表面制备新方法，解决了超疏水微纳结构制备造成基体材料力学性能下降的问题；二是融合高能束短脉冲激光产生的光热效应与高压冲击两大技术优势，提高表面疏水防腐特性和基体力学性能；三是运用热力耦合制造新原理，实现表面润湿性调控与塑性形变强化协同控制新思路。有望推动激光超疏水表面制备工艺在航空领域推广和应用。</w:t>
            </w:r>
          </w:p>
        </w:tc>
      </w:tr>
    </w:tbl>
    <w:p w14:paraId="5E5C49E5">
      <w:pPr>
        <w:rPr>
          <w:rFonts w:hint="default" w:ascii="Times New Roman" w:hAnsi="Times New Roman" w:cs="Times New Roman"/>
        </w:rPr>
        <w:sectPr>
          <w:pgSz w:w="11905" w:h="16838"/>
          <w:pgMar w:top="1417" w:right="1531" w:bottom="1417" w:left="1531" w:header="0" w:footer="0" w:gutter="0"/>
          <w:paperSrc/>
          <w:cols w:space="0" w:num="1"/>
          <w:rtlGutter w:val="0"/>
          <w:docGrid w:linePitch="312" w:charSpace="0"/>
        </w:sectPr>
      </w:pPr>
    </w:p>
    <w:p w14:paraId="2F61F430">
      <w:pPr>
        <w:rPr>
          <w:rFonts w:hint="default" w:ascii="Times New Roman" w:hAnsi="Times New Roman" w:eastAsia="黑体" w:cs="Times New Roman"/>
          <w:sz w:val="32"/>
          <w:szCs w:val="32"/>
          <w:lang w:val="en-US"/>
        </w:rPr>
      </w:pPr>
      <w:r>
        <w:rPr>
          <w:rFonts w:hint="eastAsia" w:ascii="Times New Roman" w:hAnsi="Times New Roman" w:eastAsia="黑体" w:cs="Times New Roman"/>
          <w:sz w:val="32"/>
          <w:szCs w:val="32"/>
          <w:lang w:eastAsia="zh-CN"/>
        </w:rPr>
        <w:t>编号</w:t>
      </w:r>
      <w:r>
        <w:rPr>
          <w:rFonts w:hint="eastAsia" w:ascii="Times New Roman" w:hAnsi="Times New Roman" w:eastAsia="黑体" w:cs="Times New Roman"/>
          <w:sz w:val="32"/>
          <w:szCs w:val="32"/>
          <w:lang w:val="en-US" w:eastAsia="zh-CN"/>
        </w:rPr>
        <w:t>8</w:t>
      </w:r>
    </w:p>
    <w:p w14:paraId="6C92A33C">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4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80"/>
        <w:gridCol w:w="3297"/>
        <w:gridCol w:w="1876"/>
        <w:gridCol w:w="2733"/>
      </w:tblGrid>
      <w:tr w14:paraId="5D1E0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93" w:type="dxa"/>
            <w:vAlign w:val="center"/>
          </w:tcPr>
          <w:p w14:paraId="07FEC96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135" w:type="dxa"/>
            <w:vAlign w:val="center"/>
          </w:tcPr>
          <w:p w14:paraId="08CB2947">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w:t>
            </w:r>
          </w:p>
        </w:tc>
        <w:tc>
          <w:tcPr>
            <w:tcW w:w="1784" w:type="dxa"/>
            <w:vAlign w:val="center"/>
          </w:tcPr>
          <w:p w14:paraId="5BDBB86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452" w:type="dxa"/>
            <w:vAlign w:val="center"/>
          </w:tcPr>
          <w:p w14:paraId="42813C3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12320000466007247U</w:t>
            </w:r>
          </w:p>
        </w:tc>
      </w:tr>
      <w:tr w14:paraId="12F8B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37" w:hRule="exact"/>
          <w:jc w:val="center"/>
        </w:trPr>
        <w:tc>
          <w:tcPr>
            <w:tcW w:w="1693" w:type="dxa"/>
            <w:vAlign w:val="center"/>
          </w:tcPr>
          <w:p w14:paraId="7E21A23C">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135" w:type="dxa"/>
            <w:vAlign w:val="center"/>
          </w:tcPr>
          <w:p w14:paraId="2D003A3A">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中国江苏常州中吴大道1801号</w:t>
            </w:r>
          </w:p>
        </w:tc>
        <w:tc>
          <w:tcPr>
            <w:tcW w:w="1784" w:type="dxa"/>
            <w:vAlign w:val="center"/>
          </w:tcPr>
          <w:p w14:paraId="45D8B72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452" w:type="dxa"/>
            <w:vAlign w:val="center"/>
          </w:tcPr>
          <w:p w14:paraId="3A51FC46">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秦恒飞</w:t>
            </w:r>
          </w:p>
        </w:tc>
      </w:tr>
      <w:tr w14:paraId="4C705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181AD12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135" w:type="dxa"/>
            <w:vAlign w:val="center"/>
          </w:tcPr>
          <w:p w14:paraId="39ACE106">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18061713160</w:t>
            </w:r>
          </w:p>
        </w:tc>
        <w:tc>
          <w:tcPr>
            <w:tcW w:w="1784" w:type="dxa"/>
            <w:vAlign w:val="center"/>
          </w:tcPr>
          <w:p w14:paraId="7BE308E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452" w:type="dxa"/>
            <w:vAlign w:val="center"/>
          </w:tcPr>
          <w:p w14:paraId="5DB5DC0F">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jlgqinhf@jsut.edu.cn</w:t>
            </w:r>
          </w:p>
        </w:tc>
      </w:tr>
      <w:tr w14:paraId="455E8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693" w:type="dxa"/>
            <w:vAlign w:val="center"/>
          </w:tcPr>
          <w:p w14:paraId="547AD2CB">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71" w:type="dxa"/>
            <w:gridSpan w:val="3"/>
            <w:vAlign w:val="center"/>
          </w:tcPr>
          <w:p w14:paraId="7933634E">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□人工智能</w:t>
            </w:r>
            <w:r>
              <w:rPr>
                <w:rFonts w:hint="eastAsia" w:ascii="宋体" w:hAnsi="宋体" w:eastAsia="宋体" w:cs="Times New Roman"/>
                <w:b/>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 xml:space="preserve">数字经济   </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先进半导体   </w:t>
            </w:r>
            <w:r>
              <w:rPr>
                <w:rFonts w:hint="eastAsia" w:ascii="宋体" w:hAnsi="宋体" w:eastAsia="宋体" w:cs="Times New Roman"/>
                <w:bCs/>
                <w:sz w:val="28"/>
                <w:szCs w:val="21"/>
                <w:lang w:eastAsia="zh-CN"/>
              </w:rPr>
              <w:t>☑</w:t>
            </w:r>
            <w:r>
              <w:rPr>
                <w:rFonts w:ascii="宋体" w:hAnsi="宋体" w:eastAsia="宋体" w:cs="Times New Roman"/>
                <w:bCs/>
                <w:sz w:val="28"/>
                <w:szCs w:val="21"/>
              </w:rPr>
              <w:t>新</w:t>
            </w:r>
            <w:r>
              <w:rPr>
                <w:rFonts w:hint="eastAsia" w:ascii="宋体" w:hAnsi="宋体" w:eastAsia="宋体" w:cs="Times New Roman"/>
                <w:bCs/>
                <w:sz w:val="28"/>
                <w:szCs w:val="21"/>
              </w:rPr>
              <w:t>材料</w:t>
            </w:r>
            <w:r>
              <w:rPr>
                <w:rFonts w:ascii="宋体" w:hAnsi="宋体" w:eastAsia="宋体" w:cs="Times New Roman"/>
                <w:bCs/>
                <w:sz w:val="28"/>
                <w:szCs w:val="21"/>
              </w:rPr>
              <w:t xml:space="preserve"> </w:t>
            </w:r>
          </w:p>
          <w:p w14:paraId="2BD23A18">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w:t>
            </w:r>
            <w:r>
              <w:rPr>
                <w:rFonts w:hint="eastAsia" w:ascii="宋体" w:hAnsi="宋体" w:eastAsia="宋体" w:cs="Times New Roman"/>
                <w:bCs/>
                <w:sz w:val="28"/>
                <w:szCs w:val="21"/>
              </w:rPr>
              <w:t>新型储能</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合成生物</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新能源汽车   </w:t>
            </w:r>
            <w:r>
              <w:rPr>
                <w:rFonts w:ascii="宋体" w:hAnsi="宋体" w:eastAsia="宋体" w:cs="Times New Roman"/>
                <w:bCs/>
                <w:sz w:val="28"/>
                <w:szCs w:val="21"/>
              </w:rPr>
              <w:t>□</w:t>
            </w:r>
            <w:r>
              <w:rPr>
                <w:rFonts w:hint="eastAsia" w:ascii="宋体" w:hAnsi="宋体" w:eastAsia="宋体" w:cs="Times New Roman"/>
                <w:bCs/>
                <w:sz w:val="28"/>
                <w:szCs w:val="21"/>
              </w:rPr>
              <w:t>循环制</w:t>
            </w:r>
          </w:p>
          <w:p w14:paraId="34DD5795">
            <w:pPr>
              <w:spacing w:line="320" w:lineRule="exact"/>
              <w:rPr>
                <w:rFonts w:ascii="Times New Roman" w:hAnsi="Times New Roman" w:eastAsia="宋体" w:cs="Times New Roman"/>
                <w:bCs/>
                <w:sz w:val="28"/>
                <w:szCs w:val="21"/>
              </w:rPr>
            </w:pPr>
            <w:r>
              <w:rPr>
                <w:rFonts w:ascii="宋体" w:hAnsi="宋体" w:eastAsia="宋体" w:cs="Times New Roman"/>
                <w:bCs/>
                <w:sz w:val="28"/>
                <w:szCs w:val="21"/>
              </w:rPr>
              <w:sym w:font="Wingdings 2" w:char="00A3"/>
            </w:r>
            <w:r>
              <w:rPr>
                <w:rFonts w:hint="eastAsia" w:ascii="宋体" w:hAnsi="宋体" w:eastAsia="宋体" w:cs="Times New Roman"/>
                <w:bCs/>
                <w:sz w:val="28"/>
                <w:szCs w:val="21"/>
              </w:rPr>
              <w:t xml:space="preserve">新一代信息技术     </w:t>
            </w:r>
            <w:r>
              <w:rPr>
                <w:rFonts w:ascii="宋体" w:hAnsi="宋体" w:eastAsia="宋体" w:cs="Times New Roman"/>
                <w:bCs/>
                <w:sz w:val="28"/>
                <w:szCs w:val="21"/>
              </w:rPr>
              <w:sym w:font="Wingdings 2" w:char="00A3"/>
            </w:r>
            <w:r>
              <w:rPr>
                <w:rFonts w:hint="eastAsia" w:ascii="宋体" w:hAnsi="宋体" w:eastAsia="宋体" w:cs="Times New Roman"/>
                <w:bCs/>
                <w:sz w:val="28"/>
                <w:szCs w:val="21"/>
              </w:rPr>
              <w:t>高端装备</w:t>
            </w:r>
          </w:p>
        </w:tc>
      </w:tr>
      <w:tr w14:paraId="5B80BE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3D2E139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71" w:type="dxa"/>
            <w:gridSpan w:val="3"/>
            <w:vAlign w:val="center"/>
          </w:tcPr>
          <w:p w14:paraId="16728593">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200</w:t>
            </w:r>
            <w:r>
              <w:rPr>
                <w:rFonts w:hint="eastAsia" w:ascii="Times New Roman" w:hAnsi="Times New Roman" w:eastAsia="宋体" w:cs="Times New Roman"/>
                <w:bCs/>
                <w:sz w:val="28"/>
                <w:szCs w:val="21"/>
              </w:rPr>
              <w:t>万元</w:t>
            </w:r>
          </w:p>
        </w:tc>
      </w:tr>
      <w:tr w14:paraId="52C62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93" w:type="dxa"/>
            <w:vAlign w:val="center"/>
          </w:tcPr>
          <w:p w14:paraId="683245F6">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71" w:type="dxa"/>
            <w:gridSpan w:val="3"/>
            <w:vAlign w:val="center"/>
          </w:tcPr>
          <w:p w14:paraId="44348823">
            <w:pPr>
              <w:spacing w:line="320" w:lineRule="exact"/>
              <w:ind w:left="160" w:leftChars="50"/>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rPr>
              <w:t>生物质气化-活化联产炭基功能材料技术创新与应用</w:t>
            </w:r>
          </w:p>
        </w:tc>
      </w:tr>
      <w:tr w14:paraId="0C014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4" w:hRule="atLeast"/>
          <w:jc w:val="center"/>
        </w:trPr>
        <w:tc>
          <w:tcPr>
            <w:tcW w:w="1693" w:type="dxa"/>
            <w:vAlign w:val="center"/>
          </w:tcPr>
          <w:p w14:paraId="6B66B8A3">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371" w:type="dxa"/>
            <w:gridSpan w:val="3"/>
          </w:tcPr>
          <w:p w14:paraId="5085DADA">
            <w:pPr>
              <w:pStyle w:val="2"/>
              <w:spacing w:line="320" w:lineRule="exact"/>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0B0799AB">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1、已有技术积累和应用条件</w:t>
            </w:r>
          </w:p>
          <w:p w14:paraId="4FDED899">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面向国家双碳战略、能源转型等重大需求，针对我国数量巨大的生物质废弃物高值化利用难及传统气化产品单一、副产物存在黑水废液污染的瓶颈问题，该项目组于2012年提出了“生物质气化-活化联产炭基催化剂、炭基肥、活性炭”的创新发展理念与思路。历经10多年的科技攻关，开展了生物质气化-活一体化技术，开发了生物质气化-活化联产炭基催化剂、炭基肥、活性炭工艺，创制了气化-活化装置、异型多反应通道活化炉、可燃气净化设备，研发了炭基催化剂、炭基肥和高性能活性炭系列产品，取得了多联产技术的重大突破，实现了生物质大规模产业化应用。曾获国家科技进步二等奖、江苏省科技进步三等奖等奖励5项。</w:t>
            </w:r>
          </w:p>
          <w:p w14:paraId="4456E904">
            <w:pPr>
              <w:spacing w:line="540" w:lineRule="exact"/>
              <w:ind w:firstLine="560" w:firstLineChars="200"/>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1.生物质气化-活化联用技术，无黑水废液产生，燃气中焦油含量小于50mg/m3，活性炭的得率达42.3%，比表面积最高达1500m2/g，燃气热值达1450kcal/m3，经中国石油与化工联合组织专家鉴定，该技术整体处于国际先进水平。</w:t>
            </w:r>
          </w:p>
          <w:p w14:paraId="726B1ABC">
            <w:pPr>
              <w:spacing w:line="540" w:lineRule="exact"/>
              <w:ind w:firstLine="560" w:firstLineChars="200"/>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2.开发了系列不同孔隙结构的针剂活性炭、食品用活性炭、载体用活性炭，实现生产活性炭的同时供热与燃煤相比，可以减排CO2约24万吨，减排NOx 700吨，，解决了活性炭生产中的高能耗问题。</w:t>
            </w:r>
          </w:p>
          <w:p w14:paraId="1A34A416">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3.研制了pH可调的多孔靶向炭基肥，在水稻、蔬菜、水果等农作物上大面积推广应用，其中种植早稻和晚稻的酸性土壤pH分别提升1.3和1.6，实现了替代化学肥料用量10%-30%、作物增产10%以上的效果。经蒋剑春院士为主任的鉴定委员会鉴定，该技术处于国际先进水平，其中靶向调控生物质炭基肥酸碱度技术达到国际领先水平。</w:t>
            </w:r>
          </w:p>
          <w:p w14:paraId="2924D9CD">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2、成果的价值、特色和创新点</w:t>
            </w:r>
          </w:p>
          <w:p w14:paraId="45D31F00">
            <w:pPr>
              <w:spacing w:line="540" w:lineRule="exact"/>
              <w:ind w:firstLine="560" w:firstLineChars="200"/>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1.提出生物质气化-活化一体化技术和工艺，攻克了生物质燃气中焦油含量高，燃气热值低、含焦黑水废液难处理等关键科学问题。</w:t>
            </w:r>
          </w:p>
          <w:p w14:paraId="105716B5">
            <w:pPr>
              <w:spacing w:line="540" w:lineRule="exact"/>
              <w:ind w:firstLine="560" w:firstLineChars="200"/>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2.利用离散元方法建立了生物质在气化炉内的运动模型，研制了生物质气化炉和异型多通道活化炉，克服了气化炉结构缺陷、活化炉活化效率低、能耗高等问题。</w:t>
            </w:r>
          </w:p>
          <w:p w14:paraId="47BEB425">
            <w:pPr>
              <w:spacing w:line="540" w:lineRule="exact"/>
              <w:ind w:firstLine="560" w:firstLineChars="200"/>
              <w:rPr>
                <w:rFonts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3.靶向开发了炭基催化剂、功能活性炭和炭基肥三种炭基产品，实现了固碳减排。针对生物质原料来源复杂、特性差大，产物调控难等问题。</w:t>
            </w:r>
          </w:p>
        </w:tc>
      </w:tr>
    </w:tbl>
    <w:p w14:paraId="2CA53391">
      <w:pPr>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br w:type="page"/>
      </w:r>
    </w:p>
    <w:p w14:paraId="4D19E6E1">
      <w:pPr>
        <w:rPr>
          <w:rFonts w:hint="default" w:ascii="Times New Roman" w:hAnsi="Times New Roman" w:eastAsia="黑体" w:cs="Times New Roman"/>
          <w:sz w:val="32"/>
          <w:szCs w:val="32"/>
          <w:lang w:val="en-US"/>
        </w:rPr>
      </w:pPr>
      <w:r>
        <w:rPr>
          <w:rFonts w:hint="eastAsia" w:ascii="Times New Roman" w:hAnsi="Times New Roman" w:eastAsia="黑体" w:cs="Times New Roman"/>
          <w:sz w:val="32"/>
          <w:szCs w:val="32"/>
          <w:lang w:eastAsia="zh-CN"/>
        </w:rPr>
        <w:t>编号</w:t>
      </w:r>
      <w:r>
        <w:rPr>
          <w:rFonts w:hint="eastAsia" w:ascii="Times New Roman" w:hAnsi="Times New Roman" w:eastAsia="黑体" w:cs="Times New Roman"/>
          <w:sz w:val="32"/>
          <w:szCs w:val="32"/>
          <w:lang w:val="en-US" w:eastAsia="zh-CN"/>
        </w:rPr>
        <w:t>9</w:t>
      </w:r>
    </w:p>
    <w:p w14:paraId="6ACFF415">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4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80"/>
        <w:gridCol w:w="3297"/>
        <w:gridCol w:w="1876"/>
        <w:gridCol w:w="2733"/>
      </w:tblGrid>
      <w:tr w14:paraId="17B64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93" w:type="dxa"/>
            <w:vAlign w:val="center"/>
          </w:tcPr>
          <w:p w14:paraId="56FCC23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135" w:type="dxa"/>
            <w:vAlign w:val="center"/>
          </w:tcPr>
          <w:p w14:paraId="33BD9EDE">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w:t>
            </w:r>
          </w:p>
        </w:tc>
        <w:tc>
          <w:tcPr>
            <w:tcW w:w="1784" w:type="dxa"/>
            <w:vAlign w:val="center"/>
          </w:tcPr>
          <w:p w14:paraId="28BCC23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452" w:type="dxa"/>
            <w:vAlign w:val="center"/>
          </w:tcPr>
          <w:p w14:paraId="300336D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12320000466007247U</w:t>
            </w:r>
          </w:p>
        </w:tc>
      </w:tr>
      <w:tr w14:paraId="2D08A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37" w:hRule="exact"/>
          <w:jc w:val="center"/>
        </w:trPr>
        <w:tc>
          <w:tcPr>
            <w:tcW w:w="1693" w:type="dxa"/>
            <w:vAlign w:val="center"/>
          </w:tcPr>
          <w:p w14:paraId="4CF6522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135" w:type="dxa"/>
            <w:vAlign w:val="center"/>
          </w:tcPr>
          <w:p w14:paraId="415CA8D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中国江苏常州中吴大道1801号</w:t>
            </w:r>
          </w:p>
        </w:tc>
        <w:tc>
          <w:tcPr>
            <w:tcW w:w="1784" w:type="dxa"/>
            <w:vAlign w:val="center"/>
          </w:tcPr>
          <w:p w14:paraId="337A84C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452" w:type="dxa"/>
            <w:vAlign w:val="center"/>
          </w:tcPr>
          <w:p w14:paraId="1B104F89">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王琪</w:t>
            </w:r>
          </w:p>
        </w:tc>
      </w:tr>
      <w:tr w14:paraId="5FFA1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7C9AFE1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135" w:type="dxa"/>
            <w:vAlign w:val="center"/>
          </w:tcPr>
          <w:p w14:paraId="79FE39D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13961162983</w:t>
            </w:r>
          </w:p>
        </w:tc>
        <w:tc>
          <w:tcPr>
            <w:tcW w:w="1784" w:type="dxa"/>
            <w:vAlign w:val="center"/>
          </w:tcPr>
          <w:p w14:paraId="637A0574">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452" w:type="dxa"/>
            <w:vAlign w:val="center"/>
          </w:tcPr>
          <w:p w14:paraId="21F44CDD">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wangqi@jsut.edu.cn</w:t>
            </w:r>
          </w:p>
        </w:tc>
      </w:tr>
      <w:tr w14:paraId="164BC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693" w:type="dxa"/>
            <w:vAlign w:val="center"/>
          </w:tcPr>
          <w:p w14:paraId="31C95A8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71" w:type="dxa"/>
            <w:gridSpan w:val="3"/>
            <w:vAlign w:val="center"/>
          </w:tcPr>
          <w:p w14:paraId="63645D57">
            <w:pPr>
              <w:spacing w:line="320" w:lineRule="exact"/>
              <w:jc w:val="left"/>
              <w:rPr>
                <w:rFonts w:hint="eastAsia" w:ascii="宋体" w:hAnsi="宋体" w:eastAsia="宋体" w:cs="Times New Roman"/>
                <w:bCs/>
                <w:sz w:val="28"/>
                <w:szCs w:val="21"/>
              </w:rPr>
            </w:pPr>
            <w:r>
              <w:rPr>
                <w:rFonts w:hint="eastAsia" w:ascii="宋体" w:hAnsi="宋体" w:eastAsia="宋体" w:cs="Times New Roman"/>
                <w:bCs/>
                <w:sz w:val="28"/>
                <w:szCs w:val="21"/>
                <w:lang w:eastAsia="zh-CN"/>
              </w:rPr>
              <w:t>☑</w:t>
            </w:r>
            <w:r>
              <w:rPr>
                <w:rFonts w:ascii="宋体" w:hAnsi="宋体" w:eastAsia="宋体" w:cs="Times New Roman"/>
                <w:bCs/>
                <w:sz w:val="28"/>
                <w:szCs w:val="21"/>
              </w:rPr>
              <w:t>人工智能</w:t>
            </w:r>
            <w:r>
              <w:rPr>
                <w:rFonts w:hint="eastAsia" w:ascii="宋体" w:hAnsi="宋体" w:eastAsia="宋体" w:cs="Times New Roman"/>
                <w:b/>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 xml:space="preserve">数字经济   </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先进半导体   </w:t>
            </w:r>
            <w:r>
              <w:rPr>
                <w:rFonts w:ascii="宋体" w:hAnsi="宋体" w:eastAsia="宋体" w:cs="Times New Roman"/>
                <w:bCs/>
                <w:sz w:val="28"/>
                <w:szCs w:val="21"/>
              </w:rPr>
              <w:t>□新</w:t>
            </w:r>
            <w:r>
              <w:rPr>
                <w:rFonts w:hint="eastAsia" w:ascii="宋体" w:hAnsi="宋体" w:eastAsia="宋体" w:cs="Times New Roman"/>
                <w:bCs/>
                <w:sz w:val="28"/>
                <w:szCs w:val="21"/>
              </w:rPr>
              <w:t>材料</w:t>
            </w:r>
            <w:r>
              <w:rPr>
                <w:rFonts w:ascii="宋体" w:hAnsi="宋体" w:eastAsia="宋体" w:cs="Times New Roman"/>
                <w:bCs/>
                <w:sz w:val="28"/>
                <w:szCs w:val="21"/>
              </w:rPr>
              <w:t xml:space="preserve"> </w:t>
            </w:r>
          </w:p>
          <w:p w14:paraId="5D712CC8">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w:t>
            </w:r>
            <w:r>
              <w:rPr>
                <w:rFonts w:hint="eastAsia" w:ascii="宋体" w:hAnsi="宋体" w:eastAsia="宋体" w:cs="Times New Roman"/>
                <w:bCs/>
                <w:sz w:val="28"/>
                <w:szCs w:val="21"/>
              </w:rPr>
              <w:t>新型储能</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合成生物</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新能源汽车   </w:t>
            </w:r>
            <w:r>
              <w:rPr>
                <w:rFonts w:ascii="宋体" w:hAnsi="宋体" w:eastAsia="宋体" w:cs="Times New Roman"/>
                <w:bCs/>
                <w:sz w:val="28"/>
                <w:szCs w:val="21"/>
              </w:rPr>
              <w:t>□</w:t>
            </w:r>
            <w:r>
              <w:rPr>
                <w:rFonts w:hint="eastAsia" w:ascii="宋体" w:hAnsi="宋体" w:eastAsia="宋体" w:cs="Times New Roman"/>
                <w:bCs/>
                <w:sz w:val="28"/>
                <w:szCs w:val="21"/>
              </w:rPr>
              <w:t>循环制</w:t>
            </w:r>
          </w:p>
          <w:p w14:paraId="1A53ED65">
            <w:pPr>
              <w:spacing w:line="320" w:lineRule="exact"/>
              <w:rPr>
                <w:rFonts w:ascii="Times New Roman" w:hAnsi="Times New Roman" w:eastAsia="宋体" w:cs="Times New Roman"/>
                <w:bCs/>
                <w:sz w:val="28"/>
                <w:szCs w:val="21"/>
              </w:rPr>
            </w:pPr>
            <w:r>
              <w:rPr>
                <w:rFonts w:ascii="宋体" w:hAnsi="宋体" w:eastAsia="宋体" w:cs="Times New Roman"/>
                <w:bCs/>
                <w:sz w:val="28"/>
                <w:szCs w:val="21"/>
              </w:rPr>
              <w:sym w:font="Wingdings 2" w:char="0052"/>
            </w:r>
            <w:r>
              <w:rPr>
                <w:rFonts w:hint="eastAsia" w:ascii="宋体" w:hAnsi="宋体" w:eastAsia="宋体" w:cs="Times New Roman"/>
                <w:bCs/>
                <w:sz w:val="28"/>
                <w:szCs w:val="21"/>
              </w:rPr>
              <w:t xml:space="preserve">新一代信息技术     </w:t>
            </w:r>
            <w:r>
              <w:rPr>
                <w:rFonts w:ascii="宋体" w:hAnsi="宋体" w:eastAsia="宋体" w:cs="Times New Roman"/>
                <w:bCs/>
                <w:sz w:val="28"/>
                <w:szCs w:val="21"/>
              </w:rPr>
              <w:sym w:font="Wingdings 2" w:char="00A3"/>
            </w:r>
            <w:r>
              <w:rPr>
                <w:rFonts w:hint="eastAsia" w:ascii="宋体" w:hAnsi="宋体" w:eastAsia="宋体" w:cs="Times New Roman"/>
                <w:bCs/>
                <w:sz w:val="28"/>
                <w:szCs w:val="21"/>
              </w:rPr>
              <w:t>高端装备</w:t>
            </w:r>
          </w:p>
        </w:tc>
      </w:tr>
      <w:tr w14:paraId="68C1A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50F4420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71" w:type="dxa"/>
            <w:gridSpan w:val="3"/>
            <w:vAlign w:val="center"/>
          </w:tcPr>
          <w:p w14:paraId="22E41DAE">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1</w:t>
            </w:r>
            <w:r>
              <w:rPr>
                <w:rFonts w:hint="eastAsia" w:ascii="Times New Roman" w:hAnsi="Times New Roman" w:eastAsia="宋体" w:cs="Times New Roman"/>
                <w:bCs/>
                <w:sz w:val="28"/>
                <w:szCs w:val="21"/>
                <w:lang w:val="en-US" w:eastAsia="zh-CN"/>
              </w:rPr>
              <w:t>80</w:t>
            </w:r>
            <w:r>
              <w:rPr>
                <w:rFonts w:hint="eastAsia" w:ascii="Times New Roman" w:hAnsi="Times New Roman" w:eastAsia="宋体" w:cs="Times New Roman"/>
                <w:bCs/>
                <w:sz w:val="28"/>
                <w:szCs w:val="21"/>
              </w:rPr>
              <w:t>万元</w:t>
            </w:r>
          </w:p>
        </w:tc>
      </w:tr>
      <w:tr w14:paraId="67AFD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93" w:type="dxa"/>
            <w:vAlign w:val="center"/>
          </w:tcPr>
          <w:p w14:paraId="4A04000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71" w:type="dxa"/>
            <w:gridSpan w:val="3"/>
            <w:vAlign w:val="center"/>
          </w:tcPr>
          <w:p w14:paraId="4C6E8DFD">
            <w:pPr>
              <w:spacing w:line="320" w:lineRule="exact"/>
              <w:ind w:left="160" w:leftChars="50"/>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rPr>
              <w:t>电动汽车永磁同步电机高性能驱动系统/数控机床永磁同步电主轴高性能驱动系统</w:t>
            </w:r>
          </w:p>
        </w:tc>
      </w:tr>
      <w:tr w14:paraId="2E344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4" w:hRule="atLeast"/>
          <w:jc w:val="center"/>
        </w:trPr>
        <w:tc>
          <w:tcPr>
            <w:tcW w:w="1693" w:type="dxa"/>
            <w:vAlign w:val="center"/>
          </w:tcPr>
          <w:p w14:paraId="33EF925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371" w:type="dxa"/>
            <w:gridSpan w:val="3"/>
          </w:tcPr>
          <w:p w14:paraId="3A382CB9">
            <w:pPr>
              <w:pStyle w:val="2"/>
              <w:spacing w:line="320" w:lineRule="exact"/>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47EF3668">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1、已有技术积累和应用条件</w:t>
            </w:r>
          </w:p>
          <w:p w14:paraId="7E45D3C8">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本项目面向高精度数控机床加工对主轴运行稳定性和控制精度的要求，设计开发了基于双核DSP与智能功率模块的永磁同步电主轴高性能驱动控制系统。系统集成谐波电流抑制与弱磁扩速等先进算法，具备高速、高精度、强鲁棒性等优点，在样机平台上实现有效验证。已获授权发明专利2件（含PCT1件）。该系统设计具有良好的通用性，除应用于高端数控磨床与加工中心外，还具备在新能源电动汽车、智能装备等多个领域推广应用的潜力，市场前景广阔。</w:t>
            </w:r>
          </w:p>
          <w:p w14:paraId="707DBCC0">
            <w:pPr>
              <w:spacing w:line="54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所研发的控制系统具备以下关键性能指标：主轴最高转速≥24000 rpm，弱磁扩速范围提升30%；谐波电流抑制率达90%以上，系统总谐波失真率&lt;3%；负载扰动响应时间&lt;1 ms，稳态误差≤0.1%；具备过流、过压、欠压、过温等多重自保护功能，系统平均无故障运行时间（MTBF）≥10000小时；控制平台支持多轴联动与定制化扩展，适配各类高精度数控机床。核心控制算法已在实验样机上实现闭环验证，运行稳定可靠。</w:t>
            </w:r>
          </w:p>
          <w:p w14:paraId="20CFE8D7">
            <w:pPr>
              <w:spacing w:line="540" w:lineRule="exact"/>
              <w:ind w:firstLine="562" w:firstLineChars="200"/>
              <w:rPr>
                <w:rFonts w:ascii="Times New Roman" w:hAnsi="Times New Roman" w:eastAsia="宋体" w:cs="Times New Roman"/>
                <w:b/>
                <w:sz w:val="28"/>
                <w:szCs w:val="21"/>
              </w:rPr>
            </w:pPr>
            <w:r>
              <w:rPr>
                <w:rFonts w:hint="eastAsia" w:ascii="Times New Roman" w:hAnsi="Times New Roman" w:eastAsia="宋体" w:cs="Times New Roman"/>
                <w:b/>
                <w:sz w:val="28"/>
                <w:szCs w:val="21"/>
              </w:rPr>
              <w:t>2、成果的价值、特色和创新点</w:t>
            </w:r>
          </w:p>
          <w:p w14:paraId="467A3EFB">
            <w:pPr>
              <w:spacing w:line="540" w:lineRule="exact"/>
              <w:ind w:firstLine="560" w:firstLineChars="200"/>
              <w:rPr>
                <w:rFonts w:ascii="Times New Roman" w:hAnsi="Times New Roman" w:eastAsia="宋体" w:cs="Times New Roman"/>
                <w:bCs/>
                <w:sz w:val="28"/>
                <w:szCs w:val="21"/>
              </w:rPr>
            </w:pPr>
            <w:r>
              <w:rPr>
                <w:rFonts w:hint="eastAsia" w:ascii="Times New Roman" w:hAnsi="Times New Roman" w:eastAsia="宋体" w:cs="Times New Roman"/>
                <w:bCs/>
                <w:sz w:val="28"/>
                <w:szCs w:val="21"/>
              </w:rPr>
              <w:t>本项目创新性地采用双核DSP结构，分别承担高速实时控制与算法优化任务，显著提升系统响应速度与稳定性；提出高性能谐波电流抑制算法与弱磁扩速控制策略，实现永磁同步电主轴在高转速下仍保持低失真电流与高精度调速控制；基于智能功率模块构建集成式驱动单元，增强系统在过流、欠压等异常工况下的保护能力与稳定性；系统软硬件协同设计兼顾高性能与模块化，为多场景扩展应用提供可靠的通用平台。</w:t>
            </w:r>
          </w:p>
        </w:tc>
      </w:tr>
    </w:tbl>
    <w:p w14:paraId="273C226F"/>
    <w:p w14:paraId="622E3BD7"/>
    <w:p w14:paraId="67BDD7E9">
      <w:pPr>
        <w:rPr>
          <w:rFonts w:hint="eastAsia"/>
        </w:rPr>
      </w:pPr>
    </w:p>
    <w:p w14:paraId="174F3719">
      <w:pPr>
        <w:rPr>
          <w:rFonts w:hint="default" w:ascii="Times New Roman" w:hAnsi="Times New Roman" w:cs="Times New Roman"/>
        </w:rPr>
        <w:sectPr>
          <w:pgSz w:w="11905" w:h="16838"/>
          <w:pgMar w:top="1417" w:right="1531" w:bottom="1417" w:left="1531" w:header="0" w:footer="0" w:gutter="0"/>
          <w:paperSrc/>
          <w:cols w:space="0" w:num="1"/>
          <w:rtlGutter w:val="0"/>
          <w:docGrid w:linePitch="312" w:charSpace="0"/>
        </w:sectPr>
      </w:pPr>
    </w:p>
    <w:p w14:paraId="307CBAD6">
      <w:pPr>
        <w:rPr>
          <w:rFonts w:hint="default" w:ascii="Times New Roman" w:hAnsi="Times New Roman" w:eastAsia="黑体" w:cs="Times New Roman"/>
          <w:sz w:val="32"/>
          <w:szCs w:val="32"/>
          <w:lang w:val="en-US"/>
        </w:rPr>
      </w:pPr>
      <w:r>
        <w:rPr>
          <w:rFonts w:hint="eastAsia" w:ascii="Times New Roman" w:hAnsi="Times New Roman" w:eastAsia="黑体" w:cs="Times New Roman"/>
          <w:sz w:val="32"/>
          <w:szCs w:val="32"/>
          <w:lang w:eastAsia="zh-CN"/>
        </w:rPr>
        <w:t>编号</w:t>
      </w:r>
      <w:r>
        <w:rPr>
          <w:rFonts w:hint="eastAsia" w:ascii="Times New Roman" w:hAnsi="Times New Roman" w:eastAsia="黑体" w:cs="Times New Roman"/>
          <w:sz w:val="32"/>
          <w:szCs w:val="32"/>
          <w:lang w:val="en-US" w:eastAsia="zh-CN"/>
        </w:rPr>
        <w:t>10</w:t>
      </w:r>
    </w:p>
    <w:p w14:paraId="2030BA58">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4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70"/>
        <w:gridCol w:w="3277"/>
        <w:gridCol w:w="1865"/>
        <w:gridCol w:w="2774"/>
      </w:tblGrid>
      <w:tr w14:paraId="528AA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93" w:type="dxa"/>
            <w:vAlign w:val="center"/>
          </w:tcPr>
          <w:p w14:paraId="17A9009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135" w:type="dxa"/>
            <w:vAlign w:val="center"/>
          </w:tcPr>
          <w:p w14:paraId="02841983">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江苏理工学院</w:t>
            </w:r>
          </w:p>
        </w:tc>
        <w:tc>
          <w:tcPr>
            <w:tcW w:w="1784" w:type="dxa"/>
            <w:vAlign w:val="center"/>
          </w:tcPr>
          <w:p w14:paraId="0BCB12A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452" w:type="dxa"/>
            <w:vAlign w:val="center"/>
          </w:tcPr>
          <w:p w14:paraId="2F557A01">
            <w:pPr>
              <w:spacing w:line="320" w:lineRule="exact"/>
              <w:jc w:val="center"/>
              <w:rPr>
                <w:rFonts w:ascii="Times New Roman" w:hAnsi="Times New Roman" w:eastAsia="宋体" w:cs="Times New Roman"/>
                <w:bCs/>
                <w:sz w:val="28"/>
                <w:szCs w:val="21"/>
              </w:rPr>
            </w:pPr>
            <w:r>
              <w:rPr>
                <w:rFonts w:hint="default" w:ascii="Times New Roman" w:hAnsi="Times New Roman" w:cs="Times New Roman" w:eastAsiaTheme="minorEastAsia"/>
                <w:spacing w:val="3"/>
                <w:sz w:val="28"/>
                <w:szCs w:val="28"/>
              </w:rPr>
              <w:t>12320000466007247U</w:t>
            </w:r>
          </w:p>
        </w:tc>
      </w:tr>
      <w:tr w14:paraId="61078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37" w:hRule="exact"/>
          <w:jc w:val="center"/>
        </w:trPr>
        <w:tc>
          <w:tcPr>
            <w:tcW w:w="1693" w:type="dxa"/>
            <w:vAlign w:val="center"/>
          </w:tcPr>
          <w:p w14:paraId="2D1DB06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135" w:type="dxa"/>
            <w:vAlign w:val="center"/>
          </w:tcPr>
          <w:p w14:paraId="7137BDE8">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中国江苏常州中吴大道1801号</w:t>
            </w:r>
          </w:p>
        </w:tc>
        <w:tc>
          <w:tcPr>
            <w:tcW w:w="1784" w:type="dxa"/>
            <w:vAlign w:val="center"/>
          </w:tcPr>
          <w:p w14:paraId="2D0AB8E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452" w:type="dxa"/>
            <w:vAlign w:val="center"/>
          </w:tcPr>
          <w:p w14:paraId="72266956">
            <w:pPr>
              <w:spacing w:line="320" w:lineRule="exact"/>
              <w:jc w:val="center"/>
              <w:rPr>
                <w:rFonts w:ascii="Times New Roman" w:hAnsi="Times New Roman" w:eastAsia="宋体" w:cs="Times New Roman"/>
                <w:bCs/>
                <w:sz w:val="28"/>
                <w:szCs w:val="21"/>
              </w:rPr>
            </w:pPr>
            <w:r>
              <w:rPr>
                <w:rFonts w:hint="eastAsia" w:asciiTheme="minorEastAsia" w:hAnsiTheme="minorEastAsia" w:eastAsiaTheme="minorEastAsia" w:cstheme="minorEastAsia"/>
                <w:spacing w:val="5"/>
                <w:sz w:val="28"/>
                <w:szCs w:val="28"/>
              </w:rPr>
              <w:t>王永星</w:t>
            </w:r>
          </w:p>
        </w:tc>
      </w:tr>
      <w:tr w14:paraId="2E862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4725D19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135" w:type="dxa"/>
            <w:vAlign w:val="center"/>
          </w:tcPr>
          <w:p w14:paraId="5168E79D">
            <w:pPr>
              <w:spacing w:line="320" w:lineRule="exact"/>
              <w:jc w:val="center"/>
              <w:rPr>
                <w:rFonts w:ascii="Times New Roman" w:hAnsi="Times New Roman" w:eastAsia="宋体" w:cs="Times New Roman"/>
                <w:bCs/>
                <w:sz w:val="28"/>
                <w:szCs w:val="21"/>
              </w:rPr>
            </w:pPr>
            <w:r>
              <w:rPr>
                <w:rFonts w:hint="default" w:ascii="Times New Roman" w:hAnsi="Times New Roman" w:cs="Times New Roman" w:eastAsiaTheme="minorEastAsia"/>
                <w:sz w:val="28"/>
                <w:szCs w:val="28"/>
              </w:rPr>
              <w:t>18906111097</w:t>
            </w:r>
          </w:p>
        </w:tc>
        <w:tc>
          <w:tcPr>
            <w:tcW w:w="1784" w:type="dxa"/>
            <w:vAlign w:val="center"/>
          </w:tcPr>
          <w:p w14:paraId="77873FF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452" w:type="dxa"/>
            <w:vAlign w:val="center"/>
          </w:tcPr>
          <w:p w14:paraId="7E2FCE26">
            <w:pPr>
              <w:spacing w:line="320" w:lineRule="exact"/>
              <w:jc w:val="center"/>
              <w:rPr>
                <w:rFonts w:ascii="Times New Roman" w:hAnsi="Times New Roman" w:eastAsia="宋体" w:cs="Times New Roman"/>
                <w:bCs/>
                <w:sz w:val="28"/>
                <w:szCs w:val="21"/>
              </w:rPr>
            </w:pPr>
            <w:r>
              <w:rPr>
                <w:rFonts w:hint="default" w:ascii="Times New Roman" w:hAnsi="Times New Roman" w:cs="Times New Roman" w:eastAsiaTheme="minorEastAsia"/>
                <w:sz w:val="28"/>
                <w:szCs w:val="28"/>
              </w:rPr>
              <w:t>wyx</w:t>
            </w:r>
            <w:r>
              <w:rPr>
                <w:rFonts w:hint="default" w:ascii="Times New Roman" w:hAnsi="Times New Roman" w:cs="Times New Roman" w:eastAsiaTheme="minorEastAsia"/>
                <w:spacing w:val="8"/>
                <w:sz w:val="28"/>
                <w:szCs w:val="28"/>
              </w:rPr>
              <w:t>_783@163.</w:t>
            </w:r>
            <w:r>
              <w:rPr>
                <w:rFonts w:hint="default" w:ascii="Times New Roman" w:hAnsi="Times New Roman" w:cs="Times New Roman" w:eastAsiaTheme="minorEastAsia"/>
                <w:sz w:val="28"/>
                <w:szCs w:val="28"/>
              </w:rPr>
              <w:t>com</w:t>
            </w:r>
          </w:p>
        </w:tc>
      </w:tr>
      <w:tr w14:paraId="7CA8D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693" w:type="dxa"/>
            <w:vAlign w:val="center"/>
          </w:tcPr>
          <w:p w14:paraId="1C0243AB">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71" w:type="dxa"/>
            <w:gridSpan w:val="3"/>
            <w:vAlign w:val="center"/>
          </w:tcPr>
          <w:p w14:paraId="43877706">
            <w:pPr>
              <w:spacing w:line="320" w:lineRule="exact"/>
              <w:jc w:val="left"/>
              <w:rPr>
                <w:rFonts w:hint="eastAsia" w:ascii="宋体" w:hAnsi="宋体" w:eastAsia="宋体" w:cs="Times New Roman"/>
                <w:bCs/>
                <w:sz w:val="28"/>
                <w:szCs w:val="21"/>
              </w:rPr>
            </w:pPr>
            <w:r>
              <w:rPr>
                <w:rFonts w:hint="eastAsia" w:ascii="宋体" w:hAnsi="宋体" w:eastAsia="宋体" w:cs="Times New Roman"/>
                <w:bCs/>
                <w:sz w:val="28"/>
                <w:szCs w:val="21"/>
                <w:lang w:eastAsia="zh-CN"/>
              </w:rPr>
              <w:t>□</w:t>
            </w:r>
            <w:r>
              <w:rPr>
                <w:rFonts w:ascii="宋体" w:hAnsi="宋体" w:eastAsia="宋体" w:cs="Times New Roman"/>
                <w:bCs/>
                <w:sz w:val="28"/>
                <w:szCs w:val="21"/>
              </w:rPr>
              <w:t>人工智能</w:t>
            </w:r>
            <w:r>
              <w:rPr>
                <w:rFonts w:hint="eastAsia" w:ascii="宋体" w:hAnsi="宋体" w:eastAsia="宋体" w:cs="Times New Roman"/>
                <w:b/>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 xml:space="preserve">数字经济   </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先进半导体   </w:t>
            </w:r>
            <w:r>
              <w:rPr>
                <w:rFonts w:ascii="宋体" w:hAnsi="宋体" w:eastAsia="宋体" w:cs="Times New Roman"/>
                <w:bCs/>
                <w:sz w:val="28"/>
                <w:szCs w:val="21"/>
              </w:rPr>
              <w:t>□新</w:t>
            </w:r>
            <w:r>
              <w:rPr>
                <w:rFonts w:hint="eastAsia" w:ascii="宋体" w:hAnsi="宋体" w:eastAsia="宋体" w:cs="Times New Roman"/>
                <w:bCs/>
                <w:sz w:val="28"/>
                <w:szCs w:val="21"/>
              </w:rPr>
              <w:t>材料</w:t>
            </w:r>
            <w:r>
              <w:rPr>
                <w:rFonts w:ascii="宋体" w:hAnsi="宋体" w:eastAsia="宋体" w:cs="Times New Roman"/>
                <w:bCs/>
                <w:sz w:val="28"/>
                <w:szCs w:val="21"/>
              </w:rPr>
              <w:t xml:space="preserve"> </w:t>
            </w:r>
          </w:p>
          <w:p w14:paraId="50E50885">
            <w:pPr>
              <w:spacing w:line="320" w:lineRule="exact"/>
              <w:jc w:val="left"/>
              <w:rPr>
                <w:rFonts w:hint="eastAsia" w:ascii="宋体" w:hAnsi="宋体" w:eastAsia="宋体" w:cs="Times New Roman"/>
                <w:bCs/>
                <w:sz w:val="28"/>
                <w:szCs w:val="21"/>
              </w:rPr>
            </w:pPr>
            <w:r>
              <w:rPr>
                <w:rFonts w:ascii="宋体" w:hAnsi="宋体" w:eastAsia="宋体" w:cs="Times New Roman"/>
                <w:bCs/>
                <w:sz w:val="28"/>
                <w:szCs w:val="21"/>
              </w:rPr>
              <w:t>□</w:t>
            </w:r>
            <w:r>
              <w:rPr>
                <w:rFonts w:hint="eastAsia" w:ascii="宋体" w:hAnsi="宋体" w:eastAsia="宋体" w:cs="Times New Roman"/>
                <w:bCs/>
                <w:sz w:val="28"/>
                <w:szCs w:val="21"/>
              </w:rPr>
              <w:t>新型储能</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 </w:t>
            </w:r>
            <w:r>
              <w:rPr>
                <w:rFonts w:ascii="宋体" w:hAnsi="宋体" w:eastAsia="宋体" w:cs="Times New Roman"/>
                <w:bCs/>
                <w:sz w:val="28"/>
                <w:szCs w:val="21"/>
              </w:rPr>
              <w:t>□</w:t>
            </w:r>
            <w:r>
              <w:rPr>
                <w:rFonts w:hint="eastAsia" w:ascii="宋体" w:hAnsi="宋体" w:eastAsia="宋体" w:cs="Times New Roman"/>
                <w:bCs/>
                <w:sz w:val="28"/>
                <w:szCs w:val="21"/>
              </w:rPr>
              <w:t>合成生物</w:t>
            </w:r>
            <w:r>
              <w:rPr>
                <w:rFonts w:ascii="宋体" w:hAnsi="宋体" w:eastAsia="宋体" w:cs="Times New Roman"/>
                <w:bCs/>
                <w:sz w:val="28"/>
                <w:szCs w:val="21"/>
              </w:rPr>
              <w:t xml:space="preserve">    □</w:t>
            </w:r>
            <w:r>
              <w:rPr>
                <w:rFonts w:hint="eastAsia" w:ascii="宋体" w:hAnsi="宋体" w:eastAsia="宋体" w:cs="Times New Roman"/>
                <w:bCs/>
                <w:sz w:val="28"/>
                <w:szCs w:val="21"/>
              </w:rPr>
              <w:t xml:space="preserve">新能源汽车   </w:t>
            </w:r>
            <w:r>
              <w:rPr>
                <w:rFonts w:ascii="宋体" w:hAnsi="宋体" w:eastAsia="宋体" w:cs="Times New Roman"/>
                <w:bCs/>
                <w:sz w:val="28"/>
                <w:szCs w:val="21"/>
              </w:rPr>
              <w:t>□</w:t>
            </w:r>
            <w:r>
              <w:rPr>
                <w:rFonts w:hint="eastAsia" w:ascii="宋体" w:hAnsi="宋体" w:eastAsia="宋体" w:cs="Times New Roman"/>
                <w:bCs/>
                <w:sz w:val="28"/>
                <w:szCs w:val="21"/>
              </w:rPr>
              <w:t>循环制</w:t>
            </w:r>
          </w:p>
          <w:p w14:paraId="1D8B0C85">
            <w:pPr>
              <w:spacing w:line="320" w:lineRule="exact"/>
              <w:rPr>
                <w:rFonts w:ascii="Times New Roman" w:hAnsi="Times New Roman" w:eastAsia="宋体" w:cs="Times New Roman"/>
                <w:bCs/>
                <w:sz w:val="28"/>
                <w:szCs w:val="21"/>
              </w:rPr>
            </w:pPr>
            <w:r>
              <w:rPr>
                <w:rFonts w:ascii="宋体" w:hAnsi="宋体" w:eastAsia="宋体" w:cs="Times New Roman"/>
                <w:bCs/>
                <w:sz w:val="28"/>
                <w:szCs w:val="21"/>
              </w:rPr>
              <w:sym w:font="Wingdings 2" w:char="0052"/>
            </w:r>
            <w:r>
              <w:rPr>
                <w:rFonts w:hint="eastAsia" w:ascii="宋体" w:hAnsi="宋体" w:eastAsia="宋体" w:cs="Times New Roman"/>
                <w:bCs/>
                <w:sz w:val="28"/>
                <w:szCs w:val="21"/>
              </w:rPr>
              <w:t xml:space="preserve">新一代信息技术     </w:t>
            </w:r>
            <w:r>
              <w:rPr>
                <w:rFonts w:ascii="宋体" w:hAnsi="宋体" w:eastAsia="宋体" w:cs="Times New Roman"/>
                <w:bCs/>
                <w:sz w:val="28"/>
                <w:szCs w:val="21"/>
              </w:rPr>
              <w:sym w:font="Wingdings 2" w:char="0052"/>
            </w:r>
            <w:r>
              <w:rPr>
                <w:rFonts w:hint="eastAsia" w:ascii="宋体" w:hAnsi="宋体" w:eastAsia="宋体" w:cs="Times New Roman"/>
                <w:bCs/>
                <w:sz w:val="28"/>
                <w:szCs w:val="21"/>
              </w:rPr>
              <w:t>高端装备</w:t>
            </w:r>
          </w:p>
        </w:tc>
      </w:tr>
      <w:tr w14:paraId="451BD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93" w:type="dxa"/>
            <w:vAlign w:val="center"/>
          </w:tcPr>
          <w:p w14:paraId="086ECAAC">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71" w:type="dxa"/>
            <w:gridSpan w:val="3"/>
            <w:vAlign w:val="center"/>
          </w:tcPr>
          <w:p w14:paraId="7CA9094A">
            <w:pPr>
              <w:spacing w:line="320" w:lineRule="exact"/>
              <w:ind w:left="160" w:leftChars="50"/>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106</w:t>
            </w:r>
            <w:r>
              <w:rPr>
                <w:rFonts w:hint="eastAsia" w:ascii="Times New Roman" w:hAnsi="Times New Roman" w:eastAsia="宋体" w:cs="Times New Roman"/>
                <w:bCs/>
                <w:sz w:val="28"/>
                <w:szCs w:val="21"/>
              </w:rPr>
              <w:t>万元</w:t>
            </w:r>
          </w:p>
        </w:tc>
      </w:tr>
      <w:tr w14:paraId="20725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93" w:type="dxa"/>
            <w:vAlign w:val="center"/>
          </w:tcPr>
          <w:p w14:paraId="2EAFD8A4">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71" w:type="dxa"/>
            <w:gridSpan w:val="3"/>
            <w:vAlign w:val="center"/>
          </w:tcPr>
          <w:p w14:paraId="4912E303">
            <w:pPr>
              <w:spacing w:line="320" w:lineRule="exact"/>
              <w:ind w:left="160" w:leftChars="50"/>
              <w:jc w:val="center"/>
              <w:rPr>
                <w:rFonts w:ascii="Times New Roman" w:hAnsi="Times New Roman" w:eastAsia="宋体" w:cs="Times New Roman"/>
                <w:bCs/>
                <w:sz w:val="28"/>
                <w:szCs w:val="21"/>
              </w:rPr>
            </w:pPr>
            <w:r>
              <w:rPr>
                <w:rFonts w:hint="eastAsia" w:asciiTheme="minorEastAsia" w:hAnsiTheme="minorEastAsia" w:eastAsiaTheme="minorEastAsia" w:cstheme="minorEastAsia"/>
                <w:spacing w:val="9"/>
                <w:sz w:val="28"/>
                <w:szCs w:val="28"/>
              </w:rPr>
              <w:t>大模型在机械设计中应用关键技术研究</w:t>
            </w:r>
          </w:p>
        </w:tc>
      </w:tr>
      <w:tr w14:paraId="68E8F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4" w:hRule="atLeast"/>
          <w:jc w:val="center"/>
        </w:trPr>
        <w:tc>
          <w:tcPr>
            <w:tcW w:w="1693" w:type="dxa"/>
            <w:vAlign w:val="center"/>
          </w:tcPr>
          <w:p w14:paraId="0F69730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371" w:type="dxa"/>
            <w:gridSpan w:val="3"/>
          </w:tcPr>
          <w:p w14:paraId="06E54F8C">
            <w:pPr>
              <w:pStyle w:val="8"/>
              <w:keepNext w:val="0"/>
              <w:keepLines w:val="0"/>
              <w:pageBreakBefore w:val="0"/>
              <w:widowControl w:val="0"/>
              <w:kinsoku/>
              <w:wordWrap/>
              <w:overflowPunct/>
              <w:topLinePunct w:val="0"/>
              <w:autoSpaceDE/>
              <w:autoSpaceDN/>
              <w:bidi w:val="0"/>
              <w:adjustRightInd/>
              <w:snapToGrid/>
              <w:spacing w:before="297" w:line="320" w:lineRule="exact"/>
              <w:ind w:left="10" w:right="31" w:firstLine="12"/>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（国内外现状，成果的价值、特色和创新点，已有技术积累和</w:t>
            </w:r>
            <w:r>
              <w:rPr>
                <w:rFonts w:hint="eastAsia" w:asciiTheme="minorEastAsia" w:hAnsiTheme="minorEastAsia" w:eastAsiaTheme="minorEastAsia" w:cstheme="minorEastAsia"/>
                <w:spacing w:val="7"/>
                <w:sz w:val="28"/>
                <w:szCs w:val="28"/>
              </w:rPr>
              <w:t xml:space="preserve"> </w:t>
            </w:r>
            <w:r>
              <w:rPr>
                <w:rFonts w:hint="eastAsia" w:asciiTheme="minorEastAsia" w:hAnsiTheme="minorEastAsia" w:eastAsiaTheme="minorEastAsia" w:cstheme="minorEastAsia"/>
                <w:spacing w:val="4"/>
                <w:sz w:val="28"/>
                <w:szCs w:val="28"/>
              </w:rPr>
              <w:t>应用条件等）</w:t>
            </w:r>
          </w:p>
          <w:p w14:paraId="55D840E7">
            <w:pPr>
              <w:pStyle w:val="8"/>
              <w:keepNext w:val="0"/>
              <w:keepLines w:val="0"/>
              <w:pageBreakBefore w:val="0"/>
              <w:widowControl w:val="0"/>
              <w:kinsoku/>
              <w:wordWrap/>
              <w:overflowPunct/>
              <w:topLinePunct w:val="0"/>
              <w:autoSpaceDE/>
              <w:autoSpaceDN/>
              <w:bidi w:val="0"/>
              <w:adjustRightInd/>
              <w:snapToGrid/>
              <w:spacing w:before="33" w:line="320" w:lineRule="exact"/>
              <w:ind w:left="49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5"/>
                <w:sz w:val="28"/>
                <w:szCs w:val="28"/>
              </w:rPr>
              <w:t>1、国内外现状</w:t>
            </w:r>
          </w:p>
          <w:p w14:paraId="335A9413">
            <w:pPr>
              <w:pStyle w:val="8"/>
              <w:keepNext w:val="0"/>
              <w:keepLines w:val="0"/>
              <w:pageBreakBefore w:val="0"/>
              <w:widowControl w:val="0"/>
              <w:kinsoku/>
              <w:wordWrap/>
              <w:overflowPunct/>
              <w:topLinePunct w:val="0"/>
              <w:autoSpaceDE/>
              <w:autoSpaceDN/>
              <w:bidi w:val="0"/>
              <w:adjustRightInd/>
              <w:snapToGrid/>
              <w:spacing w:before="55" w:line="320" w:lineRule="exact"/>
              <w:ind w:left="7" w:right="12" w:firstLine="483"/>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6"/>
                <w:sz w:val="28"/>
                <w:szCs w:val="28"/>
              </w:rPr>
              <w:t>大模型在智能制造机械设计中的应用是当前产业智能化升级的关</w:t>
            </w:r>
            <w:r>
              <w:rPr>
                <w:rFonts w:hint="eastAsia" w:asciiTheme="minorEastAsia" w:hAnsiTheme="minorEastAsia" w:eastAsiaTheme="minorEastAsia" w:cstheme="minorEastAsia"/>
                <w:spacing w:val="13"/>
                <w:sz w:val="28"/>
                <w:szCs w:val="28"/>
              </w:rPr>
              <w:t xml:space="preserve"> </w:t>
            </w:r>
            <w:r>
              <w:rPr>
                <w:rFonts w:hint="eastAsia" w:asciiTheme="minorEastAsia" w:hAnsiTheme="minorEastAsia" w:eastAsiaTheme="minorEastAsia" w:cstheme="minorEastAsia"/>
                <w:spacing w:val="-2"/>
                <w:sz w:val="28"/>
                <w:szCs w:val="28"/>
              </w:rPr>
              <w:t>键方向，国内外研究侧重点和发展路径有所不同。</w:t>
            </w:r>
          </w:p>
          <w:p w14:paraId="39025381">
            <w:pPr>
              <w:pStyle w:val="8"/>
              <w:keepNext w:val="0"/>
              <w:keepLines w:val="0"/>
              <w:pageBreakBefore w:val="0"/>
              <w:widowControl w:val="0"/>
              <w:kinsoku/>
              <w:wordWrap/>
              <w:overflowPunct/>
              <w:topLinePunct w:val="0"/>
              <w:autoSpaceDE/>
              <w:autoSpaceDN/>
              <w:bidi w:val="0"/>
              <w:adjustRightInd/>
              <w:snapToGrid/>
              <w:spacing w:before="12" w:line="320" w:lineRule="exact"/>
              <w:ind w:left="7" w:right="4" w:firstLine="506"/>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3"/>
                <w:sz w:val="28"/>
                <w:szCs w:val="28"/>
              </w:rPr>
              <w:t>国内现状：</w:t>
            </w:r>
            <w:r>
              <w:rPr>
                <w:rFonts w:hint="eastAsia" w:asciiTheme="minorEastAsia" w:hAnsiTheme="minorEastAsia" w:eastAsiaTheme="minorEastAsia" w:cstheme="minorEastAsia"/>
                <w:spacing w:val="-3"/>
                <w:sz w:val="28"/>
                <w:szCs w:val="28"/>
              </w:rPr>
              <w:t>国内研究注重实际应用与集成创新，主要围绕降低使用</w:t>
            </w:r>
            <w:r>
              <w:rPr>
                <w:rFonts w:hint="eastAsia" w:asciiTheme="minorEastAsia" w:hAnsiTheme="minorEastAsia" w:eastAsiaTheme="minorEastAsia" w:cstheme="minorEastAsia"/>
                <w:spacing w:val="-2"/>
                <w:sz w:val="28"/>
                <w:szCs w:val="28"/>
              </w:rPr>
              <w:t>门槛和提升设计效率展开。浙江大学团队开发了AI-AD系统，它以大语</w:t>
            </w:r>
            <w:r>
              <w:rPr>
                <w:rFonts w:hint="eastAsia" w:asciiTheme="minorEastAsia" w:hAnsiTheme="minorEastAsia" w:eastAsiaTheme="minorEastAsia" w:cstheme="minorEastAsia"/>
                <w:spacing w:val="-5"/>
                <w:sz w:val="28"/>
                <w:szCs w:val="28"/>
              </w:rPr>
              <w:t>言模型为基座，能根据用户自然语言描述自动完</w:t>
            </w:r>
            <w:r>
              <w:rPr>
                <w:rFonts w:hint="eastAsia" w:asciiTheme="minorEastAsia" w:hAnsiTheme="minorEastAsia" w:eastAsiaTheme="minorEastAsia" w:cstheme="minorEastAsia"/>
                <w:spacing w:val="-6"/>
                <w:sz w:val="28"/>
                <w:szCs w:val="28"/>
              </w:rPr>
              <w:t>成设计、参数优化和</w:t>
            </w:r>
            <w:r>
              <w:rPr>
                <w:rFonts w:hint="eastAsia" w:asciiTheme="minorEastAsia" w:hAnsiTheme="minorEastAsia" w:eastAsiaTheme="minorEastAsia" w:cstheme="minorEastAsia"/>
                <w:spacing w:val="-49"/>
                <w:sz w:val="28"/>
                <w:szCs w:val="28"/>
              </w:rPr>
              <w:t xml:space="preserve"> </w:t>
            </w:r>
            <w:r>
              <w:rPr>
                <w:rFonts w:hint="eastAsia" w:asciiTheme="minorEastAsia" w:hAnsiTheme="minorEastAsia" w:eastAsiaTheme="minorEastAsia" w:cstheme="minorEastAsia"/>
                <w:spacing w:val="-6"/>
                <w:sz w:val="28"/>
                <w:szCs w:val="28"/>
              </w:rPr>
              <w:t>3D</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pacing w:val="-4"/>
                <w:sz w:val="28"/>
                <w:szCs w:val="28"/>
              </w:rPr>
              <w:t>模型输出，实现了“从理解到生成”的全流程智能辅助，有效降低了</w:t>
            </w:r>
            <w:r>
              <w:rPr>
                <w:rFonts w:hint="eastAsia" w:asciiTheme="minorEastAsia" w:hAnsiTheme="minorEastAsia" w:eastAsiaTheme="minorEastAsia" w:cstheme="minorEastAsia"/>
                <w:spacing w:val="-36"/>
                <w:sz w:val="28"/>
                <w:szCs w:val="28"/>
              </w:rPr>
              <w:t xml:space="preserve"> </w:t>
            </w:r>
            <w:r>
              <w:rPr>
                <w:rFonts w:hint="eastAsia" w:asciiTheme="minorEastAsia" w:hAnsiTheme="minorEastAsia" w:eastAsiaTheme="minorEastAsia" w:cstheme="minorEastAsia"/>
                <w:spacing w:val="-4"/>
                <w:sz w:val="28"/>
                <w:szCs w:val="28"/>
              </w:rPr>
              <w:t>CAD</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pacing w:val="15"/>
                <w:sz w:val="28"/>
                <w:szCs w:val="28"/>
              </w:rPr>
              <w:t>机械设计的用户门槛。清华大学则构建了庞大的机械设计知</w:t>
            </w:r>
            <w:r>
              <w:rPr>
                <w:rFonts w:hint="eastAsia" w:asciiTheme="minorEastAsia" w:hAnsiTheme="minorEastAsia" w:eastAsiaTheme="minorEastAsia" w:cstheme="minorEastAsia"/>
                <w:spacing w:val="14"/>
                <w:sz w:val="28"/>
                <w:szCs w:val="28"/>
              </w:rPr>
              <w:t>识图谱</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pacing w:val="-1"/>
                <w:sz w:val="28"/>
                <w:szCs w:val="28"/>
              </w:rPr>
              <w:t>（MechKG</w:t>
            </w:r>
            <w:r>
              <w:rPr>
                <w:rFonts w:hint="eastAsia" w:asciiTheme="minorEastAsia" w:hAnsiTheme="minorEastAsia" w:eastAsiaTheme="minorEastAsia" w:cstheme="minorEastAsia"/>
                <w:spacing w:val="-64"/>
                <w:sz w:val="28"/>
                <w:szCs w:val="28"/>
              </w:rPr>
              <w:t>），</w:t>
            </w:r>
            <w:r>
              <w:rPr>
                <w:rFonts w:hint="eastAsia" w:asciiTheme="minorEastAsia" w:hAnsiTheme="minorEastAsia" w:eastAsiaTheme="minorEastAsia" w:cstheme="minorEastAsia"/>
                <w:spacing w:val="-1"/>
                <w:sz w:val="28"/>
                <w:szCs w:val="28"/>
              </w:rPr>
              <w:t>并开发了DesignGPT系统，通过知识推理将设计周期缩</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pacing w:val="-2"/>
                <w:sz w:val="28"/>
                <w:szCs w:val="28"/>
              </w:rPr>
              <w:t>短了</w:t>
            </w:r>
            <w:r>
              <w:rPr>
                <w:rFonts w:hint="eastAsia" w:asciiTheme="minorEastAsia" w:hAnsiTheme="minorEastAsia" w:eastAsiaTheme="minorEastAsia" w:cstheme="minorEastAsia"/>
                <w:spacing w:val="-56"/>
                <w:sz w:val="28"/>
                <w:szCs w:val="28"/>
              </w:rPr>
              <w:t xml:space="preserve"> </w:t>
            </w:r>
            <w:r>
              <w:rPr>
                <w:rFonts w:hint="eastAsia" w:asciiTheme="minorEastAsia" w:hAnsiTheme="minorEastAsia" w:eastAsiaTheme="minorEastAsia" w:cstheme="minorEastAsia"/>
                <w:spacing w:val="-2"/>
                <w:sz w:val="28"/>
                <w:szCs w:val="28"/>
              </w:rPr>
              <w:t>40%。在多目标优化方面，国内研究结合了生成</w:t>
            </w:r>
            <w:r>
              <w:rPr>
                <w:rFonts w:hint="eastAsia" w:asciiTheme="minorEastAsia" w:hAnsiTheme="minorEastAsia" w:eastAsiaTheme="minorEastAsia" w:cstheme="minorEastAsia"/>
                <w:spacing w:val="-3"/>
                <w:sz w:val="28"/>
                <w:szCs w:val="28"/>
              </w:rPr>
              <w:t>式设计算法与多目</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pacing w:val="-1"/>
                <w:sz w:val="28"/>
                <w:szCs w:val="28"/>
              </w:rPr>
              <w:t>标优化算法（如</w:t>
            </w:r>
            <w:r>
              <w:rPr>
                <w:rFonts w:hint="eastAsia" w:asciiTheme="minorEastAsia" w:hAnsiTheme="minorEastAsia" w:eastAsiaTheme="minorEastAsia" w:cstheme="minorEastAsia"/>
                <w:spacing w:val="-44"/>
                <w:sz w:val="28"/>
                <w:szCs w:val="28"/>
              </w:rPr>
              <w:t xml:space="preserve"> </w:t>
            </w:r>
            <w:r>
              <w:rPr>
                <w:rFonts w:hint="eastAsia" w:asciiTheme="minorEastAsia" w:hAnsiTheme="minorEastAsia" w:eastAsiaTheme="minorEastAsia" w:cstheme="minorEastAsia"/>
                <w:spacing w:val="-1"/>
                <w:sz w:val="28"/>
                <w:szCs w:val="28"/>
              </w:rPr>
              <w:t>NSGA-IV</w:t>
            </w:r>
            <w:r>
              <w:rPr>
                <w:rFonts w:hint="eastAsia" w:asciiTheme="minorEastAsia" w:hAnsiTheme="minorEastAsia" w:eastAsiaTheme="minorEastAsia" w:cstheme="minorEastAsia"/>
                <w:spacing w:val="-57"/>
                <w:sz w:val="28"/>
                <w:szCs w:val="28"/>
              </w:rPr>
              <w:t>），</w:t>
            </w:r>
            <w:r>
              <w:rPr>
                <w:rFonts w:hint="eastAsia" w:asciiTheme="minorEastAsia" w:hAnsiTheme="minorEastAsia" w:eastAsiaTheme="minorEastAsia" w:cstheme="minorEastAsia"/>
                <w:spacing w:val="-1"/>
                <w:sz w:val="28"/>
                <w:szCs w:val="28"/>
              </w:rPr>
              <w:t>在航空航天部件设计中实现了</w:t>
            </w:r>
            <w:r>
              <w:rPr>
                <w:rFonts w:hint="eastAsia" w:asciiTheme="minorEastAsia" w:hAnsiTheme="minorEastAsia" w:eastAsiaTheme="minorEastAsia" w:cstheme="minorEastAsia"/>
                <w:spacing w:val="-2"/>
                <w:sz w:val="28"/>
                <w:szCs w:val="28"/>
              </w:rPr>
              <w:t>刚度、重量</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pacing w:val="-7"/>
                <w:sz w:val="28"/>
                <w:szCs w:val="28"/>
              </w:rPr>
              <w:t>和成本的多目标同步优化。此外，云边端协同部署</w:t>
            </w:r>
            <w:r>
              <w:rPr>
                <w:rFonts w:hint="eastAsia" w:asciiTheme="minorEastAsia" w:hAnsiTheme="minorEastAsia" w:eastAsiaTheme="minorEastAsia" w:cstheme="minorEastAsia"/>
                <w:spacing w:val="-8"/>
                <w:sz w:val="28"/>
                <w:szCs w:val="28"/>
              </w:rPr>
              <w:t>模式也成为重点，旨</w:t>
            </w:r>
            <w:r>
              <w:rPr>
                <w:rFonts w:hint="eastAsia" w:asciiTheme="minorEastAsia" w:hAnsiTheme="minorEastAsia" w:eastAsiaTheme="minorEastAsia" w:cstheme="minorEastAsia"/>
                <w:spacing w:val="-2"/>
                <w:sz w:val="28"/>
                <w:szCs w:val="28"/>
              </w:rPr>
              <w:t>在解决大模型在实际工业场景中应用的算力和延迟问题。</w:t>
            </w:r>
          </w:p>
          <w:p w14:paraId="7F954F77">
            <w:pPr>
              <w:pStyle w:val="8"/>
              <w:keepNext w:val="0"/>
              <w:keepLines w:val="0"/>
              <w:pageBreakBefore w:val="0"/>
              <w:widowControl w:val="0"/>
              <w:kinsoku/>
              <w:wordWrap/>
              <w:overflowPunct/>
              <w:topLinePunct w:val="0"/>
              <w:autoSpaceDE/>
              <w:autoSpaceDN/>
              <w:bidi w:val="0"/>
              <w:adjustRightInd/>
              <w:snapToGrid/>
              <w:spacing w:before="65" w:line="320" w:lineRule="exact"/>
              <w:ind w:left="5" w:right="5" w:firstLine="25"/>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3"/>
                <w:sz w:val="28"/>
                <w:szCs w:val="28"/>
              </w:rPr>
              <w:t>国外现状：</w:t>
            </w:r>
            <w:r>
              <w:rPr>
                <w:rFonts w:hint="eastAsia" w:asciiTheme="minorEastAsia" w:hAnsiTheme="minorEastAsia" w:eastAsiaTheme="minorEastAsia" w:cstheme="minorEastAsia"/>
                <w:spacing w:val="-3"/>
                <w:sz w:val="28"/>
                <w:szCs w:val="28"/>
              </w:rPr>
              <w:t>国外研究则更侧重于核心算法的突破、多模态融合以及</w:t>
            </w:r>
            <w:r>
              <w:rPr>
                <w:rFonts w:hint="eastAsia" w:asciiTheme="minorEastAsia" w:hAnsiTheme="minorEastAsia" w:eastAsiaTheme="minorEastAsia" w:cstheme="minorEastAsia"/>
                <w:sz w:val="28"/>
                <w:szCs w:val="28"/>
              </w:rPr>
              <w:t>机器人协同等前沿领域。在算法与框架创新方面，DeepMind等机构将</w:t>
            </w:r>
            <w:r>
              <w:rPr>
                <w:rFonts w:hint="eastAsia" w:asciiTheme="minorEastAsia" w:hAnsiTheme="minorEastAsia" w:eastAsiaTheme="minorEastAsia" w:cstheme="minorEastAsia"/>
                <w:spacing w:val="-3"/>
                <w:sz w:val="28"/>
                <w:szCs w:val="28"/>
              </w:rPr>
              <w:t>图神经网络（GNN）与强化学习相结合，开发了多机械臂协同运动规划系统（如</w:t>
            </w:r>
            <w:r>
              <w:rPr>
                <w:rFonts w:hint="eastAsia" w:asciiTheme="minorEastAsia" w:hAnsiTheme="minorEastAsia" w:eastAsiaTheme="minorEastAsia" w:cstheme="minorEastAsia"/>
                <w:spacing w:val="-34"/>
                <w:sz w:val="28"/>
                <w:szCs w:val="28"/>
              </w:rPr>
              <w:t xml:space="preserve"> </w:t>
            </w:r>
            <w:r>
              <w:rPr>
                <w:rFonts w:hint="eastAsia" w:asciiTheme="minorEastAsia" w:hAnsiTheme="minorEastAsia" w:eastAsiaTheme="minorEastAsia" w:cstheme="minorEastAsia"/>
                <w:spacing w:val="-3"/>
                <w:sz w:val="28"/>
                <w:szCs w:val="28"/>
              </w:rPr>
              <w:t>RoboBallet</w:t>
            </w:r>
            <w:r>
              <w:rPr>
                <w:rFonts w:hint="eastAsia" w:asciiTheme="minorEastAsia" w:hAnsiTheme="minorEastAsia" w:eastAsiaTheme="minorEastAsia" w:cstheme="minorEastAsia"/>
                <w:spacing w:val="-59"/>
                <w:w w:val="94"/>
                <w:sz w:val="28"/>
                <w:szCs w:val="28"/>
              </w:rPr>
              <w:t>），</w:t>
            </w:r>
            <w:r>
              <w:rPr>
                <w:rFonts w:hint="eastAsia" w:asciiTheme="minorEastAsia" w:hAnsiTheme="minorEastAsia" w:eastAsiaTheme="minorEastAsia" w:cstheme="minorEastAsia"/>
                <w:spacing w:val="-3"/>
                <w:sz w:val="28"/>
                <w:szCs w:val="28"/>
              </w:rPr>
              <w:t>实现了在复杂</w:t>
            </w:r>
            <w:r>
              <w:rPr>
                <w:rFonts w:hint="eastAsia" w:asciiTheme="minorEastAsia" w:hAnsiTheme="minorEastAsia" w:eastAsiaTheme="minorEastAsia" w:cstheme="minorEastAsia"/>
                <w:spacing w:val="-4"/>
                <w:sz w:val="28"/>
                <w:szCs w:val="28"/>
              </w:rPr>
              <w:t>环境中的高效协作与零碰撞。工业</w:t>
            </w:r>
            <w:r>
              <w:rPr>
                <w:rFonts w:hint="eastAsia" w:asciiTheme="minorEastAsia" w:hAnsiTheme="minorEastAsia" w:eastAsiaTheme="minorEastAsia" w:cstheme="minorEastAsia"/>
                <w:spacing w:val="5"/>
                <w:sz w:val="28"/>
                <w:szCs w:val="28"/>
              </w:rPr>
              <w:t>巨头与软件公司的融合也是一大特点，例如西门子与微软合作推出的</w:t>
            </w:r>
            <w:r>
              <w:rPr>
                <w:rFonts w:hint="eastAsia" w:asciiTheme="minorEastAsia" w:hAnsiTheme="minorEastAsia" w:eastAsiaTheme="minorEastAsia" w:cstheme="minorEastAsia"/>
                <w:spacing w:val="-1"/>
                <w:sz w:val="28"/>
                <w:szCs w:val="28"/>
              </w:rPr>
              <w:t>Industrial Copilot，能够自动为可编程逻辑控制器（PLC）生成代码，展</w:t>
            </w:r>
            <w:r>
              <w:rPr>
                <w:rFonts w:hint="eastAsia" w:asciiTheme="minorEastAsia" w:hAnsiTheme="minorEastAsia" w:eastAsiaTheme="minorEastAsia" w:cstheme="minorEastAsia"/>
                <w:spacing w:val="17"/>
                <w:sz w:val="28"/>
                <w:szCs w:val="28"/>
              </w:rPr>
              <w:t xml:space="preserve"> </w:t>
            </w:r>
            <w:r>
              <w:rPr>
                <w:rFonts w:hint="eastAsia" w:asciiTheme="minorEastAsia" w:hAnsiTheme="minorEastAsia" w:eastAsiaTheme="minorEastAsia" w:cstheme="minorEastAsia"/>
                <w:spacing w:val="-2"/>
                <w:sz w:val="28"/>
                <w:szCs w:val="28"/>
              </w:rPr>
              <w:t>示了生产式人工智能在工业领域的应用潜力。多模态学习和具身智能同</w:t>
            </w:r>
            <w:r>
              <w:rPr>
                <w:rFonts w:hint="eastAsia" w:asciiTheme="minorEastAsia" w:hAnsiTheme="minorEastAsia" w:eastAsiaTheme="minorEastAsia" w:cstheme="minorEastAsia"/>
                <w:spacing w:val="-4"/>
                <w:sz w:val="28"/>
                <w:szCs w:val="28"/>
              </w:rPr>
              <w:t>样是研究热点，例如在机器人焊接领域，结合生成式</w:t>
            </w:r>
            <w:r>
              <w:rPr>
                <w:rFonts w:hint="eastAsia" w:asciiTheme="minorEastAsia" w:hAnsiTheme="minorEastAsia" w:eastAsiaTheme="minorEastAsia" w:cstheme="minorEastAsia"/>
                <w:spacing w:val="-50"/>
                <w:sz w:val="28"/>
                <w:szCs w:val="28"/>
              </w:rPr>
              <w:t xml:space="preserve"> </w:t>
            </w:r>
            <w:r>
              <w:rPr>
                <w:rFonts w:hint="eastAsia" w:asciiTheme="minorEastAsia" w:hAnsiTheme="minorEastAsia" w:eastAsiaTheme="minorEastAsia" w:cstheme="minorEastAsia"/>
                <w:spacing w:val="-4"/>
                <w:sz w:val="28"/>
                <w:szCs w:val="28"/>
              </w:rPr>
              <w:t>AI、工业机理模型</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pacing w:val="-2"/>
                <w:sz w:val="28"/>
                <w:szCs w:val="28"/>
              </w:rPr>
              <w:t>与数字孪生技术，能自动生成工艺参数与路径规划，大幅提升复杂曲面</w:t>
            </w:r>
            <w:r>
              <w:rPr>
                <w:rFonts w:hint="eastAsia" w:asciiTheme="minorEastAsia" w:hAnsiTheme="minorEastAsia" w:eastAsiaTheme="minorEastAsia" w:cstheme="minorEastAsia"/>
                <w:spacing w:val="-5"/>
                <w:sz w:val="28"/>
                <w:szCs w:val="28"/>
              </w:rPr>
              <w:t>工件的工作效率。</w:t>
            </w:r>
          </w:p>
          <w:p w14:paraId="4089CE2D">
            <w:pPr>
              <w:pStyle w:val="8"/>
              <w:keepNext w:val="0"/>
              <w:keepLines w:val="0"/>
              <w:pageBreakBefore w:val="0"/>
              <w:widowControl w:val="0"/>
              <w:kinsoku/>
              <w:wordWrap/>
              <w:overflowPunct/>
              <w:topLinePunct w:val="0"/>
              <w:autoSpaceDE/>
              <w:autoSpaceDN/>
              <w:bidi w:val="0"/>
              <w:adjustRightInd/>
              <w:snapToGrid/>
              <w:spacing w:line="320" w:lineRule="exact"/>
              <w:ind w:left="9" w:right="5" w:firstLine="485"/>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总体来看，国内研究更侧重于集成应用与效率提升，致力于将大模</w:t>
            </w:r>
            <w:r>
              <w:rPr>
                <w:rFonts w:hint="eastAsia" w:asciiTheme="minorEastAsia" w:hAnsiTheme="minorEastAsia" w:eastAsiaTheme="minorEastAsia" w:cstheme="minorEastAsia"/>
                <w:spacing w:val="3"/>
                <w:sz w:val="28"/>
                <w:szCs w:val="28"/>
              </w:rPr>
              <w:t xml:space="preserve"> </w:t>
            </w:r>
            <w:r>
              <w:rPr>
                <w:rFonts w:hint="eastAsia" w:asciiTheme="minorEastAsia" w:hAnsiTheme="minorEastAsia" w:eastAsiaTheme="minorEastAsia" w:cstheme="minorEastAsia"/>
                <w:spacing w:val="-2"/>
                <w:sz w:val="28"/>
                <w:szCs w:val="28"/>
              </w:rPr>
              <w:t>型技术快速转化为生产力；而国外则更多致力于底层算法创新和前沿交</w:t>
            </w:r>
            <w:r>
              <w:rPr>
                <w:rFonts w:hint="eastAsia" w:asciiTheme="minorEastAsia" w:hAnsiTheme="minorEastAsia" w:eastAsiaTheme="minorEastAsia" w:cstheme="minorEastAsia"/>
                <w:spacing w:val="13"/>
                <w:sz w:val="28"/>
                <w:szCs w:val="28"/>
              </w:rPr>
              <w:t xml:space="preserve"> </w:t>
            </w:r>
            <w:r>
              <w:rPr>
                <w:rFonts w:hint="eastAsia" w:asciiTheme="minorEastAsia" w:hAnsiTheme="minorEastAsia" w:eastAsiaTheme="minorEastAsia" w:cstheme="minorEastAsia"/>
                <w:spacing w:val="-2"/>
                <w:sz w:val="28"/>
                <w:szCs w:val="28"/>
              </w:rPr>
              <w:t>叉领域的探索。两者共同推动着智能制造机械设计向更智能、更高效的</w:t>
            </w:r>
            <w:r>
              <w:rPr>
                <w:rFonts w:hint="eastAsia" w:asciiTheme="minorEastAsia" w:hAnsiTheme="minorEastAsia" w:eastAsiaTheme="minorEastAsia" w:cstheme="minorEastAsia"/>
                <w:spacing w:val="-8"/>
                <w:sz w:val="28"/>
                <w:szCs w:val="28"/>
              </w:rPr>
              <w:t>方向发展。</w:t>
            </w:r>
          </w:p>
          <w:p w14:paraId="2DA0C764">
            <w:pPr>
              <w:pStyle w:val="8"/>
              <w:keepNext w:val="0"/>
              <w:keepLines w:val="0"/>
              <w:pageBreakBefore w:val="0"/>
              <w:widowControl w:val="0"/>
              <w:kinsoku/>
              <w:wordWrap/>
              <w:overflowPunct/>
              <w:topLinePunct w:val="0"/>
              <w:autoSpaceDE/>
              <w:autoSpaceDN/>
              <w:bidi w:val="0"/>
              <w:adjustRightInd/>
              <w:snapToGrid/>
              <w:spacing w:before="1" w:line="320" w:lineRule="exact"/>
              <w:ind w:left="48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3"/>
                <w:sz w:val="28"/>
                <w:szCs w:val="28"/>
              </w:rPr>
              <w:t>2、成果的价值、特色和创新点</w:t>
            </w:r>
          </w:p>
          <w:p w14:paraId="7101740F">
            <w:pPr>
              <w:pStyle w:val="8"/>
              <w:keepNext w:val="0"/>
              <w:keepLines w:val="0"/>
              <w:pageBreakBefore w:val="0"/>
              <w:widowControl w:val="0"/>
              <w:kinsoku/>
              <w:wordWrap/>
              <w:overflowPunct/>
              <w:topLinePunct w:val="0"/>
              <w:autoSpaceDE/>
              <w:autoSpaceDN/>
              <w:bidi w:val="0"/>
              <w:adjustRightInd/>
              <w:snapToGrid/>
              <w:spacing w:before="57" w:line="320" w:lineRule="exact"/>
              <w:ind w:left="492"/>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9"/>
                <w:sz w:val="28"/>
                <w:szCs w:val="28"/>
              </w:rPr>
              <w:t>成果的价值：</w:t>
            </w:r>
          </w:p>
          <w:p w14:paraId="69EF9B4F">
            <w:pPr>
              <w:pStyle w:val="8"/>
              <w:keepNext w:val="0"/>
              <w:keepLines w:val="0"/>
              <w:pageBreakBefore w:val="0"/>
              <w:widowControl w:val="0"/>
              <w:kinsoku/>
              <w:wordWrap/>
              <w:overflowPunct/>
              <w:topLinePunct w:val="0"/>
              <w:autoSpaceDE/>
              <w:autoSpaceDN/>
              <w:bidi w:val="0"/>
              <w:adjustRightInd/>
              <w:snapToGrid/>
              <w:spacing w:before="75" w:line="320" w:lineRule="exact"/>
              <w:ind w:left="11" w:firstLine="559"/>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5"/>
                <w:sz w:val="28"/>
                <w:szCs w:val="28"/>
              </w:rPr>
              <w:t>（1）研究开发的人工智能机械设计大模型，自动生成</w:t>
            </w:r>
            <w:r>
              <w:rPr>
                <w:rFonts w:hint="eastAsia" w:asciiTheme="minorEastAsia" w:hAnsiTheme="minorEastAsia" w:eastAsiaTheme="minorEastAsia" w:cstheme="minorEastAsia"/>
                <w:spacing w:val="-51"/>
                <w:sz w:val="28"/>
                <w:szCs w:val="28"/>
              </w:rPr>
              <w:t xml:space="preserve"> </w:t>
            </w:r>
            <w:r>
              <w:rPr>
                <w:rFonts w:hint="eastAsia" w:asciiTheme="minorEastAsia" w:hAnsiTheme="minorEastAsia" w:eastAsiaTheme="minorEastAsia" w:cstheme="minorEastAsia"/>
                <w:spacing w:val="-5"/>
                <w:sz w:val="28"/>
                <w:szCs w:val="28"/>
              </w:rPr>
              <w:t>C</w:t>
            </w:r>
            <w:r>
              <w:rPr>
                <w:rFonts w:hint="eastAsia" w:asciiTheme="minorEastAsia" w:hAnsiTheme="minorEastAsia" w:eastAsiaTheme="minorEastAsia" w:cstheme="minorEastAsia"/>
                <w:spacing w:val="-6"/>
                <w:sz w:val="28"/>
                <w:szCs w:val="28"/>
              </w:rPr>
              <w:t>AD 设计，</w:t>
            </w:r>
            <w:r>
              <w:rPr>
                <w:rFonts w:hint="eastAsia" w:asciiTheme="minorEastAsia" w:hAnsiTheme="minorEastAsia" w:eastAsiaTheme="minorEastAsia" w:cstheme="minorEastAsia"/>
                <w:spacing w:val="-4"/>
                <w:sz w:val="28"/>
                <w:szCs w:val="28"/>
              </w:rPr>
              <w:t>降低或替代人工工作量，将帮助企业更大地发挥机械设计人员的才能和</w:t>
            </w:r>
            <w:r>
              <w:rPr>
                <w:rFonts w:hint="eastAsia" w:asciiTheme="minorEastAsia" w:hAnsiTheme="minorEastAsia" w:eastAsiaTheme="minorEastAsia" w:cstheme="minorEastAsia"/>
                <w:spacing w:val="-5"/>
                <w:sz w:val="28"/>
                <w:szCs w:val="28"/>
              </w:rPr>
              <w:t>工作效率。</w:t>
            </w:r>
          </w:p>
          <w:p w14:paraId="748B639E">
            <w:pPr>
              <w:pStyle w:val="8"/>
              <w:keepNext w:val="0"/>
              <w:keepLines w:val="0"/>
              <w:pageBreakBefore w:val="0"/>
              <w:widowControl w:val="0"/>
              <w:kinsoku/>
              <w:wordWrap/>
              <w:overflowPunct/>
              <w:topLinePunct w:val="0"/>
              <w:autoSpaceDE/>
              <w:autoSpaceDN/>
              <w:bidi w:val="0"/>
              <w:adjustRightInd/>
              <w:snapToGrid/>
              <w:spacing w:before="74" w:line="320" w:lineRule="exact"/>
              <w:ind w:left="11" w:right="6" w:firstLine="564"/>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pacing w:val="-1"/>
                <w:sz w:val="28"/>
                <w:szCs w:val="28"/>
              </w:rPr>
              <w:t>（2）推进人工智能科技的理论和应用进展，推进人工智能科技的</w:t>
            </w:r>
            <w:r>
              <w:rPr>
                <w:rFonts w:hint="eastAsia" w:asciiTheme="minorEastAsia" w:hAnsiTheme="minorEastAsia" w:eastAsiaTheme="minorEastAsia" w:cstheme="minorEastAsia"/>
                <w:spacing w:val="-2"/>
                <w:sz w:val="28"/>
                <w:szCs w:val="28"/>
              </w:rPr>
              <w:t>理论和应用进展</w:t>
            </w:r>
            <w:r>
              <w:rPr>
                <w:rFonts w:hint="eastAsia" w:asciiTheme="minorEastAsia" w:hAnsiTheme="minorEastAsia" w:eastAsiaTheme="minorEastAsia" w:cstheme="minorEastAsia"/>
                <w:spacing w:val="-2"/>
                <w:sz w:val="28"/>
                <w:szCs w:val="28"/>
                <w:lang w:eastAsia="zh-CN"/>
              </w:rPr>
              <w:t>。</w:t>
            </w:r>
          </w:p>
          <w:p w14:paraId="3FF253E1">
            <w:pPr>
              <w:pStyle w:val="8"/>
              <w:keepNext w:val="0"/>
              <w:keepLines w:val="0"/>
              <w:pageBreakBefore w:val="0"/>
              <w:widowControl w:val="0"/>
              <w:kinsoku/>
              <w:wordWrap/>
              <w:overflowPunct/>
              <w:topLinePunct w:val="0"/>
              <w:autoSpaceDE/>
              <w:autoSpaceDN/>
              <w:bidi w:val="0"/>
              <w:adjustRightInd/>
              <w:snapToGrid/>
              <w:spacing w:before="71" w:line="320" w:lineRule="exact"/>
              <w:ind w:left="56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4"/>
                <w:sz w:val="28"/>
                <w:szCs w:val="28"/>
              </w:rPr>
              <w:t>特色和创新点：</w:t>
            </w:r>
          </w:p>
          <w:p w14:paraId="04239DD9">
            <w:pPr>
              <w:pStyle w:val="8"/>
              <w:keepNext w:val="0"/>
              <w:keepLines w:val="0"/>
              <w:pageBreakBefore w:val="0"/>
              <w:widowControl w:val="0"/>
              <w:kinsoku/>
              <w:wordWrap/>
              <w:overflowPunct/>
              <w:topLinePunct w:val="0"/>
              <w:autoSpaceDE/>
              <w:autoSpaceDN/>
              <w:bidi w:val="0"/>
              <w:adjustRightInd/>
              <w:snapToGrid/>
              <w:spacing w:before="74" w:line="320" w:lineRule="exact"/>
              <w:ind w:left="10" w:right="4" w:firstLine="564"/>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（1）不同于国内外在大模型应用于CAD自动设计生成方面的理</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pacing w:val="-2"/>
                <w:sz w:val="28"/>
                <w:szCs w:val="28"/>
              </w:rPr>
              <w:t>论性研究，本成果直接面向智能制造企业工程实践实际应用，成为国内</w:t>
            </w:r>
            <w:r>
              <w:rPr>
                <w:rFonts w:hint="eastAsia" w:asciiTheme="minorEastAsia" w:hAnsiTheme="minorEastAsia" w:eastAsiaTheme="minorEastAsia" w:cstheme="minorEastAsia"/>
                <w:spacing w:val="12"/>
                <w:sz w:val="28"/>
                <w:szCs w:val="28"/>
              </w:rPr>
              <w:t xml:space="preserve"> </w:t>
            </w:r>
            <w:r>
              <w:rPr>
                <w:rFonts w:hint="eastAsia" w:asciiTheme="minorEastAsia" w:hAnsiTheme="minorEastAsia" w:eastAsiaTheme="minorEastAsia" w:cstheme="minorEastAsia"/>
                <w:spacing w:val="-3"/>
                <w:sz w:val="28"/>
                <w:szCs w:val="28"/>
              </w:rPr>
              <w:t>落地实际应用的</w:t>
            </w:r>
            <w:r>
              <w:rPr>
                <w:rFonts w:hint="eastAsia" w:asciiTheme="minorEastAsia" w:hAnsiTheme="minorEastAsia" w:eastAsiaTheme="minorEastAsia" w:cstheme="minorEastAsia"/>
                <w:spacing w:val="-51"/>
                <w:sz w:val="28"/>
                <w:szCs w:val="28"/>
              </w:rPr>
              <w:t xml:space="preserve"> </w:t>
            </w:r>
            <w:r>
              <w:rPr>
                <w:rFonts w:hint="eastAsia" w:asciiTheme="minorEastAsia" w:hAnsiTheme="minorEastAsia" w:eastAsiaTheme="minorEastAsia" w:cstheme="minorEastAsia"/>
                <w:spacing w:val="-3"/>
                <w:sz w:val="28"/>
                <w:szCs w:val="28"/>
              </w:rPr>
              <w:t>CAD大模型。</w:t>
            </w:r>
          </w:p>
          <w:p w14:paraId="5E5A1C95">
            <w:pPr>
              <w:pStyle w:val="8"/>
              <w:keepNext w:val="0"/>
              <w:keepLines w:val="0"/>
              <w:pageBreakBefore w:val="0"/>
              <w:widowControl w:val="0"/>
              <w:kinsoku/>
              <w:wordWrap/>
              <w:overflowPunct/>
              <w:topLinePunct w:val="0"/>
              <w:autoSpaceDE/>
              <w:autoSpaceDN/>
              <w:bidi w:val="0"/>
              <w:adjustRightInd/>
              <w:snapToGrid/>
              <w:spacing w:before="74" w:line="320" w:lineRule="exact"/>
              <w:ind w:left="9" w:right="5" w:firstLine="56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（2）本成果有助于完善改进以大模型为代表的新一轮人工技术理</w:t>
            </w:r>
            <w:r>
              <w:rPr>
                <w:rFonts w:hint="eastAsia" w:asciiTheme="minorEastAsia" w:hAnsiTheme="minorEastAsia" w:eastAsiaTheme="minorEastAsia" w:cstheme="minorEastAsia"/>
                <w:spacing w:val="12"/>
                <w:sz w:val="28"/>
                <w:szCs w:val="28"/>
              </w:rPr>
              <w:t xml:space="preserve"> </w:t>
            </w:r>
            <w:r>
              <w:rPr>
                <w:rFonts w:hint="eastAsia" w:asciiTheme="minorEastAsia" w:hAnsiTheme="minorEastAsia" w:eastAsiaTheme="minorEastAsia" w:cstheme="minorEastAsia"/>
                <w:spacing w:val="-2"/>
                <w:sz w:val="28"/>
                <w:szCs w:val="28"/>
              </w:rPr>
              <w:t>论与应用。其中，将基于GNN的逻辑规则推理与大模型的泛化推理结</w:t>
            </w:r>
            <w:r>
              <w:rPr>
                <w:rFonts w:hint="eastAsia" w:asciiTheme="minorEastAsia" w:hAnsiTheme="minorEastAsia" w:eastAsiaTheme="minorEastAsia" w:cstheme="minorEastAsia"/>
                <w:spacing w:val="-7"/>
                <w:sz w:val="28"/>
                <w:szCs w:val="28"/>
              </w:rPr>
              <w:t>合，可以有效完善大模型技术的幻觉、不可解释性的问题，推</w:t>
            </w:r>
            <w:r>
              <w:rPr>
                <w:rFonts w:hint="eastAsia" w:asciiTheme="minorEastAsia" w:hAnsiTheme="minorEastAsia" w:eastAsiaTheme="minorEastAsia" w:cstheme="minorEastAsia"/>
                <w:spacing w:val="-8"/>
                <w:sz w:val="28"/>
                <w:szCs w:val="28"/>
              </w:rPr>
              <w:t>进其在重</w:t>
            </w:r>
            <w:r>
              <w:rPr>
                <w:rFonts w:hint="eastAsia" w:asciiTheme="minorEastAsia" w:hAnsiTheme="minorEastAsia" w:eastAsiaTheme="minorEastAsia" w:cstheme="minorEastAsia"/>
                <w:spacing w:val="-4"/>
                <w:sz w:val="28"/>
                <w:szCs w:val="28"/>
              </w:rPr>
              <w:t>要行业领域的应用推广。</w:t>
            </w:r>
          </w:p>
          <w:p w14:paraId="181AB894">
            <w:pPr>
              <w:pStyle w:val="8"/>
              <w:keepNext w:val="0"/>
              <w:keepLines w:val="0"/>
              <w:pageBreakBefore w:val="0"/>
              <w:widowControl w:val="0"/>
              <w:kinsoku/>
              <w:wordWrap/>
              <w:overflowPunct/>
              <w:topLinePunct w:val="0"/>
              <w:autoSpaceDE/>
              <w:autoSpaceDN/>
              <w:bidi w:val="0"/>
              <w:adjustRightInd/>
              <w:snapToGrid/>
              <w:spacing w:before="72" w:line="320" w:lineRule="exact"/>
              <w:ind w:left="9" w:right="7" w:firstLine="56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（3）本成果将大幅度加速生产元素匹配、汇聚的速度和精度，对</w:t>
            </w:r>
            <w:r>
              <w:rPr>
                <w:rFonts w:hint="eastAsia" w:asciiTheme="minorEastAsia" w:hAnsiTheme="minorEastAsia" w:eastAsiaTheme="minorEastAsia" w:cstheme="minorEastAsia"/>
                <w:spacing w:val="-3"/>
                <w:sz w:val="28"/>
                <w:szCs w:val="28"/>
              </w:rPr>
              <w:t>制造业将产生巨大的影响，重塑产业形态。</w:t>
            </w:r>
          </w:p>
          <w:p w14:paraId="6056FA2E">
            <w:pPr>
              <w:pStyle w:val="8"/>
              <w:keepNext w:val="0"/>
              <w:keepLines w:val="0"/>
              <w:pageBreakBefore w:val="0"/>
              <w:widowControl w:val="0"/>
              <w:kinsoku/>
              <w:wordWrap/>
              <w:overflowPunct/>
              <w:topLinePunct w:val="0"/>
              <w:autoSpaceDE/>
              <w:autoSpaceDN/>
              <w:bidi w:val="0"/>
              <w:adjustRightInd/>
              <w:snapToGrid/>
              <w:spacing w:before="74" w:line="320" w:lineRule="exact"/>
              <w:ind w:left="7" w:right="7" w:firstLine="56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（4）智能制造机械设计大模型的全面推广将引领变革目前的制造</w:t>
            </w:r>
            <w:r>
              <w:rPr>
                <w:rFonts w:hint="eastAsia" w:asciiTheme="minorEastAsia" w:hAnsiTheme="minorEastAsia" w:eastAsiaTheme="minorEastAsia" w:cstheme="minorEastAsia"/>
                <w:spacing w:val="-6"/>
                <w:sz w:val="28"/>
                <w:szCs w:val="28"/>
              </w:rPr>
              <w:t>业交易方式。</w:t>
            </w:r>
          </w:p>
          <w:p w14:paraId="7CCBCB45">
            <w:pPr>
              <w:pStyle w:val="8"/>
              <w:keepNext w:val="0"/>
              <w:keepLines w:val="0"/>
              <w:pageBreakBefore w:val="0"/>
              <w:widowControl w:val="0"/>
              <w:kinsoku/>
              <w:wordWrap/>
              <w:overflowPunct/>
              <w:topLinePunct w:val="0"/>
              <w:autoSpaceDE/>
              <w:autoSpaceDN/>
              <w:bidi w:val="0"/>
              <w:adjustRightInd/>
              <w:snapToGrid/>
              <w:spacing w:before="71" w:line="320" w:lineRule="exact"/>
              <w:ind w:left="10" w:right="4" w:firstLine="474"/>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6"/>
                <w:sz w:val="28"/>
                <w:szCs w:val="28"/>
              </w:rPr>
              <w:t>3、在技术积累方面</w:t>
            </w:r>
            <w:r>
              <w:rPr>
                <w:rFonts w:hint="eastAsia" w:asciiTheme="minorEastAsia" w:hAnsiTheme="minorEastAsia" w:eastAsiaTheme="minorEastAsia" w:cstheme="minorEastAsia"/>
                <w:spacing w:val="-6"/>
                <w:sz w:val="28"/>
                <w:szCs w:val="28"/>
              </w:rPr>
              <w:t>，联系人从长期从事该方面的研究工</w:t>
            </w:r>
            <w:r>
              <w:rPr>
                <w:rFonts w:hint="eastAsia" w:asciiTheme="minorEastAsia" w:hAnsiTheme="minorEastAsia" w:eastAsiaTheme="minorEastAsia" w:cstheme="minorEastAsia"/>
                <w:spacing w:val="-7"/>
                <w:sz w:val="28"/>
                <w:szCs w:val="28"/>
              </w:rPr>
              <w:t>作，相关技</w:t>
            </w:r>
            <w:r>
              <w:rPr>
                <w:rFonts w:hint="eastAsia" w:asciiTheme="minorEastAsia" w:hAnsiTheme="minorEastAsia" w:eastAsiaTheme="minorEastAsia" w:cstheme="minorEastAsia"/>
                <w:spacing w:val="-4"/>
                <w:sz w:val="28"/>
                <w:szCs w:val="28"/>
              </w:rPr>
              <w:t>术已经在多家企业中实施应用。</w:t>
            </w:r>
          </w:p>
          <w:p w14:paraId="254B70F3">
            <w:pPr>
              <w:keepNext w:val="0"/>
              <w:keepLines w:val="0"/>
              <w:pageBreakBefore w:val="0"/>
              <w:widowControl w:val="0"/>
              <w:kinsoku/>
              <w:wordWrap/>
              <w:overflowPunct/>
              <w:topLinePunct w:val="0"/>
              <w:autoSpaceDE/>
              <w:autoSpaceDN/>
              <w:bidi w:val="0"/>
              <w:adjustRightInd/>
              <w:snapToGrid/>
              <w:spacing w:line="320" w:lineRule="exact"/>
              <w:ind w:firstLine="554" w:firstLineChars="200"/>
              <w:textAlignment w:val="auto"/>
              <w:rPr>
                <w:rFonts w:ascii="Times New Roman" w:hAnsi="Times New Roman" w:eastAsia="宋体" w:cs="Times New Roman"/>
                <w:bCs/>
                <w:sz w:val="28"/>
                <w:szCs w:val="21"/>
              </w:rPr>
            </w:pPr>
            <w:r>
              <w:rPr>
                <w:rFonts w:hint="eastAsia" w:asciiTheme="minorEastAsia" w:hAnsiTheme="minorEastAsia" w:eastAsiaTheme="minorEastAsia" w:cstheme="minorEastAsia"/>
                <w:b/>
                <w:bCs/>
                <w:spacing w:val="-2"/>
                <w:sz w:val="28"/>
                <w:szCs w:val="28"/>
              </w:rPr>
              <w:t>4</w:t>
            </w:r>
            <w:r>
              <w:rPr>
                <w:rFonts w:hint="eastAsia" w:asciiTheme="minorEastAsia" w:hAnsiTheme="minorEastAsia" w:eastAsiaTheme="minorEastAsia" w:cstheme="minorEastAsia"/>
                <w:b/>
                <w:bCs/>
                <w:spacing w:val="-28"/>
                <w:sz w:val="28"/>
                <w:szCs w:val="28"/>
              </w:rPr>
              <w:t xml:space="preserve"> </w:t>
            </w:r>
            <w:r>
              <w:rPr>
                <w:rFonts w:hint="eastAsia" w:asciiTheme="minorEastAsia" w:hAnsiTheme="minorEastAsia" w:eastAsiaTheme="minorEastAsia" w:cstheme="minorEastAsia"/>
                <w:b/>
                <w:bCs/>
                <w:spacing w:val="-2"/>
                <w:sz w:val="28"/>
                <w:szCs w:val="28"/>
              </w:rPr>
              <w:t>、在应用条件方面，</w:t>
            </w:r>
            <w:r>
              <w:rPr>
                <w:rFonts w:hint="eastAsia" w:asciiTheme="minorEastAsia" w:hAnsiTheme="minorEastAsia" w:eastAsiaTheme="minorEastAsia" w:cstheme="minorEastAsia"/>
                <w:spacing w:val="-2"/>
                <w:sz w:val="28"/>
                <w:szCs w:val="28"/>
              </w:rPr>
              <w:t>该成果主要运用于机械制造企业的产品设计</w:t>
            </w:r>
            <w:r>
              <w:rPr>
                <w:rFonts w:hint="eastAsia" w:asciiTheme="minorEastAsia" w:hAnsiTheme="minorEastAsia" w:eastAsiaTheme="minorEastAsia" w:cstheme="minorEastAsia"/>
                <w:spacing w:val="-10"/>
                <w:sz w:val="28"/>
                <w:szCs w:val="28"/>
              </w:rPr>
              <w:t>过程中，如：①大型智能智造企业，在机电、装</w:t>
            </w:r>
            <w:r>
              <w:rPr>
                <w:rFonts w:hint="eastAsia" w:asciiTheme="minorEastAsia" w:hAnsiTheme="minorEastAsia" w:eastAsiaTheme="minorEastAsia" w:cstheme="minorEastAsia"/>
                <w:spacing w:val="-11"/>
                <w:sz w:val="28"/>
                <w:szCs w:val="28"/>
              </w:rPr>
              <w:t>备、车船智造、新能源、</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pacing w:val="-10"/>
                <w:sz w:val="28"/>
                <w:szCs w:val="28"/>
              </w:rPr>
              <w:t>航空航天、军工等企业，帮助其降低成本，减少人</w:t>
            </w:r>
            <w:r>
              <w:rPr>
                <w:rFonts w:hint="eastAsia" w:asciiTheme="minorEastAsia" w:hAnsiTheme="minorEastAsia" w:eastAsiaTheme="minorEastAsia" w:cstheme="minorEastAsia"/>
                <w:spacing w:val="-11"/>
                <w:sz w:val="28"/>
                <w:szCs w:val="28"/>
              </w:rPr>
              <w:t>员数量。②中小企业、</w:t>
            </w:r>
            <w:r>
              <w:rPr>
                <w:rFonts w:hint="eastAsia" w:asciiTheme="minorEastAsia" w:hAnsiTheme="minorEastAsia" w:eastAsiaTheme="minorEastAsia" w:cstheme="minorEastAsia"/>
                <w:spacing w:val="-5"/>
                <w:sz w:val="28"/>
                <w:szCs w:val="28"/>
              </w:rPr>
              <w:t>个人用户，本成果开发的智造</w:t>
            </w:r>
            <w:r>
              <w:rPr>
                <w:rFonts w:hint="eastAsia" w:asciiTheme="minorEastAsia" w:hAnsiTheme="minorEastAsia" w:eastAsiaTheme="minorEastAsia" w:cstheme="minorEastAsia"/>
                <w:spacing w:val="-59"/>
                <w:sz w:val="28"/>
                <w:szCs w:val="28"/>
              </w:rPr>
              <w:t xml:space="preserve"> </w:t>
            </w:r>
            <w:r>
              <w:rPr>
                <w:rFonts w:hint="eastAsia" w:asciiTheme="minorEastAsia" w:hAnsiTheme="minorEastAsia" w:eastAsiaTheme="minorEastAsia" w:cstheme="minorEastAsia"/>
                <w:spacing w:val="-5"/>
                <w:sz w:val="28"/>
                <w:szCs w:val="28"/>
              </w:rPr>
              <w:t>AI 数据资源能力开放平台以</w:t>
            </w:r>
            <w:r>
              <w:rPr>
                <w:rFonts w:hint="eastAsia" w:asciiTheme="minorEastAsia" w:hAnsiTheme="minorEastAsia" w:eastAsiaTheme="minorEastAsia" w:cstheme="minorEastAsia"/>
                <w:spacing w:val="-46"/>
                <w:sz w:val="28"/>
                <w:szCs w:val="28"/>
              </w:rPr>
              <w:t xml:space="preserve"> </w:t>
            </w:r>
            <w:r>
              <w:rPr>
                <w:rFonts w:hint="eastAsia" w:asciiTheme="minorEastAsia" w:hAnsiTheme="minorEastAsia" w:eastAsiaTheme="minorEastAsia" w:cstheme="minorEastAsia"/>
                <w:spacing w:val="-5"/>
                <w:sz w:val="28"/>
                <w:szCs w:val="28"/>
              </w:rPr>
              <w:t>SaaS云服务</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pacing w:val="-8"/>
                <w:sz w:val="28"/>
                <w:szCs w:val="28"/>
              </w:rPr>
              <w:t>模式服务于中小企业，降本增效。对于个人创客用户， 还可以通过云平</w:t>
            </w:r>
            <w:r>
              <w:rPr>
                <w:rFonts w:hint="eastAsia" w:asciiTheme="minorEastAsia" w:hAnsiTheme="minorEastAsia" w:eastAsiaTheme="minorEastAsia" w:cstheme="minorEastAsia"/>
                <w:spacing w:val="8"/>
                <w:sz w:val="28"/>
                <w:szCs w:val="28"/>
              </w:rPr>
              <w:t xml:space="preserve"> </w:t>
            </w:r>
            <w:r>
              <w:rPr>
                <w:rFonts w:hint="eastAsia" w:asciiTheme="minorEastAsia" w:hAnsiTheme="minorEastAsia" w:eastAsiaTheme="minorEastAsia" w:cstheme="minorEastAsia"/>
                <w:spacing w:val="-4"/>
                <w:sz w:val="28"/>
                <w:szCs w:val="28"/>
              </w:rPr>
              <w:t>台使其能快速获得行业最新产业的零部件、整机供应链信息以及</w:t>
            </w:r>
            <w:r>
              <w:rPr>
                <w:rFonts w:hint="eastAsia" w:asciiTheme="minorEastAsia" w:hAnsiTheme="minorEastAsia" w:eastAsiaTheme="minorEastAsia" w:cstheme="minorEastAsia"/>
                <w:spacing w:val="-5"/>
                <w:sz w:val="28"/>
                <w:szCs w:val="28"/>
              </w:rPr>
              <w:t>产品规</w:t>
            </w:r>
            <w:r>
              <w:rPr>
                <w:rFonts w:hint="eastAsia" w:asciiTheme="minorEastAsia" w:hAnsiTheme="minorEastAsia" w:eastAsiaTheme="minorEastAsia" w:cstheme="minorEastAsia"/>
                <w:spacing w:val="-4"/>
                <w:sz w:val="28"/>
                <w:szCs w:val="28"/>
              </w:rPr>
              <w:t>格、最新工艺等技术资料，缩短产品开发周期，降低开发与制造成本。</w:t>
            </w:r>
          </w:p>
        </w:tc>
      </w:tr>
    </w:tbl>
    <w:p w14:paraId="50CF34E5">
      <w:pPr>
        <w:rPr>
          <w:rFonts w:hint="default" w:ascii="Times New Roman" w:hAnsi="Times New Roman" w:cs="Times New Roman"/>
        </w:rPr>
        <w:sectPr>
          <w:pgSz w:w="11905" w:h="16838"/>
          <w:pgMar w:top="1417" w:right="1531" w:bottom="1417" w:left="1531" w:header="0" w:footer="0" w:gutter="0"/>
          <w:paperSrc/>
          <w:cols w:space="0" w:num="1"/>
          <w:rtlGutter w:val="0"/>
          <w:docGrid w:linePitch="312" w:charSpace="0"/>
        </w:sectPr>
      </w:pPr>
    </w:p>
    <w:p w14:paraId="48965E36">
      <w:pP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编号11</w:t>
      </w:r>
    </w:p>
    <w:p w14:paraId="02FC154B">
      <w:pPr>
        <w:pStyle w:val="5"/>
        <w:widowControl w:val="0"/>
        <w:overflowPunct w:val="0"/>
        <w:autoSpaceDE w:val="0"/>
        <w:autoSpaceDN w:val="0"/>
        <w:adjustRightInd w:val="0"/>
        <w:snapToGrid w:val="0"/>
        <w:spacing w:before="120" w:beforeAutospacing="0" w:after="240" w:afterAutospacing="0" w:line="570" w:lineRule="exact"/>
        <w:jc w:val="center"/>
        <w:rPr>
          <w:rFonts w:hint="default" w:ascii="Times New Roman" w:hAnsi="Times New Roman" w:eastAsia="方正小标宋简体" w:cs="Times New Roman"/>
          <w:kern w:val="2"/>
          <w:sz w:val="44"/>
          <w:szCs w:val="44"/>
        </w:rPr>
      </w:pPr>
      <w:r>
        <w:rPr>
          <w:rFonts w:hint="default" w:ascii="Times New Roman" w:hAnsi="Times New Roman" w:eastAsia="方正小标宋简体" w:cs="Times New Roman"/>
          <w:kern w:val="2"/>
          <w:sz w:val="44"/>
          <w:szCs w:val="44"/>
          <w:lang w:val="en-US" w:eastAsia="zh-CN"/>
        </w:rPr>
        <w:t>202</w:t>
      </w:r>
      <w:r>
        <w:rPr>
          <w:rFonts w:hint="eastAsia" w:ascii="Times New Roman" w:hAnsi="Times New Roman" w:eastAsia="方正小标宋简体" w:cs="Times New Roman"/>
          <w:kern w:val="2"/>
          <w:sz w:val="44"/>
          <w:szCs w:val="44"/>
          <w:lang w:val="en-US" w:eastAsia="zh-CN"/>
        </w:rPr>
        <w:t>5</w:t>
      </w:r>
      <w:r>
        <w:rPr>
          <w:rFonts w:hint="default" w:ascii="Times New Roman" w:hAnsi="Times New Roman" w:eastAsia="方正小标宋简体" w:cs="Times New Roman"/>
          <w:kern w:val="2"/>
          <w:sz w:val="44"/>
          <w:szCs w:val="44"/>
          <w:lang w:val="en-US" w:eastAsia="zh-CN"/>
        </w:rPr>
        <w:t>年钟楼区“揭榜挂帅”</w:t>
      </w:r>
      <w:r>
        <w:rPr>
          <w:rFonts w:hint="eastAsia" w:ascii="Times New Roman" w:hAnsi="Times New Roman" w:eastAsia="方正小标宋简体" w:cs="Times New Roman"/>
          <w:kern w:val="2"/>
          <w:sz w:val="44"/>
          <w:szCs w:val="44"/>
          <w:lang w:val="en-US" w:eastAsia="zh-CN"/>
        </w:rPr>
        <w:t>应用场景</w:t>
      </w:r>
      <w:r>
        <w:rPr>
          <w:rFonts w:hint="default" w:ascii="Times New Roman" w:hAnsi="Times New Roman" w:eastAsia="方正小标宋简体" w:cs="Times New Roman"/>
          <w:kern w:val="2"/>
          <w:sz w:val="44"/>
          <w:szCs w:val="44"/>
          <w:lang w:val="en-US" w:eastAsia="zh-CN"/>
        </w:rPr>
        <w:t>成果征集表</w:t>
      </w:r>
    </w:p>
    <w:tbl>
      <w:tblPr>
        <w:tblStyle w:val="6"/>
        <w:tblW w:w="505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452"/>
        <w:gridCol w:w="2939"/>
        <w:gridCol w:w="1522"/>
        <w:gridCol w:w="3042"/>
      </w:tblGrid>
      <w:tr w14:paraId="24053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798" w:type="dxa"/>
            <w:noWrap w:val="0"/>
            <w:vAlign w:val="center"/>
          </w:tcPr>
          <w:p w14:paraId="5064D39F">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单位名称</w:t>
            </w:r>
          </w:p>
        </w:tc>
        <w:tc>
          <w:tcPr>
            <w:tcW w:w="3357" w:type="dxa"/>
            <w:noWrap w:val="0"/>
            <w:vAlign w:val="center"/>
          </w:tcPr>
          <w:p w14:paraId="58FEA93F">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val="en-US" w:eastAsia="zh-CN"/>
              </w:rPr>
              <w:t>上海交通大学国家技术转移中心</w:t>
            </w:r>
          </w:p>
        </w:tc>
        <w:tc>
          <w:tcPr>
            <w:tcW w:w="1890" w:type="dxa"/>
            <w:noWrap w:val="0"/>
            <w:vAlign w:val="center"/>
          </w:tcPr>
          <w:p w14:paraId="56215993">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统一社会信用代码</w:t>
            </w:r>
          </w:p>
        </w:tc>
        <w:tc>
          <w:tcPr>
            <w:tcW w:w="1895" w:type="dxa"/>
            <w:noWrap w:val="0"/>
            <w:vAlign w:val="center"/>
          </w:tcPr>
          <w:p w14:paraId="22B7E78F">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1210000042500615X0</w:t>
            </w:r>
          </w:p>
        </w:tc>
      </w:tr>
      <w:tr w14:paraId="4BE0A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98" w:type="dxa"/>
            <w:noWrap w:val="0"/>
            <w:vAlign w:val="center"/>
          </w:tcPr>
          <w:p w14:paraId="7562B811">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地    址</w:t>
            </w:r>
          </w:p>
        </w:tc>
        <w:tc>
          <w:tcPr>
            <w:tcW w:w="3357" w:type="dxa"/>
            <w:noWrap w:val="0"/>
            <w:vAlign w:val="center"/>
          </w:tcPr>
          <w:p w14:paraId="557A1A53">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4"/>
                <w:szCs w:val="20"/>
              </w:rPr>
              <w:t>上海市闵行区东川路800号</w:t>
            </w:r>
          </w:p>
        </w:tc>
        <w:tc>
          <w:tcPr>
            <w:tcW w:w="1890" w:type="dxa"/>
            <w:noWrap w:val="0"/>
            <w:vAlign w:val="center"/>
          </w:tcPr>
          <w:p w14:paraId="479622B5">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联 系 人</w:t>
            </w:r>
          </w:p>
        </w:tc>
        <w:tc>
          <w:tcPr>
            <w:tcW w:w="1895" w:type="dxa"/>
            <w:noWrap w:val="0"/>
            <w:vAlign w:val="center"/>
          </w:tcPr>
          <w:p w14:paraId="2F2D1153">
            <w:pPr>
              <w:spacing w:line="320" w:lineRule="exact"/>
              <w:jc w:val="center"/>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王东岑</w:t>
            </w:r>
          </w:p>
        </w:tc>
      </w:tr>
      <w:tr w14:paraId="3B320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98" w:type="dxa"/>
            <w:noWrap w:val="0"/>
            <w:vAlign w:val="center"/>
          </w:tcPr>
          <w:p w14:paraId="32E6789F">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联系电话</w:t>
            </w:r>
          </w:p>
        </w:tc>
        <w:tc>
          <w:tcPr>
            <w:tcW w:w="3357" w:type="dxa"/>
            <w:noWrap w:val="0"/>
            <w:vAlign w:val="center"/>
          </w:tcPr>
          <w:p w14:paraId="17D4FE2E">
            <w:pPr>
              <w:spacing w:line="320" w:lineRule="exact"/>
              <w:jc w:val="center"/>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13817711852</w:t>
            </w:r>
          </w:p>
        </w:tc>
        <w:tc>
          <w:tcPr>
            <w:tcW w:w="1890" w:type="dxa"/>
            <w:noWrap w:val="0"/>
            <w:vAlign w:val="center"/>
          </w:tcPr>
          <w:p w14:paraId="5978FB61">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电子邮件</w:t>
            </w:r>
          </w:p>
        </w:tc>
        <w:tc>
          <w:tcPr>
            <w:tcW w:w="1895" w:type="dxa"/>
            <w:noWrap w:val="0"/>
            <w:vAlign w:val="center"/>
          </w:tcPr>
          <w:p w14:paraId="538FCAEB">
            <w:pPr>
              <w:spacing w:line="320" w:lineRule="exact"/>
              <w:jc w:val="center"/>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rPr>
              <w:t>wangdongcen@sjtu.edu.cn</w:t>
            </w:r>
          </w:p>
        </w:tc>
      </w:tr>
      <w:tr w14:paraId="66439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798" w:type="dxa"/>
            <w:noWrap w:val="0"/>
            <w:vAlign w:val="center"/>
          </w:tcPr>
          <w:p w14:paraId="00C3D6B8">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所属领域</w:t>
            </w:r>
          </w:p>
        </w:tc>
        <w:tc>
          <w:tcPr>
            <w:tcW w:w="7142" w:type="dxa"/>
            <w:gridSpan w:val="3"/>
            <w:noWrap w:val="0"/>
            <w:vAlign w:val="center"/>
          </w:tcPr>
          <w:p w14:paraId="7DF627A9">
            <w:pPr>
              <w:spacing w:line="320" w:lineRule="exact"/>
              <w:jc w:val="left"/>
              <w:rPr>
                <w:rFonts w:hint="default" w:ascii="Times New Roman" w:hAnsi="Times New Roman" w:eastAsia="宋体" w:cs="Times New Roman"/>
                <w:bCs/>
                <w:sz w:val="28"/>
                <w:szCs w:val="21"/>
                <w:lang w:val="en-US" w:eastAsia="zh-CN"/>
              </w:rPr>
            </w:pPr>
            <w:r>
              <w:rPr>
                <w:rFonts w:hint="default" w:ascii="Times New Roman" w:hAnsi="Times New Roman" w:eastAsia="宋体" w:cs="Times New Roman"/>
                <w:bCs/>
                <w:sz w:val="28"/>
                <w:szCs w:val="21"/>
                <w:lang w:eastAsia="zh-CN"/>
              </w:rPr>
              <w:t>□人工智能</w:t>
            </w:r>
            <w:r>
              <w:rPr>
                <w:rFonts w:hint="eastAsia" w:ascii="Times New Roman" w:hAnsi="Times New Roman" w:eastAsia="宋体" w:cs="Times New Roman"/>
                <w:b/>
                <w:bCs w:val="0"/>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数字经济</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rPr>
              <w:t xml:space="preserve"> □</w:t>
            </w:r>
            <w:r>
              <w:rPr>
                <w:rFonts w:hint="eastAsia" w:ascii="Times New Roman" w:hAnsi="Times New Roman" w:eastAsia="宋体" w:cs="Times New Roman"/>
                <w:bCs/>
                <w:sz w:val="28"/>
                <w:szCs w:val="21"/>
                <w:lang w:eastAsia="zh-CN"/>
              </w:rPr>
              <w:t>先进半导体</w:t>
            </w:r>
            <w:r>
              <w:rPr>
                <w:rFonts w:hint="eastAsia" w:ascii="Times New Roman" w:hAnsi="Times New Roman" w:eastAsia="宋体" w:cs="Times New Roman"/>
                <w:bCs/>
                <w:sz w:val="28"/>
                <w:szCs w:val="21"/>
                <w:lang w:val="en-US" w:eastAsia="zh-CN"/>
              </w:rPr>
              <w:t xml:space="preserve">   </w:t>
            </w:r>
            <w:r>
              <w:rPr>
                <w:rFonts w:hint="eastAsia" w:ascii="Times New Roman" w:hAnsi="Times New Roman" w:eastAsia="宋体" w:cs="Times New Roman"/>
                <w:bCs/>
                <w:sz w:val="28"/>
                <w:szCs w:val="21"/>
                <w:lang w:eastAsia="zh-CN"/>
              </w:rPr>
              <w:t>☑</w:t>
            </w:r>
            <w:r>
              <w:rPr>
                <w:rFonts w:hint="default" w:ascii="Times New Roman" w:hAnsi="Times New Roman" w:eastAsia="宋体" w:cs="Times New Roman"/>
                <w:bCs/>
                <w:sz w:val="28"/>
                <w:szCs w:val="21"/>
              </w:rPr>
              <w:t>新</w:t>
            </w:r>
            <w:r>
              <w:rPr>
                <w:rFonts w:hint="eastAsia" w:ascii="Times New Roman" w:hAnsi="Times New Roman" w:eastAsia="宋体" w:cs="Times New Roman"/>
                <w:bCs/>
                <w:sz w:val="28"/>
                <w:szCs w:val="21"/>
                <w:lang w:eastAsia="zh-CN"/>
              </w:rPr>
              <w:t>材料</w:t>
            </w:r>
            <w:r>
              <w:rPr>
                <w:rFonts w:hint="default" w:ascii="Times New Roman" w:hAnsi="Times New Roman" w:eastAsia="宋体" w:cs="Times New Roman"/>
                <w:bCs/>
                <w:sz w:val="28"/>
                <w:szCs w:val="21"/>
              </w:rPr>
              <w:t xml:space="preserve"> </w:t>
            </w:r>
          </w:p>
          <w:p w14:paraId="35AAB719">
            <w:pPr>
              <w:spacing w:line="320" w:lineRule="exact"/>
              <w:jc w:val="left"/>
              <w:rPr>
                <w:rFonts w:hint="default" w:ascii="Times New Roman" w:hAnsi="Times New Roman" w:eastAsia="宋体" w:cs="Times New Roman"/>
                <w:bCs/>
                <w:sz w:val="28"/>
                <w:szCs w:val="21"/>
                <w:lang w:val="en-US"/>
              </w:rPr>
            </w:pP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新型储能</w:t>
            </w:r>
            <w:r>
              <w:rPr>
                <w:rFonts w:hint="default" w:ascii="Times New Roman" w:hAnsi="Times New Roman" w:eastAsia="宋体" w:cs="Times New Roman"/>
                <w:bCs/>
                <w:sz w:val="28"/>
                <w:szCs w:val="21"/>
              </w:rPr>
              <w:t xml:space="preserve"> </w:t>
            </w:r>
            <w:r>
              <w:rPr>
                <w:rFonts w:hint="default" w:ascii="Times New Roman" w:hAnsi="Times New Roman" w:eastAsia="宋体" w:cs="Times New Roman"/>
                <w:bCs/>
                <w:sz w:val="28"/>
                <w:szCs w:val="21"/>
                <w:lang w:val="en-US" w:eastAsia="zh-CN"/>
              </w:rPr>
              <w:t xml:space="preserve">   </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合成生物</w:t>
            </w:r>
            <w:r>
              <w:rPr>
                <w:rFonts w:hint="default" w:ascii="Times New Roman" w:hAnsi="Times New Roman" w:eastAsia="宋体" w:cs="Times New Roman"/>
                <w:bCs/>
                <w:sz w:val="28"/>
                <w:szCs w:val="21"/>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新能源汽车</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循环制造</w:t>
            </w:r>
          </w:p>
          <w:p w14:paraId="184A1E3C">
            <w:pPr>
              <w:spacing w:line="320" w:lineRule="exact"/>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新一代信息技术</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rPr>
              <w:t>□</w:t>
            </w:r>
            <w:r>
              <w:rPr>
                <w:rFonts w:hint="eastAsia" w:ascii="Times New Roman" w:hAnsi="Times New Roman" w:eastAsia="宋体" w:cs="Times New Roman"/>
                <w:bCs/>
                <w:sz w:val="28"/>
                <w:szCs w:val="21"/>
                <w:lang w:eastAsia="zh-CN"/>
              </w:rPr>
              <w:t>高端装备</w:t>
            </w:r>
          </w:p>
        </w:tc>
      </w:tr>
      <w:tr w14:paraId="1529C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98" w:type="dxa"/>
            <w:noWrap w:val="0"/>
            <w:vAlign w:val="center"/>
          </w:tcPr>
          <w:p w14:paraId="59350222">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榜额</w:t>
            </w:r>
          </w:p>
        </w:tc>
        <w:tc>
          <w:tcPr>
            <w:tcW w:w="7142" w:type="dxa"/>
            <w:gridSpan w:val="3"/>
            <w:noWrap w:val="0"/>
            <w:vAlign w:val="center"/>
          </w:tcPr>
          <w:p w14:paraId="1CC93D5A">
            <w:pPr>
              <w:spacing w:line="320" w:lineRule="exact"/>
              <w:ind w:left="160" w:leftChars="50"/>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200万</w:t>
            </w:r>
          </w:p>
        </w:tc>
      </w:tr>
      <w:tr w14:paraId="21F2C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798" w:type="dxa"/>
            <w:noWrap w:val="0"/>
            <w:vAlign w:val="center"/>
          </w:tcPr>
          <w:p w14:paraId="4A8CCB8D">
            <w:pPr>
              <w:spacing w:line="320" w:lineRule="exact"/>
              <w:jc w:val="center"/>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场景</w:t>
            </w:r>
            <w:r>
              <w:rPr>
                <w:rFonts w:hint="default" w:ascii="Times New Roman" w:hAnsi="Times New Roman" w:eastAsia="宋体" w:cs="Times New Roman"/>
                <w:bCs/>
                <w:sz w:val="28"/>
                <w:szCs w:val="21"/>
              </w:rPr>
              <w:t>成果名称</w:t>
            </w:r>
          </w:p>
        </w:tc>
        <w:tc>
          <w:tcPr>
            <w:tcW w:w="7142" w:type="dxa"/>
            <w:gridSpan w:val="3"/>
            <w:noWrap w:val="0"/>
            <w:vAlign w:val="center"/>
          </w:tcPr>
          <w:p w14:paraId="2C88B052">
            <w:pPr>
              <w:spacing w:line="320" w:lineRule="exact"/>
              <w:ind w:left="160" w:leftChars="50"/>
              <w:jc w:val="center"/>
              <w:rPr>
                <w:rFonts w:hint="default" w:ascii="Times New Roman" w:hAnsi="Times New Roman" w:eastAsia="宋体" w:cs="Times New Roman"/>
                <w:bCs/>
                <w:sz w:val="28"/>
                <w:szCs w:val="21"/>
              </w:rPr>
            </w:pPr>
            <w:r>
              <w:rPr>
                <w:b w:val="0"/>
                <w:bCs w:val="0"/>
                <w:color w:val="auto"/>
                <w:spacing w:val="-3"/>
                <w:sz w:val="28"/>
                <w:szCs w:val="28"/>
              </w:rPr>
              <w:t>轻质高强高模高阻尼烯碳铝合金</w:t>
            </w:r>
          </w:p>
        </w:tc>
      </w:tr>
      <w:tr w14:paraId="00BED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1798" w:type="dxa"/>
            <w:noWrap w:val="0"/>
            <w:vAlign w:val="center"/>
          </w:tcPr>
          <w:p w14:paraId="70A36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成果简介</w:t>
            </w:r>
          </w:p>
        </w:tc>
        <w:tc>
          <w:tcPr>
            <w:tcW w:w="7142" w:type="dxa"/>
            <w:gridSpan w:val="3"/>
            <w:noWrap w:val="0"/>
            <w:vAlign w:val="top"/>
          </w:tcPr>
          <w:p w14:paraId="25084EEE">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rPr>
                <w:color w:val="auto"/>
                <w:sz w:val="28"/>
                <w:szCs w:val="28"/>
              </w:rPr>
            </w:pPr>
            <w:r>
              <w:rPr>
                <w:b/>
                <w:bCs/>
                <w:color w:val="auto"/>
                <w:spacing w:val="-5"/>
                <w:sz w:val="28"/>
                <w:szCs w:val="28"/>
              </w:rPr>
              <w:t>技木详述</w:t>
            </w:r>
          </w:p>
          <w:p w14:paraId="014554FE">
            <w:pPr>
              <w:pStyle w:val="8"/>
              <w:keepNext w:val="0"/>
              <w:keepLines w:val="0"/>
              <w:pageBreakBefore w:val="0"/>
              <w:widowControl w:val="0"/>
              <w:kinsoku/>
              <w:wordWrap/>
              <w:overflowPunct/>
              <w:topLinePunct w:val="0"/>
              <w:autoSpaceDE/>
              <w:autoSpaceDN/>
              <w:bidi w:val="0"/>
              <w:adjustRightInd/>
              <w:snapToGrid/>
              <w:spacing w:line="360" w:lineRule="exact"/>
              <w:ind w:right="0" w:firstLine="560" w:firstLineChars="200"/>
              <w:jc w:val="left"/>
              <w:textAlignment w:val="auto"/>
              <w:rPr>
                <w:color w:val="auto"/>
                <w:sz w:val="28"/>
                <w:szCs w:val="28"/>
              </w:rPr>
            </w:pPr>
            <w:r>
              <w:rPr>
                <w:color w:val="auto"/>
                <w:sz w:val="28"/>
                <w:szCs w:val="28"/>
              </w:rPr>
              <w:t>创新的仿生复合化原理和片状粉末冶金技术，通过纳米叠层设计原理，突破了碳纳米管和</w:t>
            </w:r>
            <w:r>
              <w:rPr>
                <w:color w:val="auto"/>
                <w:spacing w:val="17"/>
                <w:sz w:val="28"/>
                <w:szCs w:val="28"/>
              </w:rPr>
              <w:t xml:space="preserve"> </w:t>
            </w:r>
            <w:r>
              <w:rPr>
                <w:color w:val="auto"/>
                <w:sz w:val="28"/>
                <w:szCs w:val="28"/>
              </w:rPr>
              <w:t>石墨烯均匀复合与界面反应调控等关键科学技术难题。</w:t>
            </w:r>
          </w:p>
          <w:p w14:paraId="67DF759D">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rPr>
                <w:color w:val="auto"/>
                <w:sz w:val="28"/>
                <w:szCs w:val="28"/>
              </w:rPr>
            </w:pPr>
            <w:r>
              <w:rPr>
                <w:b/>
                <w:bCs/>
                <w:color w:val="auto"/>
                <w:sz w:val="28"/>
                <w:szCs w:val="28"/>
              </w:rPr>
              <w:t>技术优势</w:t>
            </w:r>
          </w:p>
          <w:p w14:paraId="48EB7662">
            <w:pPr>
              <w:pStyle w:val="8"/>
              <w:keepNext w:val="0"/>
              <w:keepLines w:val="0"/>
              <w:pageBreakBefore w:val="0"/>
              <w:widowControl w:val="0"/>
              <w:kinsoku/>
              <w:wordWrap/>
              <w:overflowPunct/>
              <w:topLinePunct w:val="0"/>
              <w:autoSpaceDE/>
              <w:autoSpaceDN/>
              <w:bidi w:val="0"/>
              <w:adjustRightInd/>
              <w:snapToGrid/>
              <w:spacing w:line="360" w:lineRule="exact"/>
              <w:ind w:right="0" w:firstLine="560" w:firstLineChars="200"/>
              <w:jc w:val="left"/>
              <w:textAlignment w:val="auto"/>
              <w:rPr>
                <w:rFonts w:ascii="宋体" w:hAnsi="宋体" w:eastAsia="宋体" w:cs="宋体"/>
                <w:color w:val="auto"/>
                <w:sz w:val="28"/>
                <w:szCs w:val="28"/>
              </w:rPr>
            </w:pPr>
            <w:r>
              <w:rPr>
                <w:rFonts w:ascii="宋体" w:hAnsi="宋体" w:eastAsia="宋体" w:cs="宋体"/>
                <w:color w:val="auto"/>
                <w:sz w:val="28"/>
                <w:szCs w:val="28"/>
              </w:rPr>
              <w:t>突破铝合金与纳米碳的复合制备、组分/性能调控、变形加工、热处理等关键技术，国际上  第一篇报道石墨烯对铝合金强化效益的研究论文，中国第一项石墨烯强化铝合金授权发明专利；</w:t>
            </w:r>
          </w:p>
          <w:p w14:paraId="02AF9691">
            <w:pPr>
              <w:pStyle w:val="8"/>
              <w:keepNext w:val="0"/>
              <w:keepLines w:val="0"/>
              <w:pageBreakBefore w:val="0"/>
              <w:widowControl w:val="0"/>
              <w:kinsoku/>
              <w:wordWrap/>
              <w:overflowPunct/>
              <w:topLinePunct w:val="0"/>
              <w:autoSpaceDE/>
              <w:autoSpaceDN/>
              <w:bidi w:val="0"/>
              <w:adjustRightInd/>
              <w:snapToGrid/>
              <w:spacing w:line="360" w:lineRule="exact"/>
              <w:ind w:right="0" w:firstLine="560" w:firstLineChars="200"/>
              <w:jc w:val="left"/>
              <w:textAlignment w:val="auto"/>
              <w:rPr>
                <w:rFonts w:ascii="宋体" w:hAnsi="宋体" w:eastAsia="宋体" w:cs="宋体"/>
                <w:color w:val="auto"/>
                <w:sz w:val="28"/>
                <w:szCs w:val="28"/>
              </w:rPr>
            </w:pPr>
            <w:r>
              <w:rPr>
                <w:rFonts w:ascii="宋体" w:hAnsi="宋体" w:eastAsia="宋体" w:cs="宋体"/>
                <w:color w:val="auto"/>
                <w:sz w:val="28"/>
                <w:szCs w:val="28"/>
              </w:rPr>
              <w:t>实现200kg级大规格粉末冶金锭坯和工业规格热挤压型材制备与加工；</w:t>
            </w:r>
          </w:p>
          <w:p w14:paraId="00F6935F">
            <w:pPr>
              <w:pStyle w:val="8"/>
              <w:keepNext w:val="0"/>
              <w:keepLines w:val="0"/>
              <w:pageBreakBefore w:val="0"/>
              <w:widowControl w:val="0"/>
              <w:kinsoku/>
              <w:wordWrap/>
              <w:overflowPunct/>
              <w:topLinePunct w:val="0"/>
              <w:autoSpaceDE/>
              <w:autoSpaceDN/>
              <w:bidi w:val="0"/>
              <w:adjustRightInd/>
              <w:snapToGrid/>
              <w:spacing w:line="360" w:lineRule="exact"/>
              <w:ind w:right="0" w:firstLine="560" w:firstLineChars="200"/>
              <w:jc w:val="left"/>
              <w:textAlignment w:val="auto"/>
              <w:rPr>
                <w:rFonts w:ascii="宋体" w:hAnsi="宋体" w:eastAsia="宋体" w:cs="宋体"/>
                <w:color w:val="auto"/>
                <w:sz w:val="28"/>
                <w:szCs w:val="28"/>
              </w:rPr>
            </w:pPr>
            <w:r>
              <w:rPr>
                <w:rFonts w:ascii="宋体" w:hAnsi="宋体" w:eastAsia="宋体" w:cs="宋体"/>
                <w:color w:val="auto"/>
                <w:sz w:val="28"/>
                <w:szCs w:val="28"/>
              </w:rPr>
              <w:t>在国际期刊上发表研究论文30余篇，授权中国发明专利10余项。</w:t>
            </w:r>
          </w:p>
          <w:p w14:paraId="57C17F50">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rPr>
                <w:color w:val="auto"/>
                <w:sz w:val="28"/>
                <w:szCs w:val="28"/>
              </w:rPr>
            </w:pPr>
            <w:r>
              <w:rPr>
                <w:b/>
                <w:bCs/>
                <w:color w:val="auto"/>
                <w:spacing w:val="-5"/>
                <w:sz w:val="28"/>
                <w:szCs w:val="28"/>
              </w:rPr>
              <w:t>效果指标</w:t>
            </w:r>
          </w:p>
          <w:p w14:paraId="763C6E23">
            <w:pPr>
              <w:pStyle w:val="8"/>
              <w:keepNext w:val="0"/>
              <w:keepLines w:val="0"/>
              <w:pageBreakBefore w:val="0"/>
              <w:widowControl w:val="0"/>
              <w:kinsoku/>
              <w:wordWrap/>
              <w:overflowPunct/>
              <w:topLinePunct w:val="0"/>
              <w:autoSpaceDE/>
              <w:autoSpaceDN/>
              <w:bidi w:val="0"/>
              <w:adjustRightInd/>
              <w:snapToGrid/>
              <w:spacing w:line="360" w:lineRule="exact"/>
              <w:ind w:right="0" w:firstLine="560" w:firstLineChars="200"/>
              <w:jc w:val="left"/>
              <w:textAlignment w:val="auto"/>
              <w:rPr>
                <w:rFonts w:ascii="宋体" w:hAnsi="宋体" w:eastAsia="宋体" w:cs="宋体"/>
                <w:color w:val="auto"/>
                <w:sz w:val="28"/>
                <w:szCs w:val="28"/>
              </w:rPr>
            </w:pPr>
            <w:r>
              <w:rPr>
                <w:rFonts w:ascii="宋体" w:hAnsi="宋体" w:eastAsia="宋体" w:cs="宋体"/>
                <w:color w:val="auto"/>
                <w:sz w:val="28"/>
                <w:szCs w:val="28"/>
              </w:rPr>
              <w:t>技术优势(与铝合金基体相比):强度提升15～25%;模量提升20～30%;阻尼性能提高1～2倍；减重10～20%。</w:t>
            </w:r>
          </w:p>
          <w:p w14:paraId="24641A61">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rPr>
                <w:color w:val="auto"/>
                <w:sz w:val="28"/>
                <w:szCs w:val="28"/>
              </w:rPr>
            </w:pPr>
            <w:r>
              <w:rPr>
                <w:b/>
                <w:bCs/>
                <w:color w:val="auto"/>
                <w:spacing w:val="-5"/>
                <w:sz w:val="28"/>
                <w:szCs w:val="28"/>
              </w:rPr>
              <w:t>案例描述</w:t>
            </w:r>
          </w:p>
          <w:p w14:paraId="12C96088">
            <w:pPr>
              <w:pStyle w:val="8"/>
              <w:keepNext w:val="0"/>
              <w:keepLines w:val="0"/>
              <w:pageBreakBefore w:val="0"/>
              <w:widowControl w:val="0"/>
              <w:kinsoku/>
              <w:wordWrap/>
              <w:overflowPunct/>
              <w:topLinePunct w:val="0"/>
              <w:autoSpaceDE/>
              <w:autoSpaceDN/>
              <w:bidi w:val="0"/>
              <w:adjustRightInd/>
              <w:snapToGrid/>
              <w:spacing w:line="360" w:lineRule="exact"/>
              <w:ind w:right="0" w:firstLine="560" w:firstLineChars="200"/>
              <w:jc w:val="left"/>
              <w:textAlignment w:val="auto"/>
              <w:rPr>
                <w:rFonts w:ascii="宋体" w:hAnsi="宋体" w:eastAsia="宋体" w:cs="宋体"/>
                <w:color w:val="auto"/>
                <w:sz w:val="28"/>
                <w:szCs w:val="28"/>
              </w:rPr>
            </w:pPr>
            <w:r>
              <w:rPr>
                <w:rFonts w:ascii="宋体" w:hAnsi="宋体" w:eastAsia="宋体" w:cs="宋体"/>
                <w:color w:val="auto"/>
                <w:sz w:val="28"/>
                <w:szCs w:val="28"/>
              </w:rPr>
              <w:t>结构轻量化-高铁等轨道交通运输领域；航空航天装备零部件；汽车零部件。</w:t>
            </w:r>
          </w:p>
          <w:p w14:paraId="5CE9D5E9">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bCs/>
                <w:sz w:val="28"/>
                <w:szCs w:val="21"/>
              </w:rPr>
            </w:pPr>
            <w:r>
              <w:rPr>
                <w:b/>
                <w:bCs/>
                <w:color w:val="auto"/>
                <w:spacing w:val="-4"/>
                <w:sz w:val="28"/>
                <w:szCs w:val="28"/>
              </w:rPr>
              <w:t>应用</w:t>
            </w:r>
            <w:r>
              <w:rPr>
                <w:rFonts w:hint="eastAsia"/>
                <w:b/>
                <w:bCs/>
                <w:color w:val="auto"/>
                <w:spacing w:val="-4"/>
                <w:sz w:val="28"/>
                <w:szCs w:val="28"/>
                <w:lang w:eastAsia="zh-CN"/>
              </w:rPr>
              <w:t>行业：</w:t>
            </w:r>
            <w:r>
              <w:rPr>
                <w:rFonts w:ascii="宋体" w:hAnsi="宋体" w:eastAsia="宋体" w:cs="宋体"/>
                <w:color w:val="auto"/>
                <w:sz w:val="28"/>
                <w:szCs w:val="28"/>
                <w:lang w:val="en-US" w:eastAsia="en-US"/>
              </w:rPr>
              <w:t>新材料</w:t>
            </w:r>
          </w:p>
        </w:tc>
      </w:tr>
    </w:tbl>
    <w:p w14:paraId="56F90620">
      <w:pPr>
        <w:rPr>
          <w:rFonts w:hint="default" w:ascii="Times New Roman" w:hAnsi="Times New Roman" w:cs="Times New Roman"/>
        </w:rPr>
        <w:sectPr>
          <w:pgSz w:w="11905" w:h="16838"/>
          <w:pgMar w:top="1417" w:right="1531" w:bottom="1417" w:left="1531" w:header="0" w:footer="0" w:gutter="0"/>
          <w:paperSrc/>
          <w:cols w:space="0" w:num="1"/>
          <w:rtlGutter w:val="0"/>
          <w:docGrid w:linePitch="312" w:charSpace="0"/>
        </w:sectPr>
      </w:pPr>
    </w:p>
    <w:p w14:paraId="199D4731">
      <w:pPr>
        <w:rPr>
          <w:rFonts w:hint="default" w:ascii="Times New Roman" w:hAnsi="Times New Roman" w:eastAsia="方正小标宋简体" w:cs="Times New Roman"/>
          <w:kern w:val="2"/>
          <w:sz w:val="44"/>
          <w:szCs w:val="44"/>
          <w:lang w:val="en-US" w:eastAsia="zh-CN"/>
        </w:rPr>
      </w:pPr>
      <w:r>
        <w:rPr>
          <w:rFonts w:hint="eastAsia" w:ascii="Times New Roman" w:hAnsi="Times New Roman" w:eastAsia="黑体" w:cs="Times New Roman"/>
          <w:sz w:val="32"/>
          <w:szCs w:val="32"/>
          <w:lang w:val="en-US" w:eastAsia="zh-CN"/>
        </w:rPr>
        <w:t>编号12</w:t>
      </w:r>
    </w:p>
    <w:p w14:paraId="6BD0BADB">
      <w:pPr>
        <w:pStyle w:val="5"/>
        <w:widowControl w:val="0"/>
        <w:overflowPunct w:val="0"/>
        <w:autoSpaceDE w:val="0"/>
        <w:autoSpaceDN w:val="0"/>
        <w:adjustRightInd w:val="0"/>
        <w:snapToGrid w:val="0"/>
        <w:spacing w:before="120" w:beforeAutospacing="0" w:after="240" w:afterAutospacing="0" w:line="570" w:lineRule="exact"/>
        <w:jc w:val="center"/>
        <w:rPr>
          <w:rFonts w:hint="default" w:ascii="Times New Roman" w:hAnsi="Times New Roman" w:eastAsia="方正小标宋简体" w:cs="Times New Roman"/>
          <w:kern w:val="2"/>
          <w:sz w:val="44"/>
          <w:szCs w:val="44"/>
        </w:rPr>
      </w:pPr>
      <w:r>
        <w:rPr>
          <w:rFonts w:hint="default" w:ascii="Times New Roman" w:hAnsi="Times New Roman" w:eastAsia="方正小标宋简体" w:cs="Times New Roman"/>
          <w:kern w:val="2"/>
          <w:sz w:val="44"/>
          <w:szCs w:val="44"/>
          <w:lang w:val="en-US" w:eastAsia="zh-CN"/>
        </w:rPr>
        <w:t>202</w:t>
      </w:r>
      <w:r>
        <w:rPr>
          <w:rFonts w:hint="eastAsia" w:ascii="Times New Roman" w:hAnsi="Times New Roman" w:eastAsia="方正小标宋简体" w:cs="Times New Roman"/>
          <w:kern w:val="2"/>
          <w:sz w:val="44"/>
          <w:szCs w:val="44"/>
          <w:lang w:val="en-US" w:eastAsia="zh-CN"/>
        </w:rPr>
        <w:t>5</w:t>
      </w:r>
      <w:r>
        <w:rPr>
          <w:rFonts w:hint="default" w:ascii="Times New Roman" w:hAnsi="Times New Roman" w:eastAsia="方正小标宋简体" w:cs="Times New Roman"/>
          <w:kern w:val="2"/>
          <w:sz w:val="44"/>
          <w:szCs w:val="44"/>
          <w:lang w:val="en-US" w:eastAsia="zh-CN"/>
        </w:rPr>
        <w:t>年钟楼区“揭榜挂帅”</w:t>
      </w:r>
      <w:r>
        <w:rPr>
          <w:rFonts w:hint="eastAsia" w:ascii="Times New Roman" w:hAnsi="Times New Roman" w:eastAsia="方正小标宋简体" w:cs="Times New Roman"/>
          <w:kern w:val="2"/>
          <w:sz w:val="44"/>
          <w:szCs w:val="44"/>
          <w:lang w:val="en-US" w:eastAsia="zh-CN"/>
        </w:rPr>
        <w:t>应用场景</w:t>
      </w:r>
      <w:r>
        <w:rPr>
          <w:rFonts w:hint="default" w:ascii="Times New Roman" w:hAnsi="Times New Roman" w:eastAsia="方正小标宋简体" w:cs="Times New Roman"/>
          <w:kern w:val="2"/>
          <w:sz w:val="44"/>
          <w:szCs w:val="44"/>
          <w:lang w:val="en-US" w:eastAsia="zh-CN"/>
        </w:rPr>
        <w:t>成果征集表</w:t>
      </w:r>
    </w:p>
    <w:tbl>
      <w:tblPr>
        <w:tblStyle w:val="6"/>
        <w:tblW w:w="507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496"/>
        <w:gridCol w:w="2917"/>
        <w:gridCol w:w="1532"/>
        <w:gridCol w:w="3042"/>
      </w:tblGrid>
      <w:tr w14:paraId="547B3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30" w:type="dxa"/>
            <w:noWrap w:val="0"/>
            <w:vAlign w:val="center"/>
          </w:tcPr>
          <w:p w14:paraId="252D98BB">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单位名称</w:t>
            </w:r>
          </w:p>
        </w:tc>
        <w:tc>
          <w:tcPr>
            <w:tcW w:w="3069" w:type="dxa"/>
            <w:noWrap w:val="0"/>
            <w:vAlign w:val="center"/>
          </w:tcPr>
          <w:p w14:paraId="3EB26821">
            <w:pPr>
              <w:spacing w:line="320" w:lineRule="exact"/>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上海交通大学国家技术转移中心</w:t>
            </w:r>
          </w:p>
        </w:tc>
        <w:tc>
          <w:tcPr>
            <w:tcW w:w="1669" w:type="dxa"/>
            <w:noWrap w:val="0"/>
            <w:vAlign w:val="center"/>
          </w:tcPr>
          <w:p w14:paraId="17F0B69A">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统一社会信用代码</w:t>
            </w:r>
          </w:p>
        </w:tc>
        <w:tc>
          <w:tcPr>
            <w:tcW w:w="2604" w:type="dxa"/>
            <w:noWrap w:val="0"/>
            <w:vAlign w:val="center"/>
          </w:tcPr>
          <w:p w14:paraId="48570554">
            <w:pPr>
              <w:spacing w:line="320" w:lineRule="exact"/>
              <w:jc w:val="center"/>
              <w:rPr>
                <w:rFonts w:hint="default" w:ascii="Times New Roman" w:hAnsi="Times New Roman" w:eastAsia="宋体" w:cs="Times New Roman"/>
                <w:bCs/>
                <w:sz w:val="28"/>
                <w:szCs w:val="21"/>
                <w:lang w:val="en-US" w:eastAsia="zh-CN"/>
              </w:rPr>
            </w:pPr>
            <w:r>
              <w:rPr>
                <w:rFonts w:hint="default" w:ascii="Times New Roman" w:hAnsi="Times New Roman" w:eastAsia="宋体" w:cs="Times New Roman"/>
                <w:bCs/>
                <w:sz w:val="28"/>
                <w:szCs w:val="21"/>
                <w:lang w:val="en-US" w:eastAsia="zh-CN"/>
              </w:rPr>
              <w:t>1210000042500615X0</w:t>
            </w:r>
          </w:p>
        </w:tc>
      </w:tr>
      <w:tr w14:paraId="1958C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30" w:type="dxa"/>
            <w:noWrap w:val="0"/>
            <w:vAlign w:val="center"/>
          </w:tcPr>
          <w:p w14:paraId="5FC7DF55">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地    址</w:t>
            </w:r>
          </w:p>
        </w:tc>
        <w:tc>
          <w:tcPr>
            <w:tcW w:w="3069" w:type="dxa"/>
            <w:noWrap w:val="0"/>
            <w:vAlign w:val="center"/>
          </w:tcPr>
          <w:p w14:paraId="60958970">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4"/>
                <w:szCs w:val="20"/>
              </w:rPr>
              <w:t>上海市闵行区东川路800号</w:t>
            </w:r>
          </w:p>
        </w:tc>
        <w:tc>
          <w:tcPr>
            <w:tcW w:w="1669" w:type="dxa"/>
            <w:noWrap w:val="0"/>
            <w:vAlign w:val="center"/>
          </w:tcPr>
          <w:p w14:paraId="5B53719E">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联 系 人</w:t>
            </w:r>
          </w:p>
        </w:tc>
        <w:tc>
          <w:tcPr>
            <w:tcW w:w="2604" w:type="dxa"/>
            <w:noWrap w:val="0"/>
            <w:vAlign w:val="center"/>
          </w:tcPr>
          <w:p w14:paraId="082091FA">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eastAsia="zh-CN"/>
              </w:rPr>
              <w:t>王东岑</w:t>
            </w:r>
          </w:p>
        </w:tc>
      </w:tr>
      <w:tr w14:paraId="4BED5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30" w:type="dxa"/>
            <w:noWrap w:val="0"/>
            <w:vAlign w:val="center"/>
          </w:tcPr>
          <w:p w14:paraId="717E5C3F">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联系电话</w:t>
            </w:r>
          </w:p>
        </w:tc>
        <w:tc>
          <w:tcPr>
            <w:tcW w:w="3069" w:type="dxa"/>
            <w:noWrap w:val="0"/>
            <w:vAlign w:val="center"/>
          </w:tcPr>
          <w:p w14:paraId="31791A6F">
            <w:pPr>
              <w:spacing w:line="320" w:lineRule="exact"/>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13817711852</w:t>
            </w:r>
          </w:p>
        </w:tc>
        <w:tc>
          <w:tcPr>
            <w:tcW w:w="1669" w:type="dxa"/>
            <w:noWrap w:val="0"/>
            <w:vAlign w:val="center"/>
          </w:tcPr>
          <w:p w14:paraId="16763BF4">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电子邮件</w:t>
            </w:r>
          </w:p>
        </w:tc>
        <w:tc>
          <w:tcPr>
            <w:tcW w:w="2604" w:type="dxa"/>
            <w:noWrap w:val="0"/>
            <w:vAlign w:val="center"/>
          </w:tcPr>
          <w:p w14:paraId="4DA6C12D">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wangdongcen@sjtu.edu.cn</w:t>
            </w:r>
          </w:p>
        </w:tc>
      </w:tr>
      <w:tr w14:paraId="758CC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630" w:type="dxa"/>
            <w:noWrap w:val="0"/>
            <w:vAlign w:val="center"/>
          </w:tcPr>
          <w:p w14:paraId="12B3A2D3">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所属领域</w:t>
            </w:r>
          </w:p>
        </w:tc>
        <w:tc>
          <w:tcPr>
            <w:tcW w:w="7342" w:type="dxa"/>
            <w:gridSpan w:val="3"/>
            <w:noWrap w:val="0"/>
            <w:vAlign w:val="center"/>
          </w:tcPr>
          <w:p w14:paraId="5EB89CC0">
            <w:pPr>
              <w:spacing w:line="320" w:lineRule="exact"/>
              <w:jc w:val="left"/>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eastAsia="zh-CN"/>
              </w:rPr>
              <w:t>☑</w:t>
            </w:r>
            <w:r>
              <w:rPr>
                <w:rFonts w:hint="default" w:ascii="Times New Roman" w:hAnsi="Times New Roman" w:eastAsia="宋体" w:cs="Times New Roman"/>
                <w:bCs/>
                <w:sz w:val="28"/>
                <w:szCs w:val="21"/>
                <w:lang w:eastAsia="zh-CN"/>
              </w:rPr>
              <w:t>人工智能</w:t>
            </w:r>
            <w:r>
              <w:rPr>
                <w:rFonts w:hint="eastAsia" w:ascii="Times New Roman" w:hAnsi="Times New Roman" w:eastAsia="宋体" w:cs="Times New Roman"/>
                <w:b/>
                <w:bCs w:val="0"/>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数字经济</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rPr>
              <w:t xml:space="preserve"> □</w:t>
            </w:r>
            <w:r>
              <w:rPr>
                <w:rFonts w:hint="eastAsia" w:ascii="Times New Roman" w:hAnsi="Times New Roman" w:eastAsia="宋体" w:cs="Times New Roman"/>
                <w:bCs/>
                <w:sz w:val="28"/>
                <w:szCs w:val="21"/>
                <w:lang w:eastAsia="zh-CN"/>
              </w:rPr>
              <w:t>先进半导体</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default" w:ascii="Times New Roman" w:hAnsi="Times New Roman" w:eastAsia="宋体" w:cs="Times New Roman"/>
                <w:bCs/>
                <w:sz w:val="28"/>
                <w:szCs w:val="21"/>
              </w:rPr>
              <w:t>新</w:t>
            </w:r>
            <w:r>
              <w:rPr>
                <w:rFonts w:hint="eastAsia" w:ascii="Times New Roman" w:hAnsi="Times New Roman" w:eastAsia="宋体" w:cs="Times New Roman"/>
                <w:bCs/>
                <w:sz w:val="28"/>
                <w:szCs w:val="21"/>
                <w:lang w:eastAsia="zh-CN"/>
              </w:rPr>
              <w:t>材料</w:t>
            </w:r>
            <w:r>
              <w:rPr>
                <w:rFonts w:hint="default" w:ascii="Times New Roman" w:hAnsi="Times New Roman" w:eastAsia="宋体" w:cs="Times New Roman"/>
                <w:bCs/>
                <w:sz w:val="28"/>
                <w:szCs w:val="21"/>
              </w:rPr>
              <w:t xml:space="preserve"> </w:t>
            </w:r>
          </w:p>
          <w:p w14:paraId="2FB4743F">
            <w:pPr>
              <w:spacing w:line="320" w:lineRule="exact"/>
              <w:jc w:val="left"/>
              <w:rPr>
                <w:rFonts w:hint="default" w:ascii="Times New Roman" w:hAnsi="Times New Roman" w:eastAsia="宋体" w:cs="Times New Roman"/>
                <w:bCs/>
                <w:sz w:val="28"/>
                <w:szCs w:val="21"/>
                <w:lang w:val="en-US"/>
              </w:rPr>
            </w:pP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新型储能</w:t>
            </w:r>
            <w:r>
              <w:rPr>
                <w:rFonts w:hint="default" w:ascii="Times New Roman" w:hAnsi="Times New Roman" w:eastAsia="宋体" w:cs="Times New Roman"/>
                <w:bCs/>
                <w:sz w:val="28"/>
                <w:szCs w:val="21"/>
              </w:rPr>
              <w:t xml:space="preserve"> </w:t>
            </w:r>
            <w:r>
              <w:rPr>
                <w:rFonts w:hint="default" w:ascii="Times New Roman" w:hAnsi="Times New Roman" w:eastAsia="宋体" w:cs="Times New Roman"/>
                <w:bCs/>
                <w:sz w:val="28"/>
                <w:szCs w:val="21"/>
                <w:lang w:val="en-US" w:eastAsia="zh-CN"/>
              </w:rPr>
              <w:t xml:space="preserve">   </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合成生物</w:t>
            </w:r>
            <w:r>
              <w:rPr>
                <w:rFonts w:hint="default" w:ascii="Times New Roman" w:hAnsi="Times New Roman" w:eastAsia="宋体" w:cs="Times New Roman"/>
                <w:bCs/>
                <w:sz w:val="28"/>
                <w:szCs w:val="21"/>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新能源汽车</w:t>
            </w:r>
            <w:r>
              <w:rPr>
                <w:rFonts w:hint="eastAsia" w:ascii="Times New Roman" w:hAnsi="Times New Roman" w:eastAsia="宋体" w:cs="Times New Roman"/>
                <w:bCs/>
                <w:sz w:val="28"/>
                <w:szCs w:val="21"/>
                <w:lang w:val="en-US" w:eastAsia="zh-CN"/>
              </w:rPr>
              <w:t xml:space="preserve">   ☑</w:t>
            </w:r>
            <w:r>
              <w:rPr>
                <w:rFonts w:hint="eastAsia" w:ascii="Times New Roman" w:hAnsi="Times New Roman" w:eastAsia="宋体" w:cs="Times New Roman"/>
                <w:bCs/>
                <w:sz w:val="28"/>
                <w:szCs w:val="21"/>
                <w:lang w:eastAsia="zh-CN"/>
              </w:rPr>
              <w:t>循环制造</w:t>
            </w:r>
          </w:p>
          <w:p w14:paraId="278D3659">
            <w:pPr>
              <w:spacing w:line="320" w:lineRule="exact"/>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新一代信息技术</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rPr>
              <w:t>□</w:t>
            </w:r>
            <w:r>
              <w:rPr>
                <w:rFonts w:hint="eastAsia" w:ascii="Times New Roman" w:hAnsi="Times New Roman" w:eastAsia="宋体" w:cs="Times New Roman"/>
                <w:bCs/>
                <w:sz w:val="28"/>
                <w:szCs w:val="21"/>
                <w:lang w:eastAsia="zh-CN"/>
              </w:rPr>
              <w:t>高端装备</w:t>
            </w:r>
          </w:p>
        </w:tc>
      </w:tr>
      <w:tr w14:paraId="0FA37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30" w:type="dxa"/>
            <w:noWrap w:val="0"/>
            <w:vAlign w:val="center"/>
          </w:tcPr>
          <w:p w14:paraId="30DB7FA0">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榜额</w:t>
            </w:r>
          </w:p>
        </w:tc>
        <w:tc>
          <w:tcPr>
            <w:tcW w:w="7342" w:type="dxa"/>
            <w:gridSpan w:val="3"/>
            <w:noWrap w:val="0"/>
            <w:vAlign w:val="center"/>
          </w:tcPr>
          <w:p w14:paraId="0A158525">
            <w:pPr>
              <w:spacing w:line="320" w:lineRule="exact"/>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300万</w:t>
            </w:r>
          </w:p>
        </w:tc>
      </w:tr>
      <w:tr w14:paraId="2EBCF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30" w:type="dxa"/>
            <w:noWrap w:val="0"/>
            <w:vAlign w:val="center"/>
          </w:tcPr>
          <w:p w14:paraId="757708B6">
            <w:pPr>
              <w:spacing w:line="320" w:lineRule="exact"/>
              <w:jc w:val="center"/>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场景</w:t>
            </w:r>
            <w:r>
              <w:rPr>
                <w:rFonts w:hint="default" w:ascii="Times New Roman" w:hAnsi="Times New Roman" w:eastAsia="宋体" w:cs="Times New Roman"/>
                <w:bCs/>
                <w:sz w:val="28"/>
                <w:szCs w:val="21"/>
              </w:rPr>
              <w:t>成果名称</w:t>
            </w:r>
          </w:p>
        </w:tc>
        <w:tc>
          <w:tcPr>
            <w:tcW w:w="7342" w:type="dxa"/>
            <w:gridSpan w:val="3"/>
            <w:noWrap w:val="0"/>
            <w:vAlign w:val="center"/>
          </w:tcPr>
          <w:p w14:paraId="58CFBEBA">
            <w:pPr>
              <w:spacing w:line="320" w:lineRule="exact"/>
              <w:ind w:left="160" w:leftChars="50"/>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数控机床综合误差动态实时补偿器</w:t>
            </w:r>
          </w:p>
        </w:tc>
      </w:tr>
      <w:tr w14:paraId="0B611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1630" w:type="dxa"/>
            <w:noWrap w:val="0"/>
            <w:vAlign w:val="center"/>
          </w:tcPr>
          <w:p w14:paraId="3E73FA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成果简介</w:t>
            </w:r>
          </w:p>
        </w:tc>
        <w:tc>
          <w:tcPr>
            <w:tcW w:w="7342" w:type="dxa"/>
            <w:gridSpan w:val="3"/>
            <w:noWrap w:val="0"/>
            <w:vAlign w:val="top"/>
          </w:tcPr>
          <w:p w14:paraId="03070F4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技术详述</w:t>
            </w:r>
          </w:p>
          <w:p w14:paraId="290379F8">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t>研发的数控机床综合误差动态实时补偿器(由硬件执行平台、补偿器软件平台以及上位机操作、建模和分析软件组成)可以针对不同的机床数控系统及其机床进行误差实时补偿，具有良好 的系统兼容性、长期高负荷工作的稳定性以及操作使用的便利性。该补偿系统可实时补偿热误差、几何误差、力误差、轮廓误差，具有实时性强、多轴联动补偿、多误差动态补偿、多维空间 位置补偿、在线建模及其专家系统、智能型、使用便利、经济实用等特色，补偿应用结果表明可 提高机床加工精度50-90%。实时补偿器通过布置在机床上的温度传感器实时采集机床的温度信号，同时通过机床控制器实时采集机床各运动轴的位置信号并通过A/D板和输入输出接口把这两种信号送入补偿系统</w:t>
            </w:r>
            <w:r>
              <w:rPr>
                <w:rFonts w:hint="eastAsia" w:asciiTheme="minorEastAsia" w:hAnsiTheme="minorEastAsia" w:eastAsiaTheme="minorEastAsia" w:cstheme="minorEastAsia"/>
                <w:spacing w:val="-11"/>
                <w:sz w:val="28"/>
                <w:szCs w:val="28"/>
                <w:lang w:val="en-US" w:eastAsia="zh-CN"/>
              </w:rPr>
              <w:t>。</w:t>
            </w:r>
            <w:r>
              <w:rPr>
                <w:rFonts w:hint="default" w:asciiTheme="minorEastAsia" w:hAnsiTheme="minorEastAsia" w:eastAsiaTheme="minorEastAsia" w:cstheme="minorEastAsia"/>
                <w:spacing w:val="-11"/>
                <w:sz w:val="28"/>
                <w:szCs w:val="28"/>
                <w:lang w:val="en-US" w:eastAsia="zh-CN"/>
              </w:rPr>
              <w:t>然后通过补偿器内置的数据处理单元或模块中的误差数学模型，实时计符各运动轴的补偿量</w:t>
            </w:r>
            <w:r>
              <w:rPr>
                <w:rFonts w:hint="eastAsia" w:asciiTheme="minorEastAsia" w:hAnsiTheme="minorEastAsia" w:eastAsiaTheme="minorEastAsia" w:cstheme="minorEastAsia"/>
                <w:spacing w:val="-11"/>
                <w:sz w:val="28"/>
                <w:szCs w:val="28"/>
                <w:lang w:val="en-US" w:eastAsia="zh-CN"/>
              </w:rPr>
              <w:t>，</w:t>
            </w:r>
            <w:r>
              <w:rPr>
                <w:rFonts w:hint="default" w:asciiTheme="minorEastAsia" w:hAnsiTheme="minorEastAsia" w:eastAsiaTheme="minorEastAsia" w:cstheme="minorEastAsia"/>
                <w:spacing w:val="-11"/>
                <w:sz w:val="28"/>
                <w:szCs w:val="28"/>
                <w:lang w:val="en-US" w:eastAsia="zh-CN"/>
              </w:rPr>
              <w:t>并将补偿值通过并口传输送入数控系统。最后通过数控系统的外部坐标偏置功能进行各轴的动态实时位置修正，以达到大幅度提高机床加工精度的目的。</w:t>
            </w:r>
          </w:p>
          <w:p w14:paraId="4E7AAE4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8"/>
                <w:szCs w:val="36"/>
                <w:lang w:val="en-US" w:eastAsia="zh-CN"/>
              </w:rPr>
            </w:pPr>
            <w:r>
              <w:rPr>
                <w:rFonts w:hint="eastAsia" w:ascii="宋体" w:hAnsi="宋体" w:eastAsia="宋体" w:cs="宋体"/>
                <w:b/>
                <w:bCs/>
                <w:sz w:val="28"/>
                <w:szCs w:val="36"/>
                <w:lang w:val="en-US" w:eastAsia="zh-CN"/>
              </w:rPr>
              <w:t>技术优势</w:t>
            </w:r>
          </w:p>
          <w:p w14:paraId="5C05DE7D">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t>1.多轴联动实时补偿。可以针对1-6轴的数控机床进行实时补偿。</w:t>
            </w:r>
          </w:p>
          <w:p w14:paraId="6773CC0A">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t>2.多类型误差实时补偿。可以同时实时补偿机床的几何误差(通过机床坐标位置反馈)、热误差 (通过机床温度反馈)、力误差(通过机床切削力及刚度反馈)等等诸多类型误差。</w:t>
            </w:r>
          </w:p>
          <w:p w14:paraId="4D66912E">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t>3.空间位置误差实时补偿。不仅仅是各单轴丝杆误差补偿，还可通过机床的空间位置误差综合 数学模型，实时补偿机床的21项甚至更多误差元素的机床空间位置误差。</w:t>
            </w:r>
          </w:p>
          <w:p w14:paraId="2BE2044B">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t>4.实时性。补偿可在机床加工过程中任意时刻自动进行。</w:t>
            </w:r>
          </w:p>
          <w:p w14:paraId="0DFB5A81">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t>5.专家系统。目前的专家系统平台可实现几何误差、丝杠热膨胀、主轴热漂移等影响精度权重 较大的误差的自动建模分析以及数学模型自动生成，以及按照补偿器端的数据存储格式生成模型数据代码表。</w:t>
            </w:r>
          </w:p>
          <w:p w14:paraId="273AD34A">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t>6.智能化、人性化，便于人机交互。用户可通过液晶显示器读取各种信息，操作人员可通过薄膜 面板选择各种功能项目或者设置各种参数。</w:t>
            </w:r>
          </w:p>
          <w:p w14:paraId="26F86E5A">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t>7.在线自动建模。将激光干涉仪或者球杆仪的测试数据、及测试过程的温度数据直接导入到实 时建模分析线程中，可自动生成该数控机床的误差补偿数学模型。</w:t>
            </w:r>
          </w:p>
          <w:p w14:paraId="211DED67">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t>8.配置无线温度传感器。在数字式温度传感器的基础上，可配备无线式温度传感器。</w:t>
            </w:r>
          </w:p>
          <w:p w14:paraId="1CEB492B">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t>9.与数控系统底层交互。已与广州数控设备有限公司等单位合作可根据需要进行底层交互(而 国外是通过PLC再到数控系统底层),所需时间短、所需接口数少得多。</w:t>
            </w:r>
          </w:p>
          <w:p w14:paraId="1675FE9C">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t>10.在线测量。配置并通过位移检测装置或探头，可集成“加工一测量一补偿-再加工”功能的 加工技术及其闭环控制系统。</w:t>
            </w:r>
          </w:p>
          <w:p w14:paraId="3054614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效果指标</w:t>
            </w:r>
          </w:p>
          <w:p w14:paraId="605462D5">
            <w:pPr>
              <w:keepNext w:val="0"/>
              <w:keepLines w:val="0"/>
              <w:pageBreakBefore w:val="0"/>
              <w:widowControl w:val="0"/>
              <w:kinsoku/>
              <w:wordWrap/>
              <w:overflowPunct/>
              <w:topLinePunct w:val="0"/>
              <w:autoSpaceDE/>
              <w:autoSpaceDN/>
              <w:bidi w:val="0"/>
              <w:adjustRightInd/>
              <w:snapToGrid/>
              <w:spacing w:line="400" w:lineRule="exact"/>
              <w:ind w:firstLine="516" w:firstLineChars="200"/>
              <w:textAlignment w:val="auto"/>
              <w:rPr>
                <w:rFonts w:hint="default"/>
                <w:spacing w:val="-1"/>
                <w:szCs w:val="22"/>
              </w:rPr>
            </w:pPr>
            <w:r>
              <w:rPr>
                <w:rFonts w:hint="default" w:asciiTheme="minorEastAsia" w:hAnsiTheme="minorEastAsia" w:eastAsiaTheme="minorEastAsia" w:cstheme="minorEastAsia"/>
                <w:spacing w:val="-11"/>
                <w:sz w:val="28"/>
                <w:szCs w:val="28"/>
                <w:lang w:val="en-US" w:eastAsia="zh-CN"/>
              </w:rPr>
              <w:t>机床几何误差可补偿提高70%-95%;热误差可以控制3-10um以内(视具体机型而定)。</w:t>
            </w:r>
          </w:p>
        </w:tc>
      </w:tr>
    </w:tbl>
    <w:p w14:paraId="0E038F58">
      <w:pPr>
        <w:rPr>
          <w:rFonts w:hint="default" w:ascii="Times New Roman" w:hAnsi="Times New Roman" w:cs="Times New Roman"/>
        </w:rPr>
        <w:sectPr>
          <w:pgSz w:w="11905" w:h="16838"/>
          <w:pgMar w:top="1417" w:right="1531" w:bottom="1417" w:left="1531" w:header="0" w:footer="0" w:gutter="0"/>
          <w:paperSrc/>
          <w:cols w:space="0" w:num="1"/>
          <w:rtlGutter w:val="0"/>
          <w:docGrid w:linePitch="312" w:charSpace="0"/>
        </w:sectPr>
      </w:pPr>
    </w:p>
    <w:p w14:paraId="2C9B9BCB">
      <w:pPr>
        <w:rPr>
          <w:rFonts w:hint="default" w:ascii="Times New Roman" w:hAnsi="Times New Roman" w:eastAsia="方正小标宋简体" w:cs="Times New Roman"/>
          <w:kern w:val="2"/>
          <w:sz w:val="44"/>
          <w:szCs w:val="44"/>
          <w:lang w:val="en-US" w:eastAsia="zh-CN"/>
        </w:rPr>
      </w:pPr>
      <w:r>
        <w:rPr>
          <w:rFonts w:hint="eastAsia" w:ascii="Times New Roman" w:hAnsi="Times New Roman" w:eastAsia="黑体" w:cs="Times New Roman"/>
          <w:sz w:val="32"/>
          <w:szCs w:val="32"/>
          <w:lang w:val="en-US" w:eastAsia="zh-CN"/>
        </w:rPr>
        <w:t>编号13</w:t>
      </w:r>
    </w:p>
    <w:p w14:paraId="55B908BF">
      <w:pPr>
        <w:pStyle w:val="5"/>
        <w:widowControl w:val="0"/>
        <w:overflowPunct w:val="0"/>
        <w:autoSpaceDE w:val="0"/>
        <w:autoSpaceDN w:val="0"/>
        <w:adjustRightInd w:val="0"/>
        <w:snapToGrid w:val="0"/>
        <w:spacing w:before="120" w:beforeAutospacing="0" w:after="240" w:afterAutospacing="0" w:line="570" w:lineRule="exact"/>
        <w:jc w:val="center"/>
        <w:rPr>
          <w:rFonts w:hint="default" w:ascii="Times New Roman" w:hAnsi="Times New Roman" w:eastAsia="方正小标宋简体" w:cs="Times New Roman"/>
          <w:kern w:val="2"/>
          <w:sz w:val="44"/>
          <w:szCs w:val="44"/>
        </w:rPr>
      </w:pPr>
      <w:r>
        <w:rPr>
          <w:rFonts w:hint="default" w:ascii="Times New Roman" w:hAnsi="Times New Roman" w:eastAsia="方正小标宋简体" w:cs="Times New Roman"/>
          <w:kern w:val="2"/>
          <w:sz w:val="44"/>
          <w:szCs w:val="44"/>
          <w:lang w:val="en-US" w:eastAsia="zh-CN"/>
        </w:rPr>
        <w:t>202</w:t>
      </w:r>
      <w:r>
        <w:rPr>
          <w:rFonts w:hint="eastAsia" w:ascii="Times New Roman" w:hAnsi="Times New Roman" w:eastAsia="方正小标宋简体" w:cs="Times New Roman"/>
          <w:kern w:val="2"/>
          <w:sz w:val="44"/>
          <w:szCs w:val="44"/>
          <w:lang w:val="en-US" w:eastAsia="zh-CN"/>
        </w:rPr>
        <w:t>5</w:t>
      </w:r>
      <w:r>
        <w:rPr>
          <w:rFonts w:hint="default" w:ascii="Times New Roman" w:hAnsi="Times New Roman" w:eastAsia="方正小标宋简体" w:cs="Times New Roman"/>
          <w:kern w:val="2"/>
          <w:sz w:val="44"/>
          <w:szCs w:val="44"/>
          <w:lang w:val="en-US" w:eastAsia="zh-CN"/>
        </w:rPr>
        <w:t>年钟楼区“揭榜挂帅”</w:t>
      </w:r>
      <w:r>
        <w:rPr>
          <w:rFonts w:hint="eastAsia" w:ascii="Times New Roman" w:hAnsi="Times New Roman" w:eastAsia="方正小标宋简体" w:cs="Times New Roman"/>
          <w:kern w:val="2"/>
          <w:sz w:val="44"/>
          <w:szCs w:val="44"/>
          <w:lang w:val="en-US" w:eastAsia="zh-CN"/>
        </w:rPr>
        <w:t>应用场景</w:t>
      </w:r>
      <w:r>
        <w:rPr>
          <w:rFonts w:hint="default" w:ascii="Times New Roman" w:hAnsi="Times New Roman" w:eastAsia="方正小标宋简体" w:cs="Times New Roman"/>
          <w:kern w:val="2"/>
          <w:sz w:val="44"/>
          <w:szCs w:val="44"/>
          <w:lang w:val="en-US" w:eastAsia="zh-CN"/>
        </w:rPr>
        <w:t>成果征集表</w:t>
      </w:r>
    </w:p>
    <w:tbl>
      <w:tblPr>
        <w:tblStyle w:val="6"/>
        <w:tblW w:w="505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452"/>
        <w:gridCol w:w="2939"/>
        <w:gridCol w:w="1522"/>
        <w:gridCol w:w="3042"/>
      </w:tblGrid>
      <w:tr w14:paraId="00FB0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798" w:type="dxa"/>
            <w:noWrap w:val="0"/>
            <w:vAlign w:val="center"/>
          </w:tcPr>
          <w:p w14:paraId="16C19C72">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单位名称</w:t>
            </w:r>
          </w:p>
        </w:tc>
        <w:tc>
          <w:tcPr>
            <w:tcW w:w="3357" w:type="dxa"/>
            <w:noWrap w:val="0"/>
            <w:vAlign w:val="center"/>
          </w:tcPr>
          <w:p w14:paraId="4CA21D21">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val="en-US" w:eastAsia="zh-CN"/>
              </w:rPr>
              <w:t>上海交通大学国家技术转移中心</w:t>
            </w:r>
          </w:p>
        </w:tc>
        <w:tc>
          <w:tcPr>
            <w:tcW w:w="1890" w:type="dxa"/>
            <w:noWrap w:val="0"/>
            <w:vAlign w:val="center"/>
          </w:tcPr>
          <w:p w14:paraId="4E35F4AB">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统一社会信用代码</w:t>
            </w:r>
          </w:p>
        </w:tc>
        <w:tc>
          <w:tcPr>
            <w:tcW w:w="1895" w:type="dxa"/>
            <w:noWrap w:val="0"/>
            <w:vAlign w:val="center"/>
          </w:tcPr>
          <w:p w14:paraId="79895E42">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1210000042500615X0</w:t>
            </w:r>
          </w:p>
        </w:tc>
      </w:tr>
      <w:tr w14:paraId="647FE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98" w:type="dxa"/>
            <w:noWrap w:val="0"/>
            <w:vAlign w:val="center"/>
          </w:tcPr>
          <w:p w14:paraId="14EB8CB6">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地    址</w:t>
            </w:r>
          </w:p>
        </w:tc>
        <w:tc>
          <w:tcPr>
            <w:tcW w:w="3357" w:type="dxa"/>
            <w:noWrap w:val="0"/>
            <w:vAlign w:val="center"/>
          </w:tcPr>
          <w:p w14:paraId="21E5BC1B">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4"/>
                <w:szCs w:val="20"/>
              </w:rPr>
              <w:t>上海市闵行区东川路800号</w:t>
            </w:r>
          </w:p>
        </w:tc>
        <w:tc>
          <w:tcPr>
            <w:tcW w:w="1890" w:type="dxa"/>
            <w:noWrap w:val="0"/>
            <w:vAlign w:val="center"/>
          </w:tcPr>
          <w:p w14:paraId="4F24268A">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联 系 人</w:t>
            </w:r>
          </w:p>
        </w:tc>
        <w:tc>
          <w:tcPr>
            <w:tcW w:w="1895" w:type="dxa"/>
            <w:noWrap w:val="0"/>
            <w:vAlign w:val="center"/>
          </w:tcPr>
          <w:p w14:paraId="67988063">
            <w:pPr>
              <w:spacing w:line="320" w:lineRule="exact"/>
              <w:jc w:val="center"/>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王东岑</w:t>
            </w:r>
          </w:p>
        </w:tc>
      </w:tr>
      <w:tr w14:paraId="5C5D1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98" w:type="dxa"/>
            <w:noWrap w:val="0"/>
            <w:vAlign w:val="center"/>
          </w:tcPr>
          <w:p w14:paraId="4B23F906">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联系电话</w:t>
            </w:r>
          </w:p>
        </w:tc>
        <w:tc>
          <w:tcPr>
            <w:tcW w:w="3357" w:type="dxa"/>
            <w:noWrap w:val="0"/>
            <w:vAlign w:val="center"/>
          </w:tcPr>
          <w:p w14:paraId="0541D3F8">
            <w:pPr>
              <w:spacing w:line="320" w:lineRule="exact"/>
              <w:jc w:val="center"/>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13817711852</w:t>
            </w:r>
          </w:p>
        </w:tc>
        <w:tc>
          <w:tcPr>
            <w:tcW w:w="1890" w:type="dxa"/>
            <w:noWrap w:val="0"/>
            <w:vAlign w:val="center"/>
          </w:tcPr>
          <w:p w14:paraId="492AD7D5">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电子邮件</w:t>
            </w:r>
          </w:p>
        </w:tc>
        <w:tc>
          <w:tcPr>
            <w:tcW w:w="1895" w:type="dxa"/>
            <w:noWrap w:val="0"/>
            <w:vAlign w:val="center"/>
          </w:tcPr>
          <w:p w14:paraId="6767C93D">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wangdongcen@sjtu.edu.cn</w:t>
            </w:r>
          </w:p>
        </w:tc>
      </w:tr>
      <w:tr w14:paraId="7DDF6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798" w:type="dxa"/>
            <w:noWrap w:val="0"/>
            <w:vAlign w:val="center"/>
          </w:tcPr>
          <w:p w14:paraId="39DFE090">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所属领域</w:t>
            </w:r>
          </w:p>
        </w:tc>
        <w:tc>
          <w:tcPr>
            <w:tcW w:w="7142" w:type="dxa"/>
            <w:gridSpan w:val="3"/>
            <w:noWrap w:val="0"/>
            <w:vAlign w:val="center"/>
          </w:tcPr>
          <w:p w14:paraId="66230472">
            <w:pPr>
              <w:spacing w:line="320" w:lineRule="exact"/>
              <w:jc w:val="left"/>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eastAsia="zh-CN"/>
              </w:rPr>
              <w:t>☑</w:t>
            </w:r>
            <w:r>
              <w:rPr>
                <w:rFonts w:hint="default" w:ascii="Times New Roman" w:hAnsi="Times New Roman" w:eastAsia="宋体" w:cs="Times New Roman"/>
                <w:bCs/>
                <w:sz w:val="28"/>
                <w:szCs w:val="21"/>
                <w:lang w:eastAsia="zh-CN"/>
              </w:rPr>
              <w:t>人工智能</w:t>
            </w:r>
            <w:r>
              <w:rPr>
                <w:rFonts w:hint="eastAsia" w:ascii="Times New Roman" w:hAnsi="Times New Roman" w:eastAsia="宋体" w:cs="Times New Roman"/>
                <w:b/>
                <w:bCs w:val="0"/>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数字经济</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rPr>
              <w:t xml:space="preserve"> □</w:t>
            </w:r>
            <w:r>
              <w:rPr>
                <w:rFonts w:hint="eastAsia" w:ascii="Times New Roman" w:hAnsi="Times New Roman" w:eastAsia="宋体" w:cs="Times New Roman"/>
                <w:bCs/>
                <w:sz w:val="28"/>
                <w:szCs w:val="21"/>
                <w:lang w:eastAsia="zh-CN"/>
              </w:rPr>
              <w:t>先进半导体</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default" w:ascii="Times New Roman" w:hAnsi="Times New Roman" w:eastAsia="宋体" w:cs="Times New Roman"/>
                <w:bCs/>
                <w:sz w:val="28"/>
                <w:szCs w:val="21"/>
              </w:rPr>
              <w:t>新</w:t>
            </w:r>
            <w:r>
              <w:rPr>
                <w:rFonts w:hint="eastAsia" w:ascii="Times New Roman" w:hAnsi="Times New Roman" w:eastAsia="宋体" w:cs="Times New Roman"/>
                <w:bCs/>
                <w:sz w:val="28"/>
                <w:szCs w:val="21"/>
                <w:lang w:eastAsia="zh-CN"/>
              </w:rPr>
              <w:t>材料</w:t>
            </w:r>
            <w:r>
              <w:rPr>
                <w:rFonts w:hint="default" w:ascii="Times New Roman" w:hAnsi="Times New Roman" w:eastAsia="宋体" w:cs="Times New Roman"/>
                <w:bCs/>
                <w:sz w:val="28"/>
                <w:szCs w:val="21"/>
              </w:rPr>
              <w:t xml:space="preserve"> </w:t>
            </w:r>
          </w:p>
          <w:p w14:paraId="7C43D177">
            <w:pPr>
              <w:spacing w:line="320" w:lineRule="exact"/>
              <w:jc w:val="left"/>
              <w:rPr>
                <w:rFonts w:hint="default" w:ascii="Times New Roman" w:hAnsi="Times New Roman" w:eastAsia="宋体" w:cs="Times New Roman"/>
                <w:bCs/>
                <w:sz w:val="28"/>
                <w:szCs w:val="21"/>
                <w:lang w:val="en-US"/>
              </w:rPr>
            </w:pP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新型储能</w:t>
            </w:r>
            <w:r>
              <w:rPr>
                <w:rFonts w:hint="default" w:ascii="Times New Roman" w:hAnsi="Times New Roman" w:eastAsia="宋体" w:cs="Times New Roman"/>
                <w:bCs/>
                <w:sz w:val="28"/>
                <w:szCs w:val="21"/>
              </w:rPr>
              <w:t xml:space="preserve"> </w:t>
            </w:r>
            <w:r>
              <w:rPr>
                <w:rFonts w:hint="default" w:ascii="Times New Roman" w:hAnsi="Times New Roman" w:eastAsia="宋体" w:cs="Times New Roman"/>
                <w:bCs/>
                <w:sz w:val="28"/>
                <w:szCs w:val="21"/>
                <w:lang w:val="en-US" w:eastAsia="zh-CN"/>
              </w:rPr>
              <w:t xml:space="preserve">  </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合成生物</w:t>
            </w:r>
            <w:r>
              <w:rPr>
                <w:rFonts w:hint="default" w:ascii="Times New Roman" w:hAnsi="Times New Roman" w:eastAsia="宋体" w:cs="Times New Roman"/>
                <w:bCs/>
                <w:sz w:val="28"/>
                <w:szCs w:val="21"/>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新能源汽车</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循环制造</w:t>
            </w:r>
          </w:p>
          <w:p w14:paraId="0EF6C90B">
            <w:pPr>
              <w:spacing w:line="320" w:lineRule="exact"/>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☑新一代信息技术</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rPr>
              <w:t>□</w:t>
            </w:r>
            <w:r>
              <w:rPr>
                <w:rFonts w:hint="eastAsia" w:ascii="Times New Roman" w:hAnsi="Times New Roman" w:eastAsia="宋体" w:cs="Times New Roman"/>
                <w:bCs/>
                <w:sz w:val="28"/>
                <w:szCs w:val="21"/>
                <w:lang w:eastAsia="zh-CN"/>
              </w:rPr>
              <w:t>高端装备</w:t>
            </w:r>
          </w:p>
        </w:tc>
      </w:tr>
      <w:tr w14:paraId="136F1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98" w:type="dxa"/>
            <w:noWrap w:val="0"/>
            <w:vAlign w:val="center"/>
          </w:tcPr>
          <w:p w14:paraId="1B989102">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榜额</w:t>
            </w:r>
          </w:p>
        </w:tc>
        <w:tc>
          <w:tcPr>
            <w:tcW w:w="7142" w:type="dxa"/>
            <w:gridSpan w:val="3"/>
            <w:noWrap w:val="0"/>
            <w:vAlign w:val="center"/>
          </w:tcPr>
          <w:p w14:paraId="4D67BDE1">
            <w:pPr>
              <w:spacing w:line="320" w:lineRule="exact"/>
              <w:ind w:left="160" w:leftChars="50"/>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150万</w:t>
            </w:r>
          </w:p>
        </w:tc>
      </w:tr>
      <w:tr w14:paraId="6AFE4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798" w:type="dxa"/>
            <w:noWrap w:val="0"/>
            <w:vAlign w:val="center"/>
          </w:tcPr>
          <w:p w14:paraId="6BAD112E">
            <w:pPr>
              <w:spacing w:line="320" w:lineRule="exact"/>
              <w:jc w:val="center"/>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场景</w:t>
            </w:r>
            <w:r>
              <w:rPr>
                <w:rFonts w:hint="default" w:ascii="Times New Roman" w:hAnsi="Times New Roman" w:eastAsia="宋体" w:cs="Times New Roman"/>
                <w:bCs/>
                <w:sz w:val="28"/>
                <w:szCs w:val="21"/>
              </w:rPr>
              <w:t>成果名称</w:t>
            </w:r>
          </w:p>
        </w:tc>
        <w:tc>
          <w:tcPr>
            <w:tcW w:w="7142" w:type="dxa"/>
            <w:gridSpan w:val="3"/>
            <w:noWrap w:val="0"/>
            <w:vAlign w:val="center"/>
          </w:tcPr>
          <w:p w14:paraId="0BE7B367">
            <w:pPr>
              <w:spacing w:line="320" w:lineRule="exact"/>
              <w:ind w:left="160" w:leftChars="50"/>
              <w:jc w:val="center"/>
              <w:rPr>
                <w:rFonts w:hint="default" w:ascii="Times New Roman" w:hAnsi="Times New Roman" w:eastAsia="宋体" w:cs="Times New Roman"/>
                <w:bCs/>
                <w:sz w:val="28"/>
                <w:szCs w:val="21"/>
              </w:rPr>
            </w:pPr>
            <w:r>
              <w:rPr>
                <w:rFonts w:hint="eastAsia" w:ascii="宋体" w:hAnsi="宋体" w:eastAsia="宋体" w:cs="宋体"/>
                <w:b w:val="0"/>
                <w:bCs w:val="0"/>
                <w:color w:val="auto"/>
                <w:spacing w:val="-4"/>
                <w:sz w:val="28"/>
                <w:szCs w:val="28"/>
              </w:rPr>
              <w:t>基于</w:t>
            </w:r>
            <w:r>
              <w:rPr>
                <w:rFonts w:hint="eastAsia" w:ascii="宋体" w:hAnsi="宋体" w:eastAsia="宋体" w:cs="宋体"/>
                <w:b w:val="0"/>
                <w:bCs w:val="0"/>
                <w:color w:val="auto"/>
                <w:spacing w:val="-4"/>
                <w:sz w:val="28"/>
                <w:szCs w:val="28"/>
                <w:lang w:val="en-US" w:eastAsia="zh-CN"/>
              </w:rPr>
              <w:t>ToF</w:t>
            </w:r>
            <w:r>
              <w:rPr>
                <w:rFonts w:hint="eastAsia" w:ascii="宋体" w:hAnsi="宋体" w:eastAsia="宋体" w:cs="宋体"/>
                <w:b w:val="0"/>
                <w:bCs w:val="0"/>
                <w:color w:val="auto"/>
                <w:spacing w:val="-4"/>
                <w:sz w:val="28"/>
                <w:szCs w:val="28"/>
              </w:rPr>
              <w:t>的全自动高精度三维测量系统</w:t>
            </w:r>
          </w:p>
        </w:tc>
      </w:tr>
      <w:tr w14:paraId="68045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1798" w:type="dxa"/>
            <w:noWrap w:val="0"/>
            <w:vAlign w:val="center"/>
          </w:tcPr>
          <w:p w14:paraId="1B769EC8">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成果简介</w:t>
            </w:r>
          </w:p>
        </w:tc>
        <w:tc>
          <w:tcPr>
            <w:tcW w:w="7142" w:type="dxa"/>
            <w:gridSpan w:val="3"/>
            <w:noWrap w:val="0"/>
            <w:vAlign w:val="top"/>
          </w:tcPr>
          <w:p w14:paraId="399F70E5">
            <w:pPr>
              <w:bidi w:val="0"/>
              <w:rPr>
                <w:rFonts w:hint="eastAsia" w:ascii="宋体" w:hAnsi="宋体" w:eastAsia="宋体" w:cs="宋体"/>
                <w:b/>
                <w:bCs/>
                <w:sz w:val="28"/>
                <w:szCs w:val="36"/>
              </w:rPr>
            </w:pPr>
            <w:r>
              <w:rPr>
                <w:rFonts w:hint="eastAsia" w:ascii="宋体" w:hAnsi="宋体" w:eastAsia="宋体" w:cs="宋体"/>
                <w:b/>
                <w:bCs/>
                <w:sz w:val="28"/>
                <w:szCs w:val="36"/>
              </w:rPr>
              <w:t>技术详述</w:t>
            </w:r>
          </w:p>
          <w:p w14:paraId="7001F895">
            <w:pPr>
              <w:spacing w:line="540" w:lineRule="exact"/>
              <w:ind w:firstLine="516" w:firstLineChars="200"/>
              <w:rPr>
                <w:rFonts w:hint="default" w:ascii="Times New Roman" w:hAnsi="Times New Roman" w:eastAsia="宋体" w:cs="Times New Roman"/>
                <w:bCs/>
                <w:szCs w:val="21"/>
              </w:rPr>
            </w:pPr>
            <w:r>
              <w:rPr>
                <w:rFonts w:hint="eastAsia" w:asciiTheme="minorEastAsia" w:hAnsiTheme="minorEastAsia" w:eastAsiaTheme="minorEastAsia" w:cstheme="minorEastAsia"/>
                <w:spacing w:val="-11"/>
                <w:sz w:val="28"/>
                <w:szCs w:val="28"/>
                <w:lang w:val="en-US" w:eastAsia="zh-CN"/>
              </w:rPr>
              <w:t>通过研究基于特征点化的多源传感器紧耦合定位算法、基于同步定位与建图(SLAM)关键帧的全局路径规划算法、基于人工势场法的局部避障导航技术，搭建实现了可在室内外复杂 环境下进行自主高精度定位地面机器人，应用案例为5G定位等领域研究中的地理真值数据采集 困难、人工采集工作量大提供移动测量服务。通过研究基于ToF相机获取的深度图和三维点云 数据的物体分割与识别、高精度边缘检测等算法，搭建实现了可用于传送带、手持设备等复杂 环境下的高精度全自动的三维测量系统，解决了在三维测量等领域研究中的人工测量工作量大、自动测量精度低，不适用于运动状态物体等关键问题。</w:t>
            </w:r>
          </w:p>
        </w:tc>
      </w:tr>
    </w:tbl>
    <w:p w14:paraId="10C58A5F">
      <w:pPr>
        <w:rPr>
          <w:rFonts w:hint="default" w:ascii="Times New Roman" w:hAnsi="Times New Roman" w:cs="Times New Roman"/>
        </w:rPr>
        <w:sectPr>
          <w:pgSz w:w="11905" w:h="16838"/>
          <w:pgMar w:top="1417" w:right="1531" w:bottom="1417" w:left="1531" w:header="0" w:footer="0" w:gutter="0"/>
          <w:paperSrc/>
          <w:cols w:space="0" w:num="1"/>
          <w:rtlGutter w:val="0"/>
          <w:docGrid w:linePitch="312" w:charSpace="0"/>
        </w:sectPr>
      </w:pPr>
    </w:p>
    <w:p w14:paraId="0D3CA507">
      <w:pPr>
        <w:rPr>
          <w:rFonts w:hint="default" w:ascii="Times New Roman" w:hAnsi="Times New Roman" w:eastAsia="黑体" w:cs="Times New Roman"/>
          <w:sz w:val="32"/>
          <w:szCs w:val="32"/>
          <w:lang w:val="en-US" w:eastAsia="zh-CN"/>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14</w:t>
      </w:r>
    </w:p>
    <w:p w14:paraId="086F4458">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42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60"/>
        <w:gridCol w:w="3300"/>
        <w:gridCol w:w="1849"/>
        <w:gridCol w:w="2705"/>
      </w:tblGrid>
      <w:tr w14:paraId="6B4D3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50" w:type="dxa"/>
            <w:vAlign w:val="center"/>
          </w:tcPr>
          <w:p w14:paraId="6776862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094" w:type="dxa"/>
            <w:vAlign w:val="center"/>
          </w:tcPr>
          <w:p w14:paraId="24A516C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常州南京大学高新技术研究院</w:t>
            </w:r>
          </w:p>
        </w:tc>
        <w:tc>
          <w:tcPr>
            <w:tcW w:w="1734" w:type="dxa"/>
            <w:vAlign w:val="center"/>
          </w:tcPr>
          <w:p w14:paraId="74A3195C">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536" w:type="dxa"/>
            <w:vAlign w:val="center"/>
          </w:tcPr>
          <w:p w14:paraId="0B507D7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123204004672993413</w:t>
            </w:r>
          </w:p>
        </w:tc>
      </w:tr>
      <w:tr w14:paraId="23F35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50" w:type="dxa"/>
            <w:vAlign w:val="center"/>
          </w:tcPr>
          <w:p w14:paraId="46CC38A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094" w:type="dxa"/>
            <w:vAlign w:val="center"/>
          </w:tcPr>
          <w:p w14:paraId="11B4B6A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常州市常武中路</w:t>
            </w:r>
            <w:r>
              <w:rPr>
                <w:rFonts w:hint="eastAsia" w:ascii="Times New Roman" w:hAnsi="Times New Roman" w:eastAsia="宋体" w:cs="Times New Roman"/>
                <w:bCs/>
                <w:sz w:val="28"/>
                <w:szCs w:val="21"/>
              </w:rPr>
              <w:t>18-88</w:t>
            </w:r>
            <w:r>
              <w:rPr>
                <w:rFonts w:ascii="Times New Roman" w:hAnsi="Times New Roman" w:eastAsia="宋体" w:cs="Times New Roman"/>
                <w:bCs/>
                <w:sz w:val="28"/>
                <w:szCs w:val="21"/>
              </w:rPr>
              <w:t>号</w:t>
            </w:r>
          </w:p>
        </w:tc>
        <w:tc>
          <w:tcPr>
            <w:tcW w:w="1734" w:type="dxa"/>
            <w:vAlign w:val="center"/>
          </w:tcPr>
          <w:p w14:paraId="4D92180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536" w:type="dxa"/>
            <w:vAlign w:val="center"/>
          </w:tcPr>
          <w:p w14:paraId="0513763F">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岳邦毅</w:t>
            </w:r>
          </w:p>
        </w:tc>
      </w:tr>
      <w:tr w14:paraId="185C6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50" w:type="dxa"/>
            <w:vAlign w:val="center"/>
          </w:tcPr>
          <w:p w14:paraId="3C4E8A3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094" w:type="dxa"/>
            <w:vAlign w:val="center"/>
          </w:tcPr>
          <w:p w14:paraId="0244586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18961299766</w:t>
            </w:r>
          </w:p>
        </w:tc>
        <w:tc>
          <w:tcPr>
            <w:tcW w:w="1734" w:type="dxa"/>
            <w:vAlign w:val="center"/>
          </w:tcPr>
          <w:p w14:paraId="1613563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536" w:type="dxa"/>
            <w:vAlign w:val="center"/>
          </w:tcPr>
          <w:p w14:paraId="1F65111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627823152@qq.com</w:t>
            </w:r>
          </w:p>
        </w:tc>
      </w:tr>
      <w:tr w14:paraId="151EC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60" w:hRule="exact"/>
          <w:jc w:val="center"/>
        </w:trPr>
        <w:tc>
          <w:tcPr>
            <w:tcW w:w="1650" w:type="dxa"/>
            <w:vAlign w:val="center"/>
          </w:tcPr>
          <w:p w14:paraId="090365F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64" w:type="dxa"/>
            <w:gridSpan w:val="3"/>
            <w:vAlign w:val="center"/>
          </w:tcPr>
          <w:p w14:paraId="7C8CD85F">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先进半导体   □</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6170BF69">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6FF16E37">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高端装备</w:t>
            </w:r>
          </w:p>
        </w:tc>
      </w:tr>
      <w:tr w14:paraId="29567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00" w:hRule="exact"/>
          <w:jc w:val="center"/>
        </w:trPr>
        <w:tc>
          <w:tcPr>
            <w:tcW w:w="1650" w:type="dxa"/>
            <w:vAlign w:val="center"/>
          </w:tcPr>
          <w:p w14:paraId="5E7C8FD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64" w:type="dxa"/>
            <w:gridSpan w:val="3"/>
            <w:vAlign w:val="center"/>
          </w:tcPr>
          <w:p w14:paraId="455C7BCE">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10</w:t>
            </w:r>
            <w:r>
              <w:rPr>
                <w:rFonts w:ascii="Times New Roman" w:hAnsi="Times New Roman" w:eastAsia="宋体" w:cs="Times New Roman"/>
                <w:bCs/>
                <w:sz w:val="28"/>
                <w:szCs w:val="21"/>
              </w:rPr>
              <w:t>00万</w:t>
            </w:r>
          </w:p>
        </w:tc>
      </w:tr>
      <w:tr w14:paraId="4EF4C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50" w:type="dxa"/>
            <w:vAlign w:val="center"/>
          </w:tcPr>
          <w:p w14:paraId="0CB0803E">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64" w:type="dxa"/>
            <w:gridSpan w:val="3"/>
            <w:vAlign w:val="center"/>
          </w:tcPr>
          <w:p w14:paraId="1822BA70">
            <w:pPr>
              <w:spacing w:line="320" w:lineRule="exact"/>
              <w:ind w:left="160" w:leftChars="50"/>
              <w:rPr>
                <w:rFonts w:ascii="Times New Roman" w:hAnsi="Times New Roman" w:eastAsia="宋体" w:cs="Times New Roman"/>
                <w:bCs/>
                <w:sz w:val="28"/>
                <w:szCs w:val="21"/>
              </w:rPr>
            </w:pPr>
            <w:r>
              <w:rPr>
                <w:rFonts w:ascii="Arial" w:hAnsi="Arial" w:eastAsia="宋体" w:cs="Arial"/>
                <w:color w:val="333333"/>
                <w:sz w:val="28"/>
                <w:szCs w:val="28"/>
              </w:rPr>
              <w:t>急性/慢性肝损伤的乏氧可逆双模式成像</w:t>
            </w:r>
          </w:p>
        </w:tc>
      </w:tr>
      <w:tr w14:paraId="4147F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729" w:hRule="exact"/>
          <w:jc w:val="center"/>
        </w:trPr>
        <w:tc>
          <w:tcPr>
            <w:tcW w:w="1650" w:type="dxa"/>
            <w:vAlign w:val="center"/>
          </w:tcPr>
          <w:p w14:paraId="730ED3F1">
            <w:pPr>
              <w:spacing w:line="540" w:lineRule="exact"/>
              <w:ind w:firstLine="516" w:firstLineChars="200"/>
              <w:rPr>
                <w:rFonts w:hint="eastAsia" w:asciiTheme="minorEastAsia" w:hAnsiTheme="minorEastAsia" w:eastAsiaTheme="minorEastAsia" w:cstheme="minorEastAsia"/>
                <w:spacing w:val="-11"/>
                <w:sz w:val="28"/>
                <w:szCs w:val="28"/>
                <w:lang w:val="en-US" w:eastAsia="zh-CN"/>
              </w:rPr>
            </w:pPr>
            <w:r>
              <w:rPr>
                <w:rFonts w:hint="eastAsia" w:asciiTheme="minorEastAsia" w:hAnsiTheme="minorEastAsia" w:eastAsiaTheme="minorEastAsia" w:cstheme="minorEastAsia"/>
                <w:spacing w:val="-11"/>
                <w:sz w:val="28"/>
                <w:szCs w:val="28"/>
                <w:lang w:val="en-US" w:eastAsia="zh-CN"/>
              </w:rPr>
              <w:t>成果简介</w:t>
            </w:r>
          </w:p>
        </w:tc>
        <w:tc>
          <w:tcPr>
            <w:tcW w:w="7364" w:type="dxa"/>
            <w:gridSpan w:val="3"/>
            <w:shd w:val="clear" w:color="auto" w:fill="auto"/>
            <w:vAlign w:val="center"/>
          </w:tcPr>
          <w:p w14:paraId="343F6BFF">
            <w:pPr>
              <w:spacing w:line="320" w:lineRule="exact"/>
              <w:jc w:val="left"/>
              <w:rPr>
                <w:rFonts w:hint="eastAsia" w:ascii="宋体" w:hAnsi="宋体" w:eastAsia="宋体" w:cs="宋体"/>
                <w:b/>
                <w:bCs/>
                <w:sz w:val="28"/>
                <w:szCs w:val="28"/>
              </w:rPr>
            </w:pPr>
            <w:r>
              <w:rPr>
                <w:rFonts w:hint="eastAsia" w:ascii="宋体" w:hAnsi="宋体" w:eastAsia="宋体" w:cs="宋体"/>
                <w:b/>
                <w:bCs/>
                <w:sz w:val="28"/>
                <w:szCs w:val="28"/>
              </w:rPr>
              <w:t>1. 市场应用前景</w:t>
            </w:r>
          </w:p>
          <w:p w14:paraId="2DBBB404">
            <w:pPr>
              <w:spacing w:line="320" w:lineRule="exact"/>
              <w:jc w:val="left"/>
              <w:rPr>
                <w:rFonts w:hint="eastAsia" w:ascii="宋体" w:hAnsi="宋体" w:eastAsia="宋体" w:cs="宋体"/>
                <w:sz w:val="28"/>
                <w:szCs w:val="28"/>
              </w:rPr>
            </w:pPr>
            <w:r>
              <w:rPr>
                <w:rFonts w:hint="eastAsia" w:ascii="宋体" w:hAnsi="宋体" w:eastAsia="宋体" w:cs="宋体"/>
                <w:sz w:val="28"/>
                <w:szCs w:val="28"/>
              </w:rPr>
              <w:t>(1) 探针AzoCy-CF3可以精确区分肿瘤乏氧异质化，为可视化测定乏氧程度和辅助癌症治疗提供有力的分子工具。</w:t>
            </w:r>
          </w:p>
          <w:p w14:paraId="40E1B44A">
            <w:pPr>
              <w:spacing w:line="320" w:lineRule="exact"/>
              <w:jc w:val="left"/>
              <w:rPr>
                <w:rFonts w:hint="eastAsia" w:ascii="宋体" w:hAnsi="宋体" w:eastAsia="宋体" w:cs="宋体"/>
                <w:sz w:val="28"/>
                <w:szCs w:val="28"/>
              </w:rPr>
            </w:pPr>
            <w:r>
              <w:rPr>
                <w:rFonts w:hint="eastAsia" w:ascii="宋体" w:hAnsi="宋体" w:eastAsia="宋体" w:cs="宋体"/>
                <w:sz w:val="28"/>
                <w:szCs w:val="28"/>
              </w:rPr>
              <w:t>(2) 探针AzoCyS-CF3具有肝脏代谢和保留的能力，能实时跟踪肝脏缺血再灌注（HIR）手术中乏氧-复氧过程，且响应时间为20分钟，具有手术导航的潜在作用。</w:t>
            </w:r>
          </w:p>
          <w:p w14:paraId="1895508D">
            <w:pPr>
              <w:spacing w:line="320" w:lineRule="exact"/>
              <w:jc w:val="left"/>
              <w:rPr>
                <w:rFonts w:hint="eastAsia" w:ascii="宋体" w:hAnsi="宋体" w:eastAsia="宋体" w:cs="宋体"/>
                <w:sz w:val="28"/>
                <w:szCs w:val="28"/>
              </w:rPr>
            </w:pPr>
            <w:r>
              <w:rPr>
                <w:rFonts w:hint="eastAsia" w:ascii="宋体" w:hAnsi="宋体" w:eastAsia="宋体" w:cs="宋体"/>
                <w:sz w:val="28"/>
                <w:szCs w:val="28"/>
              </w:rPr>
              <w:t>(3) AzoCys-CF3可作为一种有效的NIRF/PA双模态成像试剂，成功可视化了非酒精性脂肪肝(NAFLD)模型中慢性肝脏乏氧的程度，用于监测慢性肝缺氧和评估保肝药物对NAFLD的治疗效果。</w:t>
            </w:r>
          </w:p>
          <w:p w14:paraId="2A1661B3">
            <w:pPr>
              <w:spacing w:line="320" w:lineRule="exact"/>
              <w:jc w:val="left"/>
              <w:rPr>
                <w:rFonts w:hint="eastAsia" w:ascii="宋体" w:hAnsi="宋体" w:eastAsia="宋体" w:cs="宋体"/>
                <w:sz w:val="28"/>
                <w:szCs w:val="28"/>
              </w:rPr>
            </w:pPr>
          </w:p>
          <w:p w14:paraId="7D010B6E">
            <w:pPr>
              <w:spacing w:line="320" w:lineRule="exact"/>
              <w:jc w:val="left"/>
              <w:rPr>
                <w:rFonts w:hint="eastAsia" w:ascii="宋体" w:hAnsi="宋体" w:eastAsia="宋体" w:cs="宋体"/>
                <w:b/>
                <w:bCs/>
                <w:sz w:val="28"/>
                <w:szCs w:val="28"/>
              </w:rPr>
            </w:pPr>
            <w:r>
              <w:rPr>
                <w:rFonts w:hint="eastAsia" w:ascii="宋体" w:hAnsi="宋体" w:eastAsia="宋体" w:cs="宋体"/>
                <w:b/>
                <w:bCs/>
                <w:sz w:val="28"/>
                <w:szCs w:val="28"/>
              </w:rPr>
              <w:t>2. 痛点问题</w:t>
            </w:r>
          </w:p>
          <w:p w14:paraId="7ECFD113">
            <w:pPr>
              <w:spacing w:line="320" w:lineRule="exact"/>
              <w:jc w:val="left"/>
              <w:rPr>
                <w:rFonts w:hint="eastAsia" w:ascii="宋体" w:hAnsi="宋体" w:eastAsia="宋体" w:cs="宋体"/>
                <w:color w:val="333333"/>
                <w:kern w:val="2"/>
                <w:sz w:val="28"/>
                <w:szCs w:val="28"/>
                <w:lang w:val="en-US" w:eastAsia="zh-CN" w:bidi="ar-SA"/>
              </w:rPr>
            </w:pPr>
            <w:r>
              <w:rPr>
                <w:rFonts w:hint="eastAsia" w:ascii="宋体" w:hAnsi="宋体" w:eastAsia="宋体" w:cs="宋体"/>
                <w:sz w:val="28"/>
                <w:szCs w:val="28"/>
              </w:rPr>
              <w:t>循环性缺氧已被认为是多种肝脏疾病的典型特征，其实时成像对于更好地了解其生物学功能具有重要意义。近年来，文献报道了多例用于诊断肝脏乏氧的敏感型荧光探针，并进一步将荧光成像与光声成像相结合，以高灵敏度和高组织穿透深度的特点可视化细胞和组织的形态结构。然而，大多数乏氧探针是不可逆的，换言之，探针一旦响应乏氧环境将始终保持荧光“开启”状态，不再实时地监测氧气压力(pO2)变化，这不可避免地导致“假阳性”信号。因此，目前尚缺乏有效的光学探针用于肝脏循环乏氧的实时动态检测。</w:t>
            </w:r>
          </w:p>
        </w:tc>
      </w:tr>
      <w:tr w14:paraId="3AF6C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3684" w:hRule="exact"/>
          <w:jc w:val="center"/>
        </w:trPr>
        <w:tc>
          <w:tcPr>
            <w:tcW w:w="1650" w:type="dxa"/>
            <w:vAlign w:val="center"/>
          </w:tcPr>
          <w:p w14:paraId="04833C6F">
            <w:pPr>
              <w:spacing w:line="540" w:lineRule="exact"/>
              <w:ind w:firstLine="516" w:firstLineChars="200"/>
              <w:rPr>
                <w:rFonts w:hint="eastAsia" w:asciiTheme="minorEastAsia" w:hAnsiTheme="minorEastAsia" w:eastAsiaTheme="minorEastAsia" w:cstheme="minorEastAsia"/>
                <w:spacing w:val="-11"/>
                <w:sz w:val="28"/>
                <w:szCs w:val="28"/>
                <w:lang w:val="en-US" w:eastAsia="zh-CN"/>
              </w:rPr>
            </w:pPr>
          </w:p>
        </w:tc>
        <w:tc>
          <w:tcPr>
            <w:tcW w:w="7364" w:type="dxa"/>
            <w:gridSpan w:val="3"/>
            <w:shd w:val="clear" w:color="auto" w:fill="auto"/>
            <w:vAlign w:val="top"/>
          </w:tcPr>
          <w:p w14:paraId="2048D19C">
            <w:pPr>
              <w:spacing w:line="320" w:lineRule="exact"/>
              <w:jc w:val="left"/>
              <w:rPr>
                <w:rFonts w:hint="eastAsia" w:ascii="宋体" w:hAnsi="宋体" w:eastAsia="宋体" w:cs="宋体"/>
                <w:b/>
                <w:bCs/>
                <w:sz w:val="28"/>
                <w:szCs w:val="28"/>
              </w:rPr>
            </w:pPr>
            <w:r>
              <w:rPr>
                <w:rFonts w:hint="eastAsia" w:ascii="宋体" w:hAnsi="宋体" w:eastAsia="宋体" w:cs="宋体"/>
                <w:b/>
                <w:bCs/>
                <w:sz w:val="28"/>
                <w:szCs w:val="28"/>
              </w:rPr>
              <w:t>3. 解决方案</w:t>
            </w:r>
          </w:p>
          <w:p w14:paraId="185F04BC">
            <w:pPr>
              <w:spacing w:line="320" w:lineRule="exact"/>
              <w:jc w:val="left"/>
              <w:rPr>
                <w:rFonts w:hint="eastAsia" w:ascii="宋体" w:hAnsi="宋体" w:eastAsia="宋体" w:cs="宋体"/>
                <w:sz w:val="28"/>
                <w:szCs w:val="28"/>
              </w:rPr>
            </w:pPr>
            <w:r>
              <w:rPr>
                <w:rFonts w:hint="eastAsia" w:ascii="宋体" w:hAnsi="宋体" w:eastAsia="宋体" w:cs="宋体"/>
                <w:sz w:val="28"/>
                <w:szCs w:val="28"/>
              </w:rPr>
              <w:t>南京大学郭子建院士陈韵聪教授团队开发了一例新颖的近红外乏氧可逆探针A20Cy:CF3,由荧光报告单元碗杂辰部花晋和乏氧识别基团双三氟甲基芳环偶氙组成，A20C4-CF3深针在体外和细胞中均表现出"乏氧:复氧:环境下的循环可逆成像，并成功应用于肝脏缺血再灌注模型和非酒精性脂肪肝模型的乏氧监测,为建立一个专门用于诊断和监测乏氧相关性肝脏疾病的平台提供了一个强大而可靠的成像工具。</w:t>
            </w:r>
          </w:p>
          <w:p w14:paraId="50CBFAFB">
            <w:pPr>
              <w:spacing w:line="320" w:lineRule="exact"/>
              <w:jc w:val="left"/>
              <w:rPr>
                <w:rFonts w:hint="eastAsia" w:ascii="宋体" w:hAnsi="宋体" w:eastAsia="宋体" w:cs="宋体"/>
                <w:sz w:val="28"/>
                <w:szCs w:val="28"/>
              </w:rPr>
            </w:pPr>
          </w:p>
          <w:p w14:paraId="1B0DA620">
            <w:pPr>
              <w:spacing w:line="320" w:lineRule="exact"/>
              <w:jc w:val="left"/>
              <w:rPr>
                <w:rFonts w:hint="eastAsia" w:ascii="宋体" w:hAnsi="宋体" w:eastAsia="宋体" w:cs="宋体"/>
                <w:b/>
                <w:bCs/>
                <w:sz w:val="28"/>
                <w:szCs w:val="28"/>
              </w:rPr>
            </w:pPr>
            <w:r>
              <w:rPr>
                <w:rFonts w:hint="eastAsia" w:ascii="宋体" w:hAnsi="宋体" w:eastAsia="宋体" w:cs="宋体"/>
                <w:b/>
                <w:bCs/>
                <w:sz w:val="28"/>
                <w:szCs w:val="28"/>
              </w:rPr>
              <w:t>4.竞争优势分析</w:t>
            </w:r>
          </w:p>
          <w:p w14:paraId="151D8FEB">
            <w:pPr>
              <w:spacing w:line="320" w:lineRule="exact"/>
              <w:jc w:val="left"/>
              <w:rPr>
                <w:rFonts w:hint="eastAsia" w:ascii="宋体" w:hAnsi="宋体" w:eastAsia="宋体" w:cs="宋体"/>
                <w:sz w:val="28"/>
                <w:szCs w:val="28"/>
              </w:rPr>
            </w:pPr>
            <w:r>
              <w:rPr>
                <w:rFonts w:hint="eastAsia" w:ascii="宋体" w:hAnsi="宋体" w:eastAsia="宋体" w:cs="宋体"/>
                <w:sz w:val="28"/>
                <w:szCs w:val="28"/>
              </w:rPr>
              <w:t>(1)该探针由于偶氨键的快速异构化而淬灭荧光，在乏氧状态下，偶氣键还原为肼键并伴随吸收波长红移，760 nm 处荧光增强96.3倍(2)Az0Cy-CF3探针在体外溶液和细胞中都表现出“乏氧,复氧,环境下的循环可逆成像，且在肝正常L02和肝癌 HepG2 细胞乏氧状态下表现出较高的氧含量敏感性(3)进一步将探针Az0Cy-CF3应用于开脏缺血再灌注(HIR)模型中，实时"可逆性"跟踪 HIR过程，即在缺血时近红外荧光光声(NIRFIPA)信号增强，再灌注时NRFIPA信号减弱,如此循环往复。</w:t>
            </w:r>
          </w:p>
          <w:p w14:paraId="6D141D56">
            <w:pPr>
              <w:spacing w:line="320" w:lineRule="exact"/>
              <w:jc w:val="left"/>
              <w:rPr>
                <w:rFonts w:hint="eastAsia" w:ascii="宋体" w:hAnsi="宋体" w:eastAsia="宋体" w:cs="宋体"/>
                <w:sz w:val="28"/>
                <w:szCs w:val="28"/>
              </w:rPr>
            </w:pPr>
          </w:p>
          <w:p w14:paraId="0365E2E1">
            <w:pPr>
              <w:spacing w:line="320" w:lineRule="exact"/>
              <w:jc w:val="left"/>
              <w:rPr>
                <w:rFonts w:hint="eastAsia" w:ascii="宋体" w:hAnsi="宋体" w:eastAsia="宋体" w:cs="宋体"/>
                <w:b/>
                <w:bCs/>
                <w:sz w:val="28"/>
                <w:szCs w:val="28"/>
              </w:rPr>
            </w:pPr>
            <w:r>
              <w:rPr>
                <w:rFonts w:hint="eastAsia" w:ascii="宋体" w:hAnsi="宋体" w:eastAsia="宋体" w:cs="宋体"/>
                <w:b/>
                <w:bCs/>
                <w:sz w:val="28"/>
                <w:szCs w:val="28"/>
              </w:rPr>
              <w:t>5.发展规划</w:t>
            </w:r>
          </w:p>
          <w:p w14:paraId="0F44E370">
            <w:pPr>
              <w:spacing w:line="320" w:lineRule="exact"/>
              <w:jc w:val="left"/>
              <w:rPr>
                <w:rFonts w:hint="eastAsia" w:ascii="宋体" w:hAnsi="宋体" w:eastAsia="宋体" w:cs="宋体"/>
                <w:bCs/>
                <w:kern w:val="2"/>
                <w:sz w:val="28"/>
                <w:szCs w:val="28"/>
                <w:lang w:val="en-US" w:eastAsia="zh-CN" w:bidi="ar-SA"/>
              </w:rPr>
            </w:pPr>
            <w:r>
              <w:rPr>
                <w:rFonts w:hint="eastAsia" w:ascii="宋体" w:hAnsi="宋体" w:eastAsia="宋体" w:cs="宋体"/>
                <w:sz w:val="28"/>
                <w:szCs w:val="28"/>
              </w:rPr>
              <w:t>基于目前的研究成果，团队将继续开发响应速度更快的乏氧可逆活体成像探针，并应用于其他乏氧相关疾病的示踪、药物疗效评价以及荧光导航肿瘤切除手术等场景。</w:t>
            </w:r>
          </w:p>
        </w:tc>
      </w:tr>
    </w:tbl>
    <w:p w14:paraId="0AC2BA36">
      <w:pP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eastAsia="zh-CN"/>
        </w:rPr>
        <w:t>编号</w:t>
      </w:r>
      <w:r>
        <w:rPr>
          <w:rFonts w:hint="eastAsia" w:ascii="Times New Roman" w:hAnsi="Times New Roman" w:eastAsia="黑体" w:cs="Times New Roman"/>
          <w:sz w:val="32"/>
          <w:szCs w:val="32"/>
          <w:lang w:val="en-US" w:eastAsia="zh-CN"/>
        </w:rPr>
        <w:t>15</w:t>
      </w:r>
    </w:p>
    <w:p w14:paraId="7543244A">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54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66"/>
        <w:gridCol w:w="3312"/>
        <w:gridCol w:w="1856"/>
        <w:gridCol w:w="2884"/>
      </w:tblGrid>
      <w:tr w14:paraId="5B0FB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56" w:type="dxa"/>
            <w:vAlign w:val="center"/>
          </w:tcPr>
          <w:p w14:paraId="5B8BA15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106" w:type="dxa"/>
            <w:vAlign w:val="center"/>
          </w:tcPr>
          <w:p w14:paraId="39C6DB4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常州南京大学高新技术研究院</w:t>
            </w:r>
          </w:p>
        </w:tc>
        <w:tc>
          <w:tcPr>
            <w:tcW w:w="1740" w:type="dxa"/>
            <w:vAlign w:val="center"/>
          </w:tcPr>
          <w:p w14:paraId="5123B78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704" w:type="dxa"/>
            <w:vAlign w:val="center"/>
          </w:tcPr>
          <w:p w14:paraId="14B2237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123204004672993413</w:t>
            </w:r>
          </w:p>
        </w:tc>
      </w:tr>
      <w:tr w14:paraId="4EB7A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56" w:type="dxa"/>
            <w:vAlign w:val="center"/>
          </w:tcPr>
          <w:p w14:paraId="67E8E843">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106" w:type="dxa"/>
            <w:vAlign w:val="center"/>
          </w:tcPr>
          <w:p w14:paraId="3E3DA10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常州市常武中路</w:t>
            </w:r>
            <w:r>
              <w:rPr>
                <w:rFonts w:hint="eastAsia" w:ascii="Times New Roman" w:hAnsi="Times New Roman" w:eastAsia="宋体" w:cs="Times New Roman"/>
                <w:bCs/>
                <w:sz w:val="28"/>
                <w:szCs w:val="21"/>
              </w:rPr>
              <w:t>18-88</w:t>
            </w:r>
            <w:r>
              <w:rPr>
                <w:rFonts w:ascii="Times New Roman" w:hAnsi="Times New Roman" w:eastAsia="宋体" w:cs="Times New Roman"/>
                <w:bCs/>
                <w:sz w:val="28"/>
                <w:szCs w:val="21"/>
              </w:rPr>
              <w:t>号</w:t>
            </w:r>
          </w:p>
        </w:tc>
        <w:tc>
          <w:tcPr>
            <w:tcW w:w="1740" w:type="dxa"/>
            <w:vAlign w:val="center"/>
          </w:tcPr>
          <w:p w14:paraId="0C1D039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704" w:type="dxa"/>
            <w:vAlign w:val="center"/>
          </w:tcPr>
          <w:p w14:paraId="1A8D292F">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岳邦毅</w:t>
            </w:r>
          </w:p>
        </w:tc>
      </w:tr>
      <w:tr w14:paraId="2FBC9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56" w:type="dxa"/>
            <w:vAlign w:val="center"/>
          </w:tcPr>
          <w:p w14:paraId="776020D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106" w:type="dxa"/>
            <w:vAlign w:val="center"/>
          </w:tcPr>
          <w:p w14:paraId="1550F70C">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189 6129 9766</w:t>
            </w:r>
          </w:p>
        </w:tc>
        <w:tc>
          <w:tcPr>
            <w:tcW w:w="1740" w:type="dxa"/>
            <w:vAlign w:val="center"/>
          </w:tcPr>
          <w:p w14:paraId="10971DCB">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704" w:type="dxa"/>
            <w:vAlign w:val="center"/>
          </w:tcPr>
          <w:p w14:paraId="58618E0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627823152@qq.com</w:t>
            </w:r>
          </w:p>
        </w:tc>
      </w:tr>
      <w:tr w14:paraId="52248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656" w:type="dxa"/>
            <w:vAlign w:val="center"/>
          </w:tcPr>
          <w:p w14:paraId="27D55E0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550" w:type="dxa"/>
            <w:gridSpan w:val="3"/>
            <w:vAlign w:val="center"/>
          </w:tcPr>
          <w:p w14:paraId="56EEBE12">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先进半导体   </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0B472D21">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6C86A2CD">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高端装备</w:t>
            </w:r>
          </w:p>
        </w:tc>
      </w:tr>
      <w:tr w14:paraId="73959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56" w:type="dxa"/>
            <w:vAlign w:val="center"/>
          </w:tcPr>
          <w:p w14:paraId="36CB17A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550" w:type="dxa"/>
            <w:gridSpan w:val="3"/>
            <w:vAlign w:val="center"/>
          </w:tcPr>
          <w:p w14:paraId="3258A6A2">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6</w:t>
            </w:r>
            <w:r>
              <w:rPr>
                <w:rFonts w:ascii="Times New Roman" w:hAnsi="Times New Roman" w:eastAsia="宋体" w:cs="Times New Roman"/>
                <w:bCs/>
                <w:sz w:val="28"/>
                <w:szCs w:val="21"/>
              </w:rPr>
              <w:t>00万</w:t>
            </w:r>
          </w:p>
        </w:tc>
      </w:tr>
      <w:tr w14:paraId="401F8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19" w:hRule="exact"/>
          <w:jc w:val="center"/>
        </w:trPr>
        <w:tc>
          <w:tcPr>
            <w:tcW w:w="1656" w:type="dxa"/>
            <w:vAlign w:val="center"/>
          </w:tcPr>
          <w:p w14:paraId="21F454B8">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550" w:type="dxa"/>
            <w:gridSpan w:val="3"/>
            <w:vAlign w:val="center"/>
          </w:tcPr>
          <w:p w14:paraId="1F71127D">
            <w:pPr>
              <w:spacing w:line="320" w:lineRule="exact"/>
              <w:ind w:left="160" w:leftChars="50"/>
              <w:rPr>
                <w:rFonts w:ascii="Times New Roman" w:hAnsi="Times New Roman" w:eastAsia="宋体" w:cs="Times New Roman"/>
                <w:bCs/>
                <w:sz w:val="28"/>
                <w:szCs w:val="21"/>
              </w:rPr>
            </w:pPr>
            <w:r>
              <w:rPr>
                <w:rFonts w:ascii="Arial" w:hAnsi="Arial" w:eastAsia="宋体" w:cs="Arial"/>
                <w:color w:val="333333"/>
                <w:sz w:val="28"/>
                <w:szCs w:val="28"/>
              </w:rPr>
              <w:t>微囊藻毒素-RR（MC-RR）在制备预防和治疗组织纤维化疾病药物中的用途</w:t>
            </w:r>
          </w:p>
        </w:tc>
      </w:tr>
      <w:tr w14:paraId="21923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911" w:hRule="atLeast"/>
          <w:jc w:val="center"/>
        </w:trPr>
        <w:tc>
          <w:tcPr>
            <w:tcW w:w="1656" w:type="dxa"/>
            <w:vAlign w:val="center"/>
          </w:tcPr>
          <w:p w14:paraId="62AEA253">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550" w:type="dxa"/>
            <w:gridSpan w:val="3"/>
            <w:shd w:val="clear" w:color="auto" w:fill="auto"/>
            <w:vAlign w:val="center"/>
          </w:tcPr>
          <w:p w14:paraId="5E8DCD18">
            <w:pPr>
              <w:spacing w:line="320" w:lineRule="exact"/>
              <w:jc w:val="left"/>
              <w:rPr>
                <w:rFonts w:hint="eastAsia" w:ascii="宋体" w:hAnsi="宋体" w:eastAsia="宋体" w:cs="宋体"/>
                <w:b/>
                <w:bCs/>
                <w:sz w:val="28"/>
                <w:szCs w:val="28"/>
              </w:rPr>
            </w:pP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市场应用前景</w:t>
            </w:r>
          </w:p>
          <w:p w14:paraId="373EFD54">
            <w:pPr>
              <w:spacing w:line="320" w:lineRule="exact"/>
              <w:jc w:val="left"/>
              <w:rPr>
                <w:rFonts w:hint="eastAsia" w:ascii="宋体" w:hAnsi="宋体" w:eastAsia="宋体" w:cs="宋体"/>
                <w:sz w:val="28"/>
                <w:szCs w:val="28"/>
              </w:rPr>
            </w:pPr>
            <w:r>
              <w:rPr>
                <w:rFonts w:hint="eastAsia" w:ascii="宋体" w:hAnsi="宋体" w:eastAsia="宋体" w:cs="宋体"/>
                <w:sz w:val="28"/>
                <w:szCs w:val="28"/>
              </w:rPr>
              <w:t xml:space="preserve"> MC-RR抑制组织纤维化疾病发生的生物学作用具有一定的普适性。已完成的实验工作显示，MC-RR对模型动物的肺纤维化、肾纤维化均表现出良好的治疗作用。</w:t>
            </w:r>
          </w:p>
          <w:p w14:paraId="0138645A">
            <w:pPr>
              <w:spacing w:line="320" w:lineRule="exact"/>
              <w:jc w:val="left"/>
              <w:rPr>
                <w:rFonts w:hint="eastAsia" w:ascii="宋体" w:hAnsi="宋体" w:eastAsia="宋体" w:cs="宋体"/>
                <w:sz w:val="28"/>
                <w:szCs w:val="28"/>
              </w:rPr>
            </w:pPr>
            <w:r>
              <w:rPr>
                <w:rFonts w:hint="eastAsia" w:ascii="宋体" w:hAnsi="宋体" w:eastAsia="宋体" w:cs="宋体"/>
                <w:sz w:val="28"/>
                <w:szCs w:val="28"/>
              </w:rPr>
              <w:t xml:space="preserve"> </w:t>
            </w:r>
          </w:p>
          <w:p w14:paraId="6BAB528E">
            <w:pPr>
              <w:spacing w:line="320" w:lineRule="exact"/>
              <w:jc w:val="left"/>
              <w:rPr>
                <w:rFonts w:hint="eastAsia" w:ascii="宋体" w:hAnsi="宋体" w:eastAsia="宋体" w:cs="宋体"/>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痛点问题</w:t>
            </w:r>
            <w:r>
              <w:rPr>
                <w:rFonts w:hint="eastAsia" w:ascii="宋体" w:hAnsi="宋体" w:eastAsia="宋体" w:cs="宋体"/>
                <w:sz w:val="28"/>
                <w:szCs w:val="28"/>
              </w:rPr>
              <w:t xml:space="preserve"> </w:t>
            </w:r>
          </w:p>
          <w:p w14:paraId="3DF60D76">
            <w:pPr>
              <w:spacing w:line="320" w:lineRule="exact"/>
              <w:jc w:val="left"/>
              <w:rPr>
                <w:rFonts w:hint="eastAsia" w:ascii="宋体" w:hAnsi="宋体" w:eastAsia="宋体" w:cs="宋体"/>
                <w:sz w:val="28"/>
                <w:szCs w:val="28"/>
              </w:rPr>
            </w:pPr>
            <w:r>
              <w:rPr>
                <w:rFonts w:hint="eastAsia" w:ascii="宋体" w:hAnsi="宋体" w:eastAsia="宋体" w:cs="宋体"/>
                <w:sz w:val="28"/>
                <w:szCs w:val="28"/>
              </w:rPr>
              <w:t>肺纤维化(Pulmonary fibrosis, PF)是由多种体内外因素引起的严重弥漫性肺间质性疾病。截至目前，美国FDA及国际相关专业学会有限推荐肺纤维化的治疗药物仅有尼达尼布（Nintedanib）和吡非尼酮（Pirfenidone）两种药物。这两种药物临床具有明确的减少肺纤维化患者临床突发事件的发生，并具有延缓肺纤维化进程的作用。但不能终止肺纤维化的病理过程，对于挽救患者的生命没有显著效果。在其他组织器官纤维化性疾病的临床治疗中亦存在缺乏有效药物的问题。因此，发掘组织器官纤维化疾病的有效治疗药物具有紧迫的临床和社会需求。</w:t>
            </w:r>
          </w:p>
          <w:p w14:paraId="2F1AAE77">
            <w:pPr>
              <w:spacing w:line="320" w:lineRule="exact"/>
              <w:jc w:val="left"/>
              <w:rPr>
                <w:rFonts w:hint="eastAsia" w:ascii="宋体" w:hAnsi="宋体" w:eastAsia="宋体" w:cs="宋体"/>
                <w:sz w:val="28"/>
                <w:szCs w:val="28"/>
                <w:lang w:val="en-US" w:eastAsia="zh-CN"/>
              </w:rPr>
            </w:pPr>
          </w:p>
          <w:p w14:paraId="775FBE48">
            <w:pPr>
              <w:spacing w:line="320" w:lineRule="exact"/>
              <w:jc w:val="left"/>
              <w:rPr>
                <w:rFonts w:hint="eastAsia" w:ascii="宋体" w:hAnsi="宋体" w:eastAsia="宋体" w:cs="宋体"/>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解决方案</w:t>
            </w:r>
            <w:r>
              <w:rPr>
                <w:rFonts w:hint="eastAsia" w:ascii="宋体" w:hAnsi="宋体" w:eastAsia="宋体" w:cs="宋体"/>
                <w:sz w:val="28"/>
                <w:szCs w:val="28"/>
              </w:rPr>
              <w:t xml:space="preserve"> </w:t>
            </w:r>
          </w:p>
          <w:p w14:paraId="16E6BFE9">
            <w:pPr>
              <w:spacing w:line="320" w:lineRule="exact"/>
              <w:jc w:val="left"/>
              <w:rPr>
                <w:rFonts w:hint="eastAsia" w:ascii="宋体" w:hAnsi="宋体" w:eastAsia="宋体" w:cs="宋体"/>
                <w:sz w:val="28"/>
                <w:szCs w:val="28"/>
              </w:rPr>
            </w:pPr>
            <w:r>
              <w:rPr>
                <w:rFonts w:hint="eastAsia" w:ascii="宋体" w:hAnsi="宋体" w:eastAsia="宋体" w:cs="宋体"/>
                <w:sz w:val="28"/>
                <w:szCs w:val="28"/>
              </w:rPr>
              <w:t>南京大学王亚平团队在针对微囊藻毒素生物学作用的研究中偶然发现，微囊藻毒素-LR（MC-LR）、微囊藻毒素-RR（MC-RR）存在抑制组织纤维化发生的生物学作用，具有发展组织纤维化疾病治疗药物的潜能。MC-LR毒性较高，而MC-RR毒性较低。后续实验显示，MC-LR和MC-RR的抗纤维化作用与其毒理机制无关，MC-RR抗组织纤维化的效能优于MC-LR。</w:t>
            </w:r>
          </w:p>
          <w:p w14:paraId="5C2CCB06">
            <w:pPr>
              <w:spacing w:line="320" w:lineRule="exact"/>
              <w:jc w:val="left"/>
              <w:rPr>
                <w:rFonts w:hint="eastAsia" w:ascii="宋体" w:hAnsi="宋体" w:eastAsia="宋体" w:cs="宋体"/>
                <w:sz w:val="28"/>
                <w:szCs w:val="28"/>
              </w:rPr>
            </w:pPr>
            <w:r>
              <w:rPr>
                <w:rFonts w:hint="eastAsia" w:ascii="宋体" w:hAnsi="宋体" w:eastAsia="宋体" w:cs="宋体"/>
                <w:sz w:val="28"/>
                <w:szCs w:val="28"/>
              </w:rPr>
              <w:t xml:space="preserve">团队深入研究发现MC-RR治疗组织器官纤维化主要体现在以下两方面机制： </w:t>
            </w:r>
          </w:p>
          <w:p w14:paraId="1DAD02E6">
            <w:pPr>
              <w:spacing w:line="320" w:lineRule="exact"/>
              <w:jc w:val="left"/>
              <w:rPr>
                <w:rFonts w:hint="eastAsia" w:ascii="宋体" w:hAnsi="宋体" w:eastAsia="宋体" w:cs="宋体"/>
                <w:sz w:val="28"/>
                <w:szCs w:val="28"/>
              </w:rPr>
            </w:pPr>
            <w:r>
              <w:rPr>
                <w:rFonts w:hint="eastAsia" w:ascii="宋体" w:hAnsi="宋体" w:eastAsia="宋体" w:cs="宋体"/>
                <w:sz w:val="28"/>
                <w:szCs w:val="28"/>
              </w:rPr>
              <w:t>（1）葡萄糖调控蛋白GRP78是内质网应激的主调控蛋白，MC-RR可与内质网应激（ERS）关联的热休克蛋白70（HSP70）家族的GRP78结合，抑制内质网应激下游信号通路的激活，进而降低组织纤维化发生的关键信号通路的活性，达到治疗肺纤维化的目的。</w:t>
            </w:r>
          </w:p>
          <w:p w14:paraId="5B28A397">
            <w:pPr>
              <w:spacing w:line="320" w:lineRule="exact"/>
              <w:jc w:val="left"/>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内质网应激和PKM2/HIF-1α/STAT3信号是近年认识的靶向肺纤维化治疗的重要靶标。MC-RR可与肌成纤维细胞糖酵解代谢通路限速酶PKM2相互作用，抑制PKM2二聚体形成，进而阻抑PKM2磷酸化（p- PKM2）及其进入细胞核，达到下调PKM2/HIF-1α/STAT3信号通路、抑制肌成纤维细胞增殖和间质蛋白分泌的作用，实现对组织纤维化疾病的治疗。</w:t>
            </w:r>
          </w:p>
          <w:p w14:paraId="1474A4E9">
            <w:pPr>
              <w:spacing w:line="320" w:lineRule="exact"/>
              <w:jc w:val="left"/>
              <w:rPr>
                <w:rFonts w:hint="eastAsia" w:ascii="宋体" w:hAnsi="宋体" w:eastAsia="宋体" w:cs="宋体"/>
                <w:sz w:val="28"/>
                <w:szCs w:val="28"/>
                <w:lang w:val="en-US" w:eastAsia="zh-CN"/>
              </w:rPr>
            </w:pPr>
          </w:p>
          <w:p w14:paraId="63676412">
            <w:pPr>
              <w:spacing w:line="320" w:lineRule="exact"/>
              <w:jc w:val="left"/>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 xml:space="preserve">竞争优势分析 </w:t>
            </w:r>
          </w:p>
          <w:p w14:paraId="2901BADC">
            <w:pPr>
              <w:spacing w:line="320" w:lineRule="exact"/>
              <w:jc w:val="left"/>
              <w:rPr>
                <w:rFonts w:hint="eastAsia" w:ascii="宋体" w:hAnsi="宋体" w:eastAsia="宋体" w:cs="宋体"/>
                <w:sz w:val="28"/>
                <w:szCs w:val="28"/>
              </w:rPr>
            </w:pPr>
            <w:r>
              <w:rPr>
                <w:rFonts w:hint="eastAsia" w:ascii="宋体" w:hAnsi="宋体" w:eastAsia="宋体" w:cs="宋体"/>
                <w:sz w:val="28"/>
                <w:szCs w:val="28"/>
              </w:rPr>
              <w:t xml:space="preserve">选用FDA及临床专业学会推荐的肺纤维化治疗药物吡非尼酮（Pirfenidone）作为对肺纤维化模型动物治疗效果的比较研究，MC-RR的功能优势明显： </w:t>
            </w:r>
          </w:p>
          <w:p w14:paraId="5F447563">
            <w:pPr>
              <w:spacing w:line="320" w:lineRule="exact"/>
              <w:jc w:val="left"/>
              <w:rPr>
                <w:rFonts w:hint="eastAsia" w:ascii="宋体" w:hAnsi="宋体" w:eastAsia="宋体" w:cs="宋体"/>
                <w:sz w:val="28"/>
                <w:szCs w:val="28"/>
              </w:rPr>
            </w:pPr>
            <w:r>
              <w:rPr>
                <w:rFonts w:hint="eastAsia" w:ascii="宋体" w:hAnsi="宋体" w:eastAsia="宋体" w:cs="宋体"/>
                <w:sz w:val="28"/>
                <w:szCs w:val="28"/>
              </w:rPr>
              <w:t xml:space="preserve">（１）MC-RR完全达到Pirfenidone缓解博来霉素诱导的肺纤维化的治疗效果。在治疗剂量范围两者用药剂量的体外细胞毒实验显示，MC-RR的治疗具有药用安全范围较大的优势。 （２）Pirfenidone缺乏对肌成纤维细胞PKM2/HIF-1α/STAT3信号通路的抑制作用，因而Pirfenidone难以抑制肌成纤维细胞的增殖。 </w:t>
            </w:r>
          </w:p>
          <w:p w14:paraId="3E8C8688">
            <w:pPr>
              <w:spacing w:line="320" w:lineRule="exact"/>
              <w:jc w:val="left"/>
              <w:rPr>
                <w:rFonts w:hint="eastAsia" w:ascii="宋体" w:hAnsi="宋体" w:eastAsia="宋体" w:cs="宋体"/>
                <w:sz w:val="28"/>
                <w:szCs w:val="28"/>
              </w:rPr>
            </w:pPr>
            <w:r>
              <w:rPr>
                <w:rFonts w:hint="eastAsia" w:ascii="宋体" w:hAnsi="宋体" w:eastAsia="宋体" w:cs="宋体"/>
                <w:sz w:val="28"/>
                <w:szCs w:val="28"/>
              </w:rPr>
              <w:t xml:space="preserve">（３）未见Pirfenidone与内质网应激主调控蛋白GRP78发生相互作用。 </w:t>
            </w:r>
          </w:p>
          <w:p w14:paraId="67D359B0">
            <w:pPr>
              <w:spacing w:line="320" w:lineRule="exact"/>
              <w:jc w:val="left"/>
              <w:rPr>
                <w:rFonts w:hint="eastAsia" w:ascii="宋体" w:hAnsi="宋体" w:eastAsia="宋体" w:cs="宋体"/>
                <w:sz w:val="28"/>
                <w:szCs w:val="28"/>
              </w:rPr>
            </w:pPr>
          </w:p>
          <w:p w14:paraId="57992612">
            <w:pPr>
              <w:spacing w:line="320" w:lineRule="exact"/>
              <w:jc w:val="left"/>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 xml:space="preserve">知识产权 </w:t>
            </w:r>
          </w:p>
          <w:p w14:paraId="6A61A84B">
            <w:pPr>
              <w:spacing w:line="320" w:lineRule="exact"/>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已获授权专利三项，国家发明专利两项，欧盟专利一项： </w:t>
            </w:r>
          </w:p>
          <w:p w14:paraId="0FC9DDCA">
            <w:pPr>
              <w:spacing w:line="320" w:lineRule="exact"/>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（1）微囊藻毒素-LR在制备预防和治疗肺纤维化药物中的应用（专利号：ZL 2017 1 0014483.4） </w:t>
            </w:r>
          </w:p>
          <w:p w14:paraId="028E2D97">
            <w:pPr>
              <w:spacing w:line="320" w:lineRule="exact"/>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（2）微囊藻毒素-RR在用于制备预防和治疗肾纤维化药物中的应用（专利号：ZL 2020 1 1074266.2）</w:t>
            </w:r>
          </w:p>
          <w:p w14:paraId="718CA60B">
            <w:pPr>
              <w:spacing w:line="320" w:lineRule="exact"/>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 USE OF MICROCYSTING IN PREPARATION OF DRUG FOR PREVENTING OR TREATING ORGAN AND TISSUE FIBROSIS DISEASES (EP3549596)</w:t>
            </w:r>
          </w:p>
          <w:p w14:paraId="3CDFFE03">
            <w:pPr>
              <w:spacing w:line="320" w:lineRule="exact"/>
              <w:jc w:val="left"/>
              <w:rPr>
                <w:rFonts w:hint="eastAsia" w:ascii="宋体" w:hAnsi="宋体" w:eastAsia="宋体" w:cs="宋体"/>
                <w:sz w:val="28"/>
                <w:szCs w:val="28"/>
                <w:lang w:val="en-US" w:eastAsia="zh-CN"/>
              </w:rPr>
            </w:pPr>
          </w:p>
        </w:tc>
      </w:tr>
    </w:tbl>
    <w:p w14:paraId="05C454F6">
      <w:pPr>
        <w:rPr>
          <w:rFonts w:hint="eastAsia" w:ascii="Times New Roman" w:hAnsi="Times New Roman" w:eastAsia="黑体" w:cs="Times New Roman"/>
          <w:sz w:val="32"/>
          <w:szCs w:val="32"/>
          <w:lang w:eastAsia="zh-CN"/>
        </w:rPr>
      </w:pPr>
    </w:p>
    <w:p w14:paraId="5FA3A28B">
      <w:pPr>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br w:type="page"/>
      </w:r>
    </w:p>
    <w:p w14:paraId="2FC81C0F">
      <w:pP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eastAsia="zh-CN"/>
        </w:rPr>
        <w:t>编号</w:t>
      </w:r>
      <w:r>
        <w:rPr>
          <w:rFonts w:hint="eastAsia" w:ascii="Times New Roman" w:hAnsi="Times New Roman" w:eastAsia="黑体" w:cs="Times New Roman"/>
          <w:sz w:val="32"/>
          <w:szCs w:val="32"/>
          <w:lang w:val="en-US" w:eastAsia="zh-CN"/>
        </w:rPr>
        <w:t>16</w:t>
      </w:r>
    </w:p>
    <w:p w14:paraId="657A22CF">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00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65"/>
        <w:gridCol w:w="2959"/>
        <w:gridCol w:w="1644"/>
        <w:gridCol w:w="2705"/>
      </w:tblGrid>
      <w:tr w14:paraId="6376D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882" w:type="pct"/>
            <w:vAlign w:val="center"/>
          </w:tcPr>
          <w:p w14:paraId="06A8773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1667" w:type="pct"/>
            <w:vAlign w:val="center"/>
          </w:tcPr>
          <w:p w14:paraId="6B064FA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常州南京大学高新技术研究院</w:t>
            </w:r>
          </w:p>
        </w:tc>
        <w:tc>
          <w:tcPr>
            <w:tcW w:w="926" w:type="pct"/>
            <w:vAlign w:val="center"/>
          </w:tcPr>
          <w:p w14:paraId="2C86F76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1524" w:type="pct"/>
            <w:vAlign w:val="center"/>
          </w:tcPr>
          <w:p w14:paraId="6A2B6FE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123204004672993413</w:t>
            </w:r>
          </w:p>
        </w:tc>
      </w:tr>
      <w:tr w14:paraId="11FAC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882" w:type="pct"/>
            <w:vAlign w:val="center"/>
          </w:tcPr>
          <w:p w14:paraId="099D60B3">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1667" w:type="pct"/>
            <w:vAlign w:val="center"/>
          </w:tcPr>
          <w:p w14:paraId="1A75141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常州市常武中路</w:t>
            </w:r>
            <w:r>
              <w:rPr>
                <w:rFonts w:hint="eastAsia" w:ascii="Times New Roman" w:hAnsi="Times New Roman" w:eastAsia="宋体" w:cs="Times New Roman"/>
                <w:bCs/>
                <w:sz w:val="28"/>
                <w:szCs w:val="21"/>
              </w:rPr>
              <w:t>18-88</w:t>
            </w:r>
            <w:r>
              <w:rPr>
                <w:rFonts w:ascii="Times New Roman" w:hAnsi="Times New Roman" w:eastAsia="宋体" w:cs="Times New Roman"/>
                <w:bCs/>
                <w:sz w:val="28"/>
                <w:szCs w:val="21"/>
              </w:rPr>
              <w:t>号</w:t>
            </w:r>
          </w:p>
        </w:tc>
        <w:tc>
          <w:tcPr>
            <w:tcW w:w="926" w:type="pct"/>
            <w:vAlign w:val="center"/>
          </w:tcPr>
          <w:p w14:paraId="6DF1C80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1524" w:type="pct"/>
            <w:vAlign w:val="center"/>
          </w:tcPr>
          <w:p w14:paraId="40C2227D">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岳邦毅</w:t>
            </w:r>
          </w:p>
        </w:tc>
      </w:tr>
      <w:tr w14:paraId="16935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882" w:type="pct"/>
            <w:vAlign w:val="center"/>
          </w:tcPr>
          <w:p w14:paraId="2A048D3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1667" w:type="pct"/>
            <w:vAlign w:val="center"/>
          </w:tcPr>
          <w:p w14:paraId="5E328C8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189 6129 9766</w:t>
            </w:r>
          </w:p>
        </w:tc>
        <w:tc>
          <w:tcPr>
            <w:tcW w:w="926" w:type="pct"/>
            <w:vAlign w:val="center"/>
          </w:tcPr>
          <w:p w14:paraId="00DDBAE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1524" w:type="pct"/>
            <w:vAlign w:val="center"/>
          </w:tcPr>
          <w:p w14:paraId="6401AB1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627823152@qq.com</w:t>
            </w:r>
          </w:p>
        </w:tc>
      </w:tr>
      <w:tr w14:paraId="62787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63" w:hRule="exact"/>
          <w:jc w:val="center"/>
        </w:trPr>
        <w:tc>
          <w:tcPr>
            <w:tcW w:w="882" w:type="pct"/>
            <w:vAlign w:val="center"/>
          </w:tcPr>
          <w:p w14:paraId="640BD74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4117" w:type="pct"/>
            <w:gridSpan w:val="3"/>
            <w:vAlign w:val="center"/>
          </w:tcPr>
          <w:p w14:paraId="355CBA3F">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先进半导体   ☑</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0171F518">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2D121D7A">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高端装备</w:t>
            </w:r>
          </w:p>
        </w:tc>
      </w:tr>
      <w:tr w14:paraId="767DD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882" w:type="pct"/>
            <w:vAlign w:val="center"/>
          </w:tcPr>
          <w:p w14:paraId="6749C33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4117" w:type="pct"/>
            <w:gridSpan w:val="3"/>
            <w:vAlign w:val="center"/>
          </w:tcPr>
          <w:p w14:paraId="6CFC94DB">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200</w:t>
            </w:r>
            <w:r>
              <w:rPr>
                <w:rFonts w:ascii="Times New Roman" w:hAnsi="Times New Roman" w:eastAsia="宋体" w:cs="Times New Roman"/>
                <w:bCs/>
                <w:sz w:val="28"/>
                <w:szCs w:val="21"/>
              </w:rPr>
              <w:t>0万</w:t>
            </w:r>
          </w:p>
        </w:tc>
      </w:tr>
      <w:tr w14:paraId="685F7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882" w:type="pct"/>
            <w:vAlign w:val="center"/>
          </w:tcPr>
          <w:p w14:paraId="75432E4E">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4117" w:type="pct"/>
            <w:gridSpan w:val="3"/>
            <w:vAlign w:val="center"/>
          </w:tcPr>
          <w:p w14:paraId="478CD5D7">
            <w:pPr>
              <w:spacing w:line="320" w:lineRule="exact"/>
              <w:ind w:left="160" w:leftChars="50"/>
              <w:rPr>
                <w:rFonts w:ascii="Times New Roman" w:hAnsi="Times New Roman" w:eastAsia="宋体" w:cs="Times New Roman"/>
                <w:bCs/>
                <w:sz w:val="28"/>
                <w:szCs w:val="21"/>
              </w:rPr>
            </w:pPr>
            <w:r>
              <w:rPr>
                <w:rFonts w:ascii="Arial" w:hAnsi="Arial" w:eastAsia="宋体" w:cs="Arial"/>
                <w:color w:val="333333"/>
                <w:sz w:val="28"/>
                <w:szCs w:val="28"/>
              </w:rPr>
              <w:t>一种5G通信用聚酰亚胺（PI）薄膜</w:t>
            </w:r>
          </w:p>
        </w:tc>
      </w:tr>
      <w:tr w14:paraId="10E65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611" w:hRule="atLeast"/>
          <w:jc w:val="center"/>
        </w:trPr>
        <w:tc>
          <w:tcPr>
            <w:tcW w:w="882" w:type="pct"/>
            <w:vAlign w:val="center"/>
          </w:tcPr>
          <w:p w14:paraId="5C6191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4117" w:type="pct"/>
            <w:gridSpan w:val="3"/>
            <w:vAlign w:val="top"/>
          </w:tcPr>
          <w:p w14:paraId="15994550">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1.痛点问题</w:t>
            </w:r>
            <w:r>
              <w:rPr>
                <w:rFonts w:hint="eastAsia" w:ascii="Times New Roman" w:hAnsi="Times New Roman" w:eastAsia="宋体" w:cs="Times New Roman"/>
                <w:bCs/>
                <w:sz w:val="28"/>
                <w:szCs w:val="21"/>
                <w:lang w:val="en-US" w:eastAsia="zh-CN"/>
              </w:rPr>
              <w:t xml:space="preserve"> </w:t>
            </w:r>
          </w:p>
          <w:p w14:paraId="6746552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 xml:space="preserve">聚酰亚胺是重复单元中含有酰亚胺集团的芳杂环高分子化合物，是综合性能最佳的有机高分子材料之一，具有良好的力学性能、耐高温性能、尺寸稳定性、耐溶剂性、优异的电学性能等。 5G通信作为新一代移动通信系统，拥有更高传输速度、更低延时、更高链接密度以及更快的响应能力，实现了比4G移动通信系统更高的性能。与传统移动通信模式相比，5G信号传送的高频化、高速化发展，使得信号传输的速率、损耗以及完整性变得更加突出。由于5G高频通讯用毫米波会诱发高分子电介质材料产生更大的损耗 ,因此信号传输的完整性和准确性要求传输线介质材料具有较低的介电常数和较低的介电损耗的特性。而现有技术的聚酰亚胺薄膜存在介电常数，介电损耗较高的缺陷，限制了电子器件在5G通讯设备中的发展应用。因此，亟需制备出一系列高拉伸强度，低介电损耗的聚酰亚胺薄膜，用来能够满足5G通讯高纯电子化学品的需求。 </w:t>
            </w:r>
          </w:p>
          <w:p w14:paraId="3F761D4E">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2. 解决方案</w:t>
            </w:r>
            <w:r>
              <w:rPr>
                <w:rFonts w:hint="eastAsia" w:ascii="Times New Roman" w:hAnsi="Times New Roman" w:eastAsia="宋体" w:cs="Times New Roman"/>
                <w:bCs/>
                <w:sz w:val="28"/>
                <w:szCs w:val="21"/>
                <w:lang w:val="en-US" w:eastAsia="zh-CN"/>
              </w:rPr>
              <w:t xml:space="preserve"> </w:t>
            </w:r>
          </w:p>
          <w:p w14:paraId="5A7CD34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 xml:space="preserve">（1）通过对分子结构进行设计，制备了一种具有很好的溶解性，柔韧性、可加工性、较高的拉伸强度性及较低的介电损耗性的聚酰亚胺薄膜，所述聚酰亚胺薄膜由芳香族四羧酸二酐和含有吸电子结构二胺进行聚合而形成的。 </w:t>
            </w:r>
          </w:p>
          <w:p w14:paraId="6BD7A12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2）选用具有吸电子结构的二胺单体与四羧酸二酐单体进行聚合，使得聚酰亚胺及聚酰亚胺薄膜同时具有高拉伸强度、低介电常数以及低介电损耗；在聚酰亚胺分子中形成空间非堆成结构单元并且引入较大吸电子基团，破坏了聚合物主链的部分刚性，大大降低了薄膜的介电常数。</w:t>
            </w:r>
          </w:p>
          <w:p w14:paraId="2AB4317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p>
          <w:p w14:paraId="75E9886F">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3.竞争优势分析</w:t>
            </w:r>
            <w:r>
              <w:rPr>
                <w:rFonts w:hint="eastAsia" w:ascii="Times New Roman" w:hAnsi="Times New Roman" w:eastAsia="宋体" w:cs="Times New Roman"/>
                <w:bCs/>
                <w:sz w:val="28"/>
                <w:szCs w:val="21"/>
                <w:lang w:val="en-US" w:eastAsia="zh-CN"/>
              </w:rPr>
              <w:t xml:space="preserve"> </w:t>
            </w:r>
          </w:p>
          <w:p w14:paraId="3DEFE59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 xml:space="preserve">本项目团队拥有制备新型高纯二胺单体的专有技术，无金属离子残留，使得制备出的PI薄膜拉伸强度高、介电常数低、介电损耗低等优质性能。同时优化薄膜制备工艺，开发出有利于产业化实施的简单制备工艺，可快速高校制备出符合5G通信需求的PI薄膜。团队同时聚焦柔性屏手机产业链中受国外卡脖子的透明聚酰亚胺（CPI）膜材料，也实现了高性能CPI膜的自主研发。 </w:t>
            </w:r>
          </w:p>
          <w:p w14:paraId="3739671D">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4. 市场应用前景</w:t>
            </w:r>
            <w:r>
              <w:rPr>
                <w:rFonts w:hint="eastAsia" w:ascii="Times New Roman" w:hAnsi="Times New Roman" w:eastAsia="宋体" w:cs="Times New Roman"/>
                <w:bCs/>
                <w:sz w:val="28"/>
                <w:szCs w:val="21"/>
                <w:lang w:val="en-US" w:eastAsia="zh-CN"/>
              </w:rPr>
              <w:t xml:space="preserve"> </w:t>
            </w:r>
          </w:p>
          <w:p w14:paraId="67BB4A2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聚酰亚胺材料的主要应用领域为电工装备、微电子、柔性电子以及新能源等领域。随着IT产业的发展及各种器材的小型化、轻量化的趋势，PI膜需求量更是急剧增加。全球PI膜市场需求端刚性，主要受制于产能端(产能放不出)，供不应求是PI膜的供求常态。但受技术限制，目前我国聚酰亚胺薄膜对外依赖度仍较高，特别是高端聚酰亚胺薄膜。</w:t>
            </w:r>
          </w:p>
          <w:p w14:paraId="37FCEA7E">
            <w:pPr>
              <w:keepNext w:val="0"/>
              <w:keepLines w:val="0"/>
              <w:pageBreakBefore w:val="0"/>
              <w:widowControl w:val="0"/>
              <w:kinsoku/>
              <w:wordWrap/>
              <w:overflowPunct/>
              <w:topLinePunct w:val="0"/>
              <w:autoSpaceDE/>
              <w:autoSpaceDN/>
              <w:bidi w:val="0"/>
              <w:adjustRightInd/>
              <w:snapToGrid/>
              <w:spacing w:line="360" w:lineRule="exact"/>
              <w:ind w:firstLine="516" w:firstLineChars="200"/>
              <w:textAlignment w:val="auto"/>
              <w:rPr>
                <w:rFonts w:hint="eastAsia" w:asciiTheme="minorEastAsia" w:hAnsiTheme="minorEastAsia" w:eastAsiaTheme="minorEastAsia" w:cstheme="minorEastAsia"/>
                <w:spacing w:val="-11"/>
                <w:sz w:val="28"/>
                <w:szCs w:val="28"/>
                <w:lang w:val="en-US" w:eastAsia="zh-CN"/>
              </w:rPr>
            </w:pPr>
          </w:p>
          <w:p w14:paraId="542F7C3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spacing w:val="-11"/>
                <w:sz w:val="28"/>
                <w:szCs w:val="28"/>
                <w:lang w:val="en-US" w:eastAsia="zh-CN"/>
              </w:rPr>
            </w:pPr>
          </w:p>
          <w:p w14:paraId="64C0B950">
            <w:pPr>
              <w:keepNext w:val="0"/>
              <w:keepLines w:val="0"/>
              <w:pageBreakBefore w:val="0"/>
              <w:widowControl w:val="0"/>
              <w:kinsoku/>
              <w:wordWrap/>
              <w:overflowPunct/>
              <w:topLinePunct w:val="0"/>
              <w:autoSpaceDE/>
              <w:autoSpaceDN/>
              <w:bidi w:val="0"/>
              <w:adjustRightInd/>
              <w:snapToGrid/>
              <w:spacing w:line="360" w:lineRule="exact"/>
              <w:ind w:firstLine="516" w:firstLineChars="200"/>
              <w:textAlignment w:val="auto"/>
              <w:rPr>
                <w:rFonts w:hint="eastAsia" w:asciiTheme="minorEastAsia" w:hAnsiTheme="minorEastAsia" w:eastAsiaTheme="minorEastAsia" w:cstheme="minorEastAsia"/>
                <w:spacing w:val="-11"/>
                <w:sz w:val="28"/>
                <w:szCs w:val="28"/>
                <w:lang w:val="en-US" w:eastAsia="zh-CN"/>
              </w:rPr>
            </w:pPr>
          </w:p>
          <w:p w14:paraId="21FB7CBB">
            <w:pPr>
              <w:keepNext w:val="0"/>
              <w:keepLines w:val="0"/>
              <w:pageBreakBefore w:val="0"/>
              <w:widowControl w:val="0"/>
              <w:kinsoku/>
              <w:wordWrap/>
              <w:overflowPunct/>
              <w:topLinePunct w:val="0"/>
              <w:autoSpaceDE/>
              <w:autoSpaceDN/>
              <w:bidi w:val="0"/>
              <w:adjustRightInd/>
              <w:snapToGrid/>
              <w:spacing w:line="360" w:lineRule="exact"/>
              <w:ind w:firstLine="516" w:firstLineChars="200"/>
              <w:textAlignment w:val="auto"/>
              <w:rPr>
                <w:rFonts w:hint="eastAsia" w:asciiTheme="minorEastAsia" w:hAnsiTheme="minorEastAsia" w:eastAsiaTheme="minorEastAsia" w:cstheme="minorEastAsia"/>
                <w:spacing w:val="-11"/>
                <w:sz w:val="28"/>
                <w:szCs w:val="28"/>
                <w:lang w:val="en-US" w:eastAsia="zh-CN"/>
              </w:rPr>
            </w:pPr>
          </w:p>
          <w:p w14:paraId="693135B8">
            <w:pPr>
              <w:keepNext w:val="0"/>
              <w:keepLines w:val="0"/>
              <w:pageBreakBefore w:val="0"/>
              <w:widowControl w:val="0"/>
              <w:kinsoku/>
              <w:wordWrap/>
              <w:overflowPunct/>
              <w:topLinePunct w:val="0"/>
              <w:autoSpaceDE/>
              <w:autoSpaceDN/>
              <w:bidi w:val="0"/>
              <w:adjustRightInd/>
              <w:snapToGrid/>
              <w:spacing w:line="360" w:lineRule="exact"/>
              <w:ind w:firstLine="516" w:firstLineChars="200"/>
              <w:textAlignment w:val="auto"/>
              <w:rPr>
                <w:rFonts w:hint="eastAsia" w:asciiTheme="minorEastAsia" w:hAnsiTheme="minorEastAsia" w:eastAsiaTheme="minorEastAsia" w:cstheme="minorEastAsia"/>
                <w:spacing w:val="-11"/>
                <w:sz w:val="28"/>
                <w:szCs w:val="28"/>
                <w:lang w:val="en-US" w:eastAsia="zh-CN"/>
              </w:rPr>
            </w:pPr>
          </w:p>
          <w:p w14:paraId="2BC14BEC">
            <w:pPr>
              <w:keepNext w:val="0"/>
              <w:keepLines w:val="0"/>
              <w:pageBreakBefore w:val="0"/>
              <w:widowControl w:val="0"/>
              <w:kinsoku/>
              <w:wordWrap/>
              <w:overflowPunct/>
              <w:topLinePunct w:val="0"/>
              <w:autoSpaceDE/>
              <w:autoSpaceDN/>
              <w:bidi w:val="0"/>
              <w:adjustRightInd/>
              <w:snapToGrid/>
              <w:spacing w:line="360" w:lineRule="exact"/>
              <w:ind w:firstLine="516" w:firstLineChars="200"/>
              <w:textAlignment w:val="auto"/>
              <w:rPr>
                <w:rFonts w:hint="eastAsia" w:asciiTheme="minorEastAsia" w:hAnsiTheme="minorEastAsia" w:eastAsiaTheme="minorEastAsia" w:cstheme="minorEastAsia"/>
                <w:spacing w:val="-11"/>
                <w:sz w:val="28"/>
                <w:szCs w:val="28"/>
                <w:lang w:val="en-US" w:eastAsia="zh-CN"/>
              </w:rPr>
            </w:pPr>
          </w:p>
          <w:p w14:paraId="14EF250C">
            <w:pPr>
              <w:keepNext w:val="0"/>
              <w:keepLines w:val="0"/>
              <w:pageBreakBefore w:val="0"/>
              <w:widowControl w:val="0"/>
              <w:kinsoku/>
              <w:wordWrap/>
              <w:overflowPunct/>
              <w:topLinePunct w:val="0"/>
              <w:autoSpaceDE/>
              <w:autoSpaceDN/>
              <w:bidi w:val="0"/>
              <w:adjustRightInd/>
              <w:snapToGrid/>
              <w:spacing w:line="360" w:lineRule="exact"/>
              <w:ind w:firstLine="516" w:firstLineChars="200"/>
              <w:textAlignment w:val="auto"/>
              <w:rPr>
                <w:rFonts w:hint="eastAsia" w:asciiTheme="minorEastAsia" w:hAnsiTheme="minorEastAsia" w:eastAsiaTheme="minorEastAsia" w:cstheme="minorEastAsia"/>
                <w:spacing w:val="-11"/>
                <w:sz w:val="28"/>
                <w:szCs w:val="28"/>
                <w:lang w:val="en-US" w:eastAsia="zh-CN"/>
              </w:rPr>
            </w:pPr>
          </w:p>
          <w:p w14:paraId="6036066E">
            <w:pPr>
              <w:keepNext w:val="0"/>
              <w:keepLines w:val="0"/>
              <w:pageBreakBefore w:val="0"/>
              <w:widowControl w:val="0"/>
              <w:kinsoku/>
              <w:wordWrap/>
              <w:overflowPunct/>
              <w:topLinePunct w:val="0"/>
              <w:autoSpaceDE/>
              <w:autoSpaceDN/>
              <w:bidi w:val="0"/>
              <w:adjustRightInd/>
              <w:snapToGrid/>
              <w:spacing w:line="360" w:lineRule="exact"/>
              <w:ind w:firstLine="516" w:firstLineChars="200"/>
              <w:textAlignment w:val="auto"/>
              <w:rPr>
                <w:rFonts w:hint="eastAsia" w:asciiTheme="minorEastAsia" w:hAnsiTheme="minorEastAsia" w:eastAsiaTheme="minorEastAsia" w:cstheme="minorEastAsia"/>
                <w:spacing w:val="-11"/>
                <w:sz w:val="28"/>
                <w:szCs w:val="28"/>
                <w:lang w:val="en-US" w:eastAsia="zh-CN"/>
              </w:rPr>
            </w:pPr>
          </w:p>
        </w:tc>
      </w:tr>
    </w:tbl>
    <w:p w14:paraId="20F4D8A9">
      <w:pPr>
        <w:spacing w:line="540" w:lineRule="exact"/>
        <w:rPr>
          <w:rFonts w:hint="default" w:asciiTheme="minorEastAsia" w:hAnsiTheme="minorEastAsia" w:eastAsiaTheme="minorEastAsia" w:cstheme="minorEastAsia"/>
          <w:spacing w:val="-11"/>
          <w:sz w:val="28"/>
          <w:szCs w:val="28"/>
          <w:lang w:val="en-US" w:eastAsia="zh-CN"/>
        </w:rPr>
        <w:sectPr>
          <w:pgSz w:w="11905" w:h="16838"/>
          <w:pgMar w:top="1417" w:right="1531" w:bottom="1417" w:left="1531" w:header="0" w:footer="0" w:gutter="0"/>
          <w:paperSrc/>
          <w:cols w:space="0" w:num="1"/>
          <w:rtlGutter w:val="0"/>
          <w:docGrid w:linePitch="312" w:charSpace="0"/>
        </w:sectPr>
      </w:pPr>
    </w:p>
    <w:p w14:paraId="330107AB">
      <w:pPr>
        <w:rPr>
          <w:rFonts w:hint="default" w:ascii="Times New Roman" w:hAnsi="Times New Roman" w:eastAsia="方正小标宋简体"/>
          <w:kern w:val="2"/>
          <w:sz w:val="44"/>
          <w:szCs w:val="44"/>
          <w:lang w:val="en-US"/>
        </w:rPr>
      </w:pPr>
      <w:r>
        <w:rPr>
          <w:rFonts w:hint="eastAsia" w:ascii="Times New Roman" w:hAnsi="Times New Roman" w:eastAsia="黑体" w:cs="Times New Roman"/>
          <w:sz w:val="32"/>
          <w:szCs w:val="32"/>
          <w:lang w:eastAsia="zh-CN"/>
        </w:rPr>
        <w:t>编号</w:t>
      </w:r>
      <w:r>
        <w:rPr>
          <w:rFonts w:hint="eastAsia" w:ascii="Times New Roman" w:hAnsi="Times New Roman" w:eastAsia="黑体" w:cs="Times New Roman"/>
          <w:sz w:val="32"/>
          <w:szCs w:val="32"/>
          <w:lang w:val="en-US" w:eastAsia="zh-CN"/>
        </w:rPr>
        <w:t>17</w:t>
      </w:r>
    </w:p>
    <w:p w14:paraId="6953E73B">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06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93"/>
        <w:gridCol w:w="3001"/>
        <w:gridCol w:w="1672"/>
        <w:gridCol w:w="2705"/>
      </w:tblGrid>
      <w:tr w14:paraId="1CD5E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494" w:type="dxa"/>
            <w:vAlign w:val="center"/>
          </w:tcPr>
          <w:p w14:paraId="0CDFBE4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2814" w:type="dxa"/>
            <w:vAlign w:val="center"/>
          </w:tcPr>
          <w:p w14:paraId="79D603F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常州南京大学高新技术研究院</w:t>
            </w:r>
          </w:p>
        </w:tc>
        <w:tc>
          <w:tcPr>
            <w:tcW w:w="1568" w:type="dxa"/>
            <w:vAlign w:val="center"/>
          </w:tcPr>
          <w:p w14:paraId="0EF6DD7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536" w:type="dxa"/>
            <w:vAlign w:val="center"/>
          </w:tcPr>
          <w:p w14:paraId="75D6FA8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123204004672993413</w:t>
            </w:r>
          </w:p>
        </w:tc>
      </w:tr>
      <w:tr w14:paraId="3E1E5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6F6AFBC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2814" w:type="dxa"/>
            <w:vAlign w:val="center"/>
          </w:tcPr>
          <w:p w14:paraId="2207DCF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常州市常武中路</w:t>
            </w:r>
            <w:r>
              <w:rPr>
                <w:rFonts w:hint="eastAsia" w:ascii="Times New Roman" w:hAnsi="Times New Roman" w:eastAsia="宋体" w:cs="Times New Roman"/>
                <w:bCs/>
                <w:sz w:val="28"/>
                <w:szCs w:val="21"/>
              </w:rPr>
              <w:t>18-88</w:t>
            </w:r>
            <w:r>
              <w:rPr>
                <w:rFonts w:ascii="Times New Roman" w:hAnsi="Times New Roman" w:eastAsia="宋体" w:cs="Times New Roman"/>
                <w:bCs/>
                <w:sz w:val="28"/>
                <w:szCs w:val="21"/>
              </w:rPr>
              <w:t>号</w:t>
            </w:r>
          </w:p>
        </w:tc>
        <w:tc>
          <w:tcPr>
            <w:tcW w:w="1568" w:type="dxa"/>
            <w:vAlign w:val="center"/>
          </w:tcPr>
          <w:p w14:paraId="359541E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536" w:type="dxa"/>
            <w:vAlign w:val="center"/>
          </w:tcPr>
          <w:p w14:paraId="1114267C">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岳邦毅</w:t>
            </w:r>
          </w:p>
        </w:tc>
      </w:tr>
      <w:tr w14:paraId="44D0A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2748666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2814" w:type="dxa"/>
            <w:vAlign w:val="center"/>
          </w:tcPr>
          <w:p w14:paraId="2745ADB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189 6129 9766</w:t>
            </w:r>
          </w:p>
        </w:tc>
        <w:tc>
          <w:tcPr>
            <w:tcW w:w="1568" w:type="dxa"/>
            <w:vAlign w:val="center"/>
          </w:tcPr>
          <w:p w14:paraId="03EF57C4">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536" w:type="dxa"/>
            <w:vAlign w:val="center"/>
          </w:tcPr>
          <w:p w14:paraId="456C4B8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627823152@qq.com</w:t>
            </w:r>
          </w:p>
        </w:tc>
      </w:tr>
      <w:tr w14:paraId="5D700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77" w:hRule="exact"/>
          <w:jc w:val="center"/>
        </w:trPr>
        <w:tc>
          <w:tcPr>
            <w:tcW w:w="1494" w:type="dxa"/>
            <w:vAlign w:val="center"/>
          </w:tcPr>
          <w:p w14:paraId="343B423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6918" w:type="dxa"/>
            <w:gridSpan w:val="3"/>
            <w:vAlign w:val="center"/>
          </w:tcPr>
          <w:p w14:paraId="118AAACD">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先进半导体   ☑</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184D9929">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7AE3FE78">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高端装备</w:t>
            </w:r>
          </w:p>
        </w:tc>
      </w:tr>
      <w:tr w14:paraId="0D164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29C526F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6918" w:type="dxa"/>
            <w:gridSpan w:val="3"/>
            <w:vAlign w:val="center"/>
          </w:tcPr>
          <w:p w14:paraId="1956A041">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10</w:t>
            </w:r>
            <w:r>
              <w:rPr>
                <w:rFonts w:ascii="Times New Roman" w:hAnsi="Times New Roman" w:eastAsia="宋体" w:cs="Times New Roman"/>
                <w:bCs/>
                <w:sz w:val="28"/>
                <w:szCs w:val="21"/>
              </w:rPr>
              <w:t>00万</w:t>
            </w:r>
          </w:p>
        </w:tc>
      </w:tr>
      <w:tr w14:paraId="6BC62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494" w:type="dxa"/>
            <w:vAlign w:val="center"/>
          </w:tcPr>
          <w:p w14:paraId="6BFC7877">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6918" w:type="dxa"/>
            <w:gridSpan w:val="3"/>
            <w:vAlign w:val="center"/>
          </w:tcPr>
          <w:p w14:paraId="57675306">
            <w:pPr>
              <w:spacing w:line="320" w:lineRule="exact"/>
              <w:ind w:left="160" w:leftChars="50"/>
              <w:rPr>
                <w:rFonts w:ascii="Times New Roman" w:hAnsi="Times New Roman" w:eastAsia="宋体" w:cs="Times New Roman"/>
                <w:bCs/>
                <w:sz w:val="28"/>
                <w:szCs w:val="21"/>
              </w:rPr>
            </w:pPr>
            <w:r>
              <w:rPr>
                <w:rFonts w:ascii="Arial" w:hAnsi="Arial" w:eastAsia="宋体" w:cs="Arial"/>
                <w:color w:val="333333"/>
                <w:sz w:val="28"/>
                <w:szCs w:val="28"/>
              </w:rPr>
              <w:t>下一代氮化镓大功率高集成数字电源关键技术及应用</w:t>
            </w:r>
          </w:p>
        </w:tc>
      </w:tr>
      <w:tr w14:paraId="6B755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94" w:type="dxa"/>
            <w:vAlign w:val="center"/>
          </w:tcPr>
          <w:p w14:paraId="5CD2CB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6918" w:type="dxa"/>
            <w:gridSpan w:val="3"/>
            <w:vAlign w:val="top"/>
          </w:tcPr>
          <w:p w14:paraId="1F54AC4F">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1.市场应用前景</w:t>
            </w:r>
            <w:r>
              <w:rPr>
                <w:rFonts w:hint="eastAsia" w:ascii="Times New Roman" w:hAnsi="Times New Roman" w:eastAsia="宋体" w:cs="Times New Roman"/>
                <w:bCs/>
                <w:sz w:val="28"/>
                <w:szCs w:val="21"/>
                <w:lang w:val="en-US" w:eastAsia="zh-CN"/>
              </w:rPr>
              <w:t xml:space="preserve"> </w:t>
            </w:r>
          </w:p>
          <w:p w14:paraId="1AD4A35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 xml:space="preserve">大功率GaN器件、集成模块与数字电源的市场应用前景十分看好。首先，受限于Si材料物理极限，传统Si基电源的效率与功率密度等关键指标难以再有显著提升。而得益于GaN功率器件的优异性能，GaN基电源可以在实现更高效率、更高功率密度的同时更加小型化、轻量化，从而降低电源系统成本；其次，尽管当前GaN器件仅在中小功率消费电子领域广泛产业化，但GaN材料及器件的理论性能远不止于此。随着上述三大痛点技术相继突破，GaN未来有望在通信电源、数据中心、光伏储能以及车载充电等大功率领域广泛应用。 </w:t>
            </w:r>
          </w:p>
          <w:p w14:paraId="3FBB6D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Cs/>
                <w:sz w:val="28"/>
                <w:szCs w:val="21"/>
                <w:lang w:val="en-US" w:eastAsia="zh-CN"/>
              </w:rPr>
            </w:pPr>
          </w:p>
          <w:p w14:paraId="54BF3F17">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2.痛点问题</w:t>
            </w:r>
            <w:r>
              <w:rPr>
                <w:rFonts w:hint="eastAsia" w:ascii="Times New Roman" w:hAnsi="Times New Roman" w:eastAsia="宋体" w:cs="Times New Roman"/>
                <w:bCs/>
                <w:sz w:val="28"/>
                <w:szCs w:val="21"/>
                <w:lang w:val="en-US" w:eastAsia="zh-CN"/>
              </w:rPr>
              <w:t xml:space="preserve"> </w:t>
            </w:r>
          </w:p>
          <w:p w14:paraId="33B2A84F">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第三代半导体氮化镓 (Gallium Nitride, GaN) 功率器件因工作频率高、导通电阻小、工作电压高等优点，被认为是下一代电力电子技术中替代Si功率器件的有力选择。然而，目前器件耐压偏低、动态可靠性待提高，以及现有电路与控制方案难以充分发挥GaN器件自身优势的三大痛点问题，仍制约其无法在大功率中广泛应用。</w:t>
            </w:r>
          </w:p>
          <w:p w14:paraId="2192D05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p>
          <w:p w14:paraId="12C7F7DA">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3. 解决方案</w:t>
            </w:r>
            <w:r>
              <w:rPr>
                <w:rFonts w:hint="eastAsia" w:ascii="Times New Roman" w:hAnsi="Times New Roman" w:eastAsia="宋体" w:cs="Times New Roman"/>
                <w:bCs/>
                <w:sz w:val="28"/>
                <w:szCs w:val="21"/>
                <w:lang w:val="en-US" w:eastAsia="zh-CN"/>
              </w:rPr>
              <w:t xml:space="preserve"> </w:t>
            </w:r>
          </w:p>
          <w:p w14:paraId="2C49CCBE">
            <w:pPr>
              <w:keepNext w:val="0"/>
              <w:keepLines w:val="0"/>
              <w:pageBreakBefore w:val="0"/>
              <w:widowControl w:val="0"/>
              <w:kinsoku/>
              <w:wordWrap/>
              <w:overflowPunct/>
              <w:topLinePunct w:val="0"/>
              <w:autoSpaceDE/>
              <w:autoSpaceDN/>
              <w:bidi w:val="0"/>
              <w:adjustRightInd/>
              <w:snapToGrid/>
              <w:spacing w:line="360" w:lineRule="exact"/>
              <w:ind w:left="557" w:leftChars="174" w:firstLine="0" w:firstLineChars="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 xml:space="preserve">针对上述三大核心痛点问题，主要的解决方案是： </w:t>
            </w:r>
          </w:p>
          <w:p w14:paraId="510ED62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 xml:space="preserve">(1) 创新性提出RESURF复合场板电场均匀化与复合介质层界/表面控制新技术，突破了GaN功率器件耐压低和可靠性的难题； </w:t>
            </w:r>
          </w:p>
          <w:p w14:paraId="422F044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(2) 提出融合i2SiP集成和PCB磁集成工艺的大功率多芯片模块化集成新方案，突破了GaN功率模块寄生参数大和工作频率低的难题； (3) 提出独特的全数字化多模态智能控制与保护新策略，突破了GaN大功率电源效率低、多电平多相交错控制难的难题。</w:t>
            </w:r>
          </w:p>
          <w:p w14:paraId="41953E8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p>
          <w:p w14:paraId="36BD5D66">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
                <w:bCs w:val="0"/>
                <w:sz w:val="28"/>
                <w:szCs w:val="21"/>
                <w:lang w:val="en-US" w:eastAsia="zh-CN"/>
              </w:rPr>
            </w:pPr>
            <w:r>
              <w:rPr>
                <w:rFonts w:hint="eastAsia" w:ascii="Times New Roman" w:hAnsi="Times New Roman" w:eastAsia="宋体" w:cs="Times New Roman"/>
                <w:b/>
                <w:bCs w:val="0"/>
                <w:sz w:val="28"/>
                <w:szCs w:val="21"/>
                <w:lang w:val="en-US" w:eastAsia="zh-CN"/>
              </w:rPr>
              <w:t>4.竞争优势分析</w:t>
            </w:r>
          </w:p>
          <w:p w14:paraId="7E73626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(1)已证明采用复合场板和复合介质技术能够将GaN功率器件耐压水平提升至KV级，实验室耐压水平提升至2.4KV，同时显著提升器件动态可靠性能</w:t>
            </w:r>
          </w:p>
          <w:p w14:paraId="7DFA0E06">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(2)已证明采用多芯片融合集成方案能够有效提升GaN功率模块集成度，并且工作频率高达500KHz以上，较传统方案提升近5倍。</w:t>
            </w:r>
          </w:p>
          <w:p w14:paraId="229DB546">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(3)已证明采用多模态数字化智能控制能够将GaN大功率电源系统效率提升至97.8%，满载THD相较传统模拟控制方鑫降低25%以上。</w:t>
            </w:r>
          </w:p>
          <w:p w14:paraId="706332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Cs/>
                <w:sz w:val="28"/>
                <w:szCs w:val="21"/>
                <w:lang w:val="en-US" w:eastAsia="zh-CN"/>
              </w:rPr>
            </w:pPr>
          </w:p>
          <w:p w14:paraId="765CE5D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p>
          <w:p w14:paraId="033363C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p>
          <w:p w14:paraId="09A553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Cs/>
                <w:sz w:val="28"/>
                <w:szCs w:val="21"/>
                <w:lang w:val="en-US" w:eastAsia="zh-CN"/>
              </w:rPr>
            </w:pPr>
          </w:p>
        </w:tc>
      </w:tr>
    </w:tbl>
    <w:p w14:paraId="37F8A2A0">
      <w:pPr>
        <w:spacing w:line="540" w:lineRule="exact"/>
        <w:rPr>
          <w:rFonts w:hint="default" w:asciiTheme="minorEastAsia" w:hAnsiTheme="minorEastAsia" w:eastAsiaTheme="minorEastAsia" w:cstheme="minorEastAsia"/>
          <w:spacing w:val="-11"/>
          <w:sz w:val="28"/>
          <w:szCs w:val="28"/>
          <w:lang w:val="en-US" w:eastAsia="zh-CN"/>
        </w:rPr>
        <w:sectPr>
          <w:pgSz w:w="11905" w:h="16838"/>
          <w:pgMar w:top="1417" w:right="1531" w:bottom="1417" w:left="1531" w:header="0" w:footer="0" w:gutter="0"/>
          <w:paperSrc/>
          <w:cols w:space="0" w:num="1"/>
          <w:rtlGutter w:val="0"/>
          <w:docGrid w:linePitch="312" w:charSpace="0"/>
        </w:sectPr>
      </w:pPr>
    </w:p>
    <w:p w14:paraId="5E76BDE5">
      <w:pPr>
        <w:spacing w:before="65" w:line="224" w:lineRule="auto"/>
        <w:ind w:left="39"/>
        <w:rPr>
          <w:rFonts w:hint="default"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18</w:t>
      </w:r>
    </w:p>
    <w:p w14:paraId="40F545F8">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06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66"/>
        <w:gridCol w:w="2952"/>
        <w:gridCol w:w="1645"/>
        <w:gridCol w:w="2808"/>
      </w:tblGrid>
      <w:tr w14:paraId="6CEDC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494" w:type="dxa"/>
            <w:vAlign w:val="center"/>
          </w:tcPr>
          <w:p w14:paraId="333F0F8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2814" w:type="dxa"/>
            <w:vAlign w:val="center"/>
          </w:tcPr>
          <w:p w14:paraId="6526F452">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常州钟楼合成生物AI 研究院</w:t>
            </w:r>
          </w:p>
        </w:tc>
        <w:tc>
          <w:tcPr>
            <w:tcW w:w="1568" w:type="dxa"/>
            <w:vAlign w:val="center"/>
          </w:tcPr>
          <w:p w14:paraId="22E2AC03">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536" w:type="dxa"/>
            <w:vAlign w:val="center"/>
          </w:tcPr>
          <w:p w14:paraId="646EF378">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52320404MJ6591365Q</w:t>
            </w:r>
          </w:p>
        </w:tc>
      </w:tr>
      <w:tr w14:paraId="628BD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78" w:hRule="exact"/>
          <w:jc w:val="center"/>
        </w:trPr>
        <w:tc>
          <w:tcPr>
            <w:tcW w:w="1494" w:type="dxa"/>
            <w:vAlign w:val="center"/>
          </w:tcPr>
          <w:p w14:paraId="6EC29BA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2814" w:type="dxa"/>
            <w:vAlign w:val="center"/>
          </w:tcPr>
          <w:p w14:paraId="20F580CA">
            <w:pPr>
              <w:spacing w:line="320" w:lineRule="exact"/>
              <w:jc w:val="center"/>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常州市钟楼区茶花路99 号公共卫生中心1号楼</w:t>
            </w:r>
          </w:p>
          <w:p w14:paraId="106BA3A9">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11层</w:t>
            </w:r>
          </w:p>
        </w:tc>
        <w:tc>
          <w:tcPr>
            <w:tcW w:w="1568" w:type="dxa"/>
            <w:vAlign w:val="center"/>
          </w:tcPr>
          <w:p w14:paraId="0BCE6B24">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536" w:type="dxa"/>
            <w:vAlign w:val="center"/>
          </w:tcPr>
          <w:p w14:paraId="3CF05B2F">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常珊</w:t>
            </w:r>
          </w:p>
        </w:tc>
      </w:tr>
      <w:tr w14:paraId="1C97A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09FA6B7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2814" w:type="dxa"/>
            <w:vAlign w:val="center"/>
          </w:tcPr>
          <w:p w14:paraId="41F769B9">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1585336450</w:t>
            </w:r>
          </w:p>
        </w:tc>
        <w:tc>
          <w:tcPr>
            <w:tcW w:w="1568" w:type="dxa"/>
            <w:vAlign w:val="center"/>
          </w:tcPr>
          <w:p w14:paraId="034F53E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536" w:type="dxa"/>
            <w:vAlign w:val="center"/>
          </w:tcPr>
          <w:p w14:paraId="473BDCF3">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schang@jsut.edu.cn</w:t>
            </w:r>
          </w:p>
        </w:tc>
      </w:tr>
      <w:tr w14:paraId="78AFC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77" w:hRule="exact"/>
          <w:jc w:val="center"/>
        </w:trPr>
        <w:tc>
          <w:tcPr>
            <w:tcW w:w="1494" w:type="dxa"/>
            <w:vAlign w:val="center"/>
          </w:tcPr>
          <w:p w14:paraId="5D05D9F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6918" w:type="dxa"/>
            <w:gridSpan w:val="3"/>
            <w:vAlign w:val="center"/>
          </w:tcPr>
          <w:p w14:paraId="72B1E3F4">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先进半导体   </w:t>
            </w: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1AD19AB9">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w:t>
            </w: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31A879FF">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高端装备</w:t>
            </w:r>
          </w:p>
        </w:tc>
      </w:tr>
      <w:tr w14:paraId="2B662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71C4D49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6918" w:type="dxa"/>
            <w:gridSpan w:val="3"/>
            <w:vAlign w:val="center"/>
          </w:tcPr>
          <w:p w14:paraId="308A0B2C">
            <w:pPr>
              <w:spacing w:line="320" w:lineRule="exact"/>
              <w:ind w:left="160" w:leftChars="50"/>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100</w:t>
            </w:r>
            <w:r>
              <w:rPr>
                <w:rFonts w:ascii="Times New Roman" w:hAnsi="Times New Roman" w:eastAsia="宋体" w:cs="Times New Roman"/>
                <w:bCs/>
                <w:sz w:val="28"/>
                <w:szCs w:val="21"/>
              </w:rPr>
              <w:t>万</w:t>
            </w:r>
          </w:p>
        </w:tc>
      </w:tr>
      <w:tr w14:paraId="628D3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494" w:type="dxa"/>
            <w:vAlign w:val="center"/>
          </w:tcPr>
          <w:p w14:paraId="77C2E632">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6918" w:type="dxa"/>
            <w:gridSpan w:val="3"/>
            <w:vAlign w:val="center"/>
          </w:tcPr>
          <w:p w14:paraId="366BA9DE">
            <w:pPr>
              <w:spacing w:line="320" w:lineRule="exact"/>
              <w:ind w:left="160" w:leftChars="50"/>
              <w:jc w:val="center"/>
              <w:rPr>
                <w:rFonts w:ascii="Times New Roman" w:hAnsi="Times New Roman" w:eastAsia="宋体" w:cs="Times New Roman"/>
                <w:bCs/>
                <w:sz w:val="28"/>
                <w:szCs w:val="21"/>
              </w:rPr>
            </w:pPr>
            <w:r>
              <w:rPr>
                <w:rFonts w:hint="default" w:ascii="Arial" w:hAnsi="Arial" w:eastAsia="宋体" w:cs="Arial"/>
                <w:color w:val="333333"/>
                <w:sz w:val="28"/>
                <w:szCs w:val="28"/>
                <w:lang w:val="en-US" w:eastAsia="zh-CN"/>
              </w:rPr>
              <w:t>生物智造与分子模拟服务平台</w:t>
            </w:r>
          </w:p>
        </w:tc>
      </w:tr>
      <w:tr w14:paraId="2A78F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94" w:type="dxa"/>
            <w:vAlign w:val="center"/>
          </w:tcPr>
          <w:p w14:paraId="4229D2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6918" w:type="dxa"/>
            <w:gridSpan w:val="3"/>
            <w:vAlign w:val="top"/>
          </w:tcPr>
          <w:p w14:paraId="2BD83B34">
            <w:pPr>
              <w:keepNext w:val="0"/>
              <w:keepLines w:val="0"/>
              <w:pageBreakBefore w:val="0"/>
              <w:widowControl w:val="0"/>
              <w:kinsoku/>
              <w:wordWrap/>
              <w:overflowPunct/>
              <w:topLinePunct w:val="0"/>
              <w:autoSpaceDE/>
              <w:autoSpaceDN/>
              <w:bidi w:val="0"/>
              <w:adjustRightInd/>
              <w:snapToGrid/>
              <w:spacing w:line="300" w:lineRule="exact"/>
              <w:ind w:left="160" w:leftChars="50"/>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(国内外现状，成果的价值、特色和创新点，已有技术积 累和应用条件等)</w:t>
            </w:r>
          </w:p>
          <w:p w14:paraId="06FA9C78">
            <w:pPr>
              <w:keepNext w:val="0"/>
              <w:keepLines w:val="0"/>
              <w:pageBreakBefore w:val="0"/>
              <w:widowControl w:val="0"/>
              <w:kinsoku/>
              <w:wordWrap/>
              <w:overflowPunct/>
              <w:topLinePunct w:val="0"/>
              <w:autoSpaceDE/>
              <w:autoSpaceDN/>
              <w:bidi w:val="0"/>
              <w:adjustRightInd/>
              <w:snapToGrid/>
              <w:spacing w:line="300" w:lineRule="exact"/>
              <w:ind w:left="160" w:leftChars="50"/>
              <w:textAlignment w:val="auto"/>
              <w:rPr>
                <w:rFonts w:hint="eastAsia" w:ascii="Arial" w:hAnsi="Arial" w:eastAsia="宋体" w:cs="Arial"/>
                <w:b/>
                <w:bCs/>
                <w:color w:val="333333"/>
                <w:sz w:val="28"/>
                <w:szCs w:val="28"/>
                <w:lang w:val="en-US" w:eastAsia="zh-CN"/>
              </w:rPr>
            </w:pPr>
            <w:r>
              <w:rPr>
                <w:rFonts w:hint="eastAsia" w:ascii="Arial" w:hAnsi="Arial" w:eastAsia="宋体" w:cs="Arial"/>
                <w:b/>
                <w:bCs/>
                <w:color w:val="333333"/>
                <w:sz w:val="28"/>
                <w:szCs w:val="28"/>
                <w:lang w:val="en-US" w:eastAsia="zh-CN"/>
              </w:rPr>
              <w:t>一、国内外现状</w:t>
            </w:r>
          </w:p>
          <w:p w14:paraId="3A69A69F">
            <w:pPr>
              <w:keepNext w:val="0"/>
              <w:keepLines w:val="0"/>
              <w:pageBreakBefore w:val="0"/>
              <w:widowControl w:val="0"/>
              <w:kinsoku/>
              <w:wordWrap/>
              <w:overflowPunct/>
              <w:topLinePunct w:val="0"/>
              <w:autoSpaceDE/>
              <w:autoSpaceDN/>
              <w:bidi w:val="0"/>
              <w:adjustRightInd/>
              <w:snapToGrid/>
              <w:spacing w:line="300" w:lineRule="exact"/>
              <w:ind w:left="160" w:leftChars="50"/>
              <w:textAlignment w:val="auto"/>
              <w:rPr>
                <w:rFonts w:hint="eastAsia" w:ascii="宋体" w:hAnsi="宋体" w:eastAsia="宋体" w:cs="宋体"/>
                <w:b/>
                <w:bCs/>
                <w:color w:val="333333"/>
                <w:sz w:val="28"/>
                <w:szCs w:val="28"/>
                <w:lang w:val="en-US" w:eastAsia="zh-CN"/>
              </w:rPr>
            </w:pPr>
            <w:r>
              <w:rPr>
                <w:rFonts w:hint="eastAsia" w:ascii="Arial" w:hAnsi="Arial" w:eastAsia="宋体" w:cs="Arial"/>
                <w:color w:val="333333"/>
                <w:sz w:val="28"/>
                <w:szCs w:val="28"/>
                <w:lang w:val="en-US" w:eastAsia="zh-CN"/>
              </w:rPr>
              <w:t>蛋白质是生物制造以及合成生物学的重要底层技术。 2022年5月，国家发改委印发《“十四五”生物经济发展  规划》,提出要依托生物制造技术，实现化工原料和过程  的生物技术替代。生物制造以及合成生物学的研究，本质 上是把生物学和工程学相结合来设计和创建具有新颖功  能的生物系统。这套生物系统，必须经由功能各异、形式 多样并且能够有效实现预期功能的生物分子元件组成。常 见的生物分子元件包括催化酶、转录因子、转运蛋白、蛋白支架等功能蛋白质分子。精准设计这些蛋白质分子是生 物制造和合成生物学取得突破的关键。近年来，人工智能 技术的发展为功能蛋白质的精准设计提供了前所未有的机遇，2024年诺贝尔化学奖授予David Baker,DemisHassabis和John Jumper,以表彰人工智能技术在蛋白质结 构预测与蛋白质计算设计中的革命性影响。通过人工智能 技术，可以预测并设计出核心蛋白质分子以及新功能酶， 从而扩展人工改造生命体的应用场景，变革性地提升合成 生物学的研发效率，实现蛋白质研究从“理解自然”迈向“创造自然”。目前，分子模拟与人工智能辅助药物设计(AIDD)在药物研发领域的应用逐渐成熟，国际巨头如Schrödinger和BIOVIA依托深厚的技术积累和产品体系占 据行业领先地位，国内相关技术仍处于追赶阶段。然而， 针对合成生物及植物育种等领域的分子模拟研究仍属于   新兴方向，市场需求旺盛但解决方案不足，技术空白明显。</w:t>
            </w:r>
          </w:p>
          <w:p w14:paraId="62E18047">
            <w:pPr>
              <w:keepNext w:val="0"/>
              <w:keepLines w:val="0"/>
              <w:pageBreakBefore w:val="0"/>
              <w:widowControl w:val="0"/>
              <w:kinsoku/>
              <w:wordWrap/>
              <w:overflowPunct/>
              <w:topLinePunct w:val="0"/>
              <w:autoSpaceDE/>
              <w:autoSpaceDN/>
              <w:bidi w:val="0"/>
              <w:adjustRightInd/>
              <w:snapToGrid/>
              <w:spacing w:line="300" w:lineRule="exact"/>
              <w:ind w:left="160" w:leftChars="50"/>
              <w:textAlignment w:val="auto"/>
              <w:rPr>
                <w:rFonts w:hint="eastAsia" w:ascii="宋体" w:hAnsi="宋体" w:eastAsia="宋体" w:cs="宋体"/>
                <w:b/>
                <w:bCs/>
                <w:color w:val="333333"/>
                <w:sz w:val="28"/>
                <w:szCs w:val="28"/>
                <w:lang w:val="en-US" w:eastAsia="zh-CN"/>
              </w:rPr>
            </w:pPr>
            <w:r>
              <w:rPr>
                <w:rFonts w:hint="eastAsia" w:ascii="宋体" w:hAnsi="宋体" w:eastAsia="宋体" w:cs="宋体"/>
                <w:b/>
                <w:bCs/>
                <w:color w:val="333333"/>
                <w:sz w:val="28"/>
                <w:szCs w:val="28"/>
                <w:lang w:val="en-US" w:eastAsia="zh-CN"/>
              </w:rPr>
              <w:t>二.成果的价值</w:t>
            </w:r>
          </w:p>
          <w:p w14:paraId="4937D0CA">
            <w:pPr>
              <w:keepNext w:val="0"/>
              <w:keepLines w:val="0"/>
              <w:pageBreakBefore w:val="0"/>
              <w:widowControl w:val="0"/>
              <w:kinsoku/>
              <w:wordWrap/>
              <w:overflowPunct/>
              <w:topLinePunct w:val="0"/>
              <w:autoSpaceDE/>
              <w:autoSpaceDN/>
              <w:bidi w:val="0"/>
              <w:adjustRightInd/>
              <w:snapToGrid/>
              <w:spacing w:line="300" w:lineRule="exact"/>
              <w:ind w:firstLine="560" w:firstLineChars="200"/>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目前的成果通过整合蛋白质分子模拟工具、人工智能 工具、量子化学计算工具等，打造了一套高效便捷的科研 服务平台。该平台不仅显著提升药物研发、精准医学研究 的效率和准确性，还能推动植物育种领域分子机理的科学 进步，降低研发成本，缩短研发周期，为科研工作者和临床医生提供全面的技术支持。通过蛋白质分子模拟工具与 AI辅助药物发现模块，可实现药物靶点筛选、分子对接、 药物活性预测等关键环节的自动化与智能化，大大提升了 科研效率及准确度。相较于传统实验方式，平台可将药物  筛选和优化周期缩短50%以上，显著降低研发成本。</w:t>
            </w:r>
          </w:p>
          <w:p w14:paraId="747F954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Arial" w:hAnsi="Arial" w:eastAsia="宋体" w:cs="Arial"/>
                <w:b/>
                <w:bCs/>
                <w:color w:val="333333"/>
                <w:sz w:val="28"/>
                <w:szCs w:val="28"/>
                <w:lang w:val="en-US" w:eastAsia="zh-CN"/>
              </w:rPr>
            </w:pPr>
            <w:r>
              <w:rPr>
                <w:rFonts w:hint="eastAsia" w:ascii="Arial" w:hAnsi="Arial" w:eastAsia="宋体" w:cs="Arial"/>
                <w:b/>
                <w:bCs/>
                <w:color w:val="333333"/>
                <w:sz w:val="28"/>
                <w:szCs w:val="28"/>
                <w:lang w:val="en-US" w:eastAsia="zh-CN"/>
              </w:rPr>
              <w:t>三、成果特色与创新点</w:t>
            </w:r>
          </w:p>
          <w:p w14:paraId="75EADEE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Arial" w:hAnsi="Arial" w:eastAsia="宋体" w:cs="Arial"/>
                <w:color w:val="333333"/>
                <w:sz w:val="28"/>
                <w:szCs w:val="28"/>
                <w:lang w:val="en-US" w:eastAsia="zh-CN"/>
              </w:rPr>
            </w:pPr>
            <w:r>
              <w:rPr>
                <w:rFonts w:hint="eastAsia" w:ascii="Arial" w:hAnsi="Arial" w:eastAsia="宋体" w:cs="Arial"/>
                <w:b/>
                <w:bCs/>
                <w:color w:val="333333"/>
                <w:sz w:val="28"/>
                <w:szCs w:val="28"/>
                <w:lang w:val="en-US" w:eastAsia="zh-CN"/>
              </w:rPr>
              <w:t>成果特色与创新点包括：</w:t>
            </w:r>
          </w:p>
          <w:p w14:paraId="1F6A2BF9">
            <w:pPr>
              <w:keepNext w:val="0"/>
              <w:keepLines w:val="0"/>
              <w:pageBreakBefore w:val="0"/>
              <w:widowControl w:val="0"/>
              <w:kinsoku/>
              <w:wordWrap/>
              <w:overflowPunct/>
              <w:topLinePunct w:val="0"/>
              <w:autoSpaceDE/>
              <w:autoSpaceDN/>
              <w:bidi w:val="0"/>
              <w:adjustRightInd/>
              <w:snapToGrid/>
              <w:spacing w:line="300" w:lineRule="exact"/>
              <w:ind w:firstLine="560" w:firstLineChars="200"/>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1)面向合成生物和生物制造领域的应用，实现功能  蛋白的精准设计和产品研发。平台依托分子模拟与AI驱  动的蛋白质序列与结构预测技术，实现面向不同生物制造 场景的功能蛋白分子设计。</w:t>
            </w:r>
          </w:p>
          <w:p w14:paraId="76705B68">
            <w:pPr>
              <w:keepNext w:val="0"/>
              <w:keepLines w:val="0"/>
              <w:pageBreakBefore w:val="0"/>
              <w:widowControl w:val="0"/>
              <w:kinsoku/>
              <w:wordWrap/>
              <w:overflowPunct/>
              <w:topLinePunct w:val="0"/>
              <w:autoSpaceDE/>
              <w:autoSpaceDN/>
              <w:bidi w:val="0"/>
              <w:adjustRightInd/>
              <w:snapToGrid/>
              <w:spacing w:line="300" w:lineRule="exact"/>
              <w:ind w:firstLine="560" w:firstLineChars="200"/>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2)融合分子模拟与人工智能技术，实现多肽和抗体</w:t>
            </w:r>
          </w:p>
          <w:p w14:paraId="755410A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等蛋白质药物分子精准设计与优化。针对生物医药领域， 平台集成了分子对接、动力学模拟与AI驱动的药效预测  工具，实现多肽、抗体等复杂蛋白药物的精准结构设计和 活性优化。</w:t>
            </w:r>
          </w:p>
          <w:p w14:paraId="62884379">
            <w:pPr>
              <w:keepNext w:val="0"/>
              <w:keepLines w:val="0"/>
              <w:pageBreakBefore w:val="0"/>
              <w:widowControl w:val="0"/>
              <w:kinsoku/>
              <w:wordWrap/>
              <w:overflowPunct/>
              <w:topLinePunct w:val="0"/>
              <w:autoSpaceDE/>
              <w:autoSpaceDN/>
              <w:bidi w:val="0"/>
              <w:adjustRightInd/>
              <w:snapToGrid/>
              <w:spacing w:line="300" w:lineRule="exact"/>
              <w:ind w:firstLine="560" w:firstLineChars="200"/>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3)针对林业领域，开发了植物AI育种工具，助力品</w:t>
            </w:r>
          </w:p>
          <w:p w14:paraId="52E337A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种优化与性状改良。平台创新性地将分子模拟与人工智能 技术应用于林木分子育种，开发了植物基因编辑靶点筛选 与性状预测工具。</w:t>
            </w:r>
          </w:p>
          <w:p w14:paraId="1232A232">
            <w:pPr>
              <w:keepNext w:val="0"/>
              <w:keepLines w:val="0"/>
              <w:pageBreakBefore w:val="0"/>
              <w:widowControl w:val="0"/>
              <w:kinsoku/>
              <w:wordWrap/>
              <w:overflowPunct/>
              <w:topLinePunct w:val="0"/>
              <w:autoSpaceDE/>
              <w:autoSpaceDN/>
              <w:bidi w:val="0"/>
              <w:adjustRightInd/>
              <w:snapToGrid/>
              <w:spacing w:line="300" w:lineRule="exact"/>
              <w:ind w:firstLine="562" w:firstLineChars="200"/>
              <w:textAlignment w:val="auto"/>
              <w:rPr>
                <w:rFonts w:hint="eastAsia" w:ascii="Arial" w:hAnsi="Arial" w:eastAsia="宋体" w:cs="Arial"/>
                <w:color w:val="333333"/>
                <w:sz w:val="28"/>
                <w:szCs w:val="28"/>
                <w:lang w:val="en-US" w:eastAsia="zh-CN"/>
              </w:rPr>
            </w:pPr>
            <w:r>
              <w:rPr>
                <w:rFonts w:hint="eastAsia" w:ascii="Arial" w:hAnsi="Arial" w:eastAsia="宋体" w:cs="Arial"/>
                <w:b/>
                <w:bCs/>
                <w:color w:val="333333"/>
                <w:sz w:val="28"/>
                <w:szCs w:val="28"/>
                <w:lang w:val="en-US" w:eastAsia="zh-CN"/>
              </w:rPr>
              <w:t>四、已有技术积累和应用条件</w:t>
            </w:r>
          </w:p>
          <w:p w14:paraId="08F0BB3D">
            <w:pPr>
              <w:keepNext w:val="0"/>
              <w:keepLines w:val="0"/>
              <w:pageBreakBefore w:val="0"/>
              <w:widowControl w:val="0"/>
              <w:kinsoku/>
              <w:wordWrap/>
              <w:overflowPunct/>
              <w:topLinePunct w:val="0"/>
              <w:autoSpaceDE/>
              <w:autoSpaceDN/>
              <w:bidi w:val="0"/>
              <w:adjustRightInd/>
              <w:snapToGrid/>
              <w:spacing w:line="300" w:lineRule="exact"/>
              <w:ind w:firstLine="560" w:firstLineChars="200"/>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研究院和江苏理工学院团队已积累人工智能算法、多 种分子模拟工具及分析流程，涵盖药物研发、量子力学计 算及医药数据分析领域，同时积累了丰富的行业应用案</w:t>
            </w:r>
          </w:p>
          <w:p w14:paraId="5962C31D">
            <w:pPr>
              <w:keepNext w:val="0"/>
              <w:keepLines w:val="0"/>
              <w:pageBreakBefore w:val="0"/>
              <w:widowControl w:val="0"/>
              <w:kinsoku/>
              <w:wordWrap/>
              <w:overflowPunct/>
              <w:topLinePunct w:val="0"/>
              <w:autoSpaceDE/>
              <w:autoSpaceDN/>
              <w:bidi w:val="0"/>
              <w:adjustRightInd/>
              <w:snapToGrid/>
              <w:spacing w:line="300" w:lineRule="exact"/>
              <w:ind w:firstLine="560" w:firstLineChars="200"/>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例。在人工智能方面，团队自主研发了适用于药物设计和 临床数据处理的多类深度学习模型，如蛋白质结构预测、 药物分子筛选、分子对接等，极大提升了科研效率和分析 准确度。部分核心算法和工具获得了国家发明专利授权， 相关学术论文在国际知名期刊(如Nucleic Acids Research、 Bioinformatics、Journal of Chemical Information and  Modeling、the Plant Journal等)发表，进一步证明了技术  的创新性和先进性。</w:t>
            </w:r>
          </w:p>
          <w:p w14:paraId="005CA428">
            <w:pPr>
              <w:keepNext w:val="0"/>
              <w:keepLines w:val="0"/>
              <w:pageBreakBefore w:val="0"/>
              <w:widowControl w:val="0"/>
              <w:kinsoku/>
              <w:wordWrap/>
              <w:overflowPunct/>
              <w:topLinePunct w:val="0"/>
              <w:autoSpaceDE/>
              <w:autoSpaceDN/>
              <w:bidi w:val="0"/>
              <w:adjustRightInd/>
              <w:snapToGrid/>
              <w:spacing w:line="30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Arial" w:hAnsi="Arial" w:eastAsia="宋体" w:cs="Arial"/>
                <w:color w:val="333333"/>
                <w:sz w:val="28"/>
                <w:szCs w:val="28"/>
                <w:lang w:val="en-US" w:eastAsia="zh-CN"/>
              </w:rPr>
              <w:t>平台具备成熟的技术架构和服务流程，已广泛应用于 药物研发和医药研究领域，并逐步向植物育种等新兴方向 拓展，市场潜力巨大。</w:t>
            </w:r>
          </w:p>
        </w:tc>
      </w:tr>
    </w:tbl>
    <w:p w14:paraId="3E080C12">
      <w:pPr>
        <w:spacing w:line="540" w:lineRule="exact"/>
        <w:rPr>
          <w:rFonts w:hint="default" w:asciiTheme="minorEastAsia" w:hAnsiTheme="minorEastAsia" w:eastAsiaTheme="minorEastAsia" w:cstheme="minorEastAsia"/>
          <w:spacing w:val="-11"/>
          <w:sz w:val="28"/>
          <w:szCs w:val="28"/>
          <w:lang w:val="en-US" w:eastAsia="zh-CN"/>
        </w:rPr>
        <w:sectPr>
          <w:footerReference r:id="rId3" w:type="default"/>
          <w:pgSz w:w="11905" w:h="16838"/>
          <w:pgMar w:top="1417" w:right="1531" w:bottom="1417" w:left="1531" w:header="0" w:footer="0" w:gutter="0"/>
          <w:paperSrc/>
          <w:cols w:space="0" w:num="1"/>
          <w:rtlGutter w:val="0"/>
          <w:docGrid w:linePitch="312" w:charSpace="0"/>
        </w:sectPr>
      </w:pPr>
    </w:p>
    <w:p w14:paraId="58E58851">
      <w:pPr>
        <w:spacing w:before="65" w:line="224" w:lineRule="auto"/>
        <w:ind w:left="39"/>
        <w:rPr>
          <w:rFonts w:hint="default"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19</w:t>
      </w:r>
    </w:p>
    <w:p w14:paraId="47FAF523">
      <w:pPr>
        <w:pStyle w:val="5"/>
        <w:widowControl w:val="0"/>
        <w:overflowPunct w:val="0"/>
        <w:autoSpaceDE w:val="0"/>
        <w:autoSpaceDN w:val="0"/>
        <w:adjustRightInd w:val="0"/>
        <w:snapToGrid w:val="0"/>
        <w:spacing w:before="120" w:beforeAutospacing="0" w:after="240" w:afterAutospacing="0" w:line="570" w:lineRule="exact"/>
        <w:jc w:val="both"/>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05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96"/>
        <w:gridCol w:w="3115"/>
        <w:gridCol w:w="1676"/>
        <w:gridCol w:w="2568"/>
      </w:tblGrid>
      <w:tr w14:paraId="6A2C8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798" w:type="dxa"/>
            <w:vAlign w:val="center"/>
          </w:tcPr>
          <w:p w14:paraId="019B160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357" w:type="dxa"/>
            <w:vAlign w:val="center"/>
          </w:tcPr>
          <w:p w14:paraId="35A91456">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常州江苏大学工程技术研究院</w:t>
            </w:r>
          </w:p>
        </w:tc>
        <w:tc>
          <w:tcPr>
            <w:tcW w:w="1890" w:type="dxa"/>
            <w:vAlign w:val="center"/>
          </w:tcPr>
          <w:p w14:paraId="327E028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1895" w:type="dxa"/>
            <w:vAlign w:val="center"/>
          </w:tcPr>
          <w:p w14:paraId="2732FD4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12320400467300293L</w:t>
            </w:r>
          </w:p>
        </w:tc>
      </w:tr>
      <w:tr w14:paraId="69AC6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98" w:type="dxa"/>
            <w:vAlign w:val="center"/>
          </w:tcPr>
          <w:p w14:paraId="4A89E62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357" w:type="dxa"/>
            <w:vAlign w:val="center"/>
          </w:tcPr>
          <w:p w14:paraId="274E8EE1">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常州市常武中路18-3号天润科技大厦C座5楼</w:t>
            </w:r>
          </w:p>
        </w:tc>
        <w:tc>
          <w:tcPr>
            <w:tcW w:w="1890" w:type="dxa"/>
            <w:vAlign w:val="center"/>
          </w:tcPr>
          <w:p w14:paraId="0BCC102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1895" w:type="dxa"/>
            <w:vAlign w:val="center"/>
          </w:tcPr>
          <w:p w14:paraId="2E9372EB">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徐惠斌</w:t>
            </w:r>
          </w:p>
        </w:tc>
      </w:tr>
      <w:tr w14:paraId="09BBA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98" w:type="dxa"/>
            <w:vAlign w:val="center"/>
          </w:tcPr>
          <w:p w14:paraId="16C3920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357" w:type="dxa"/>
            <w:vAlign w:val="center"/>
          </w:tcPr>
          <w:p w14:paraId="67C5D807">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15951858544</w:t>
            </w:r>
          </w:p>
        </w:tc>
        <w:tc>
          <w:tcPr>
            <w:tcW w:w="1890" w:type="dxa"/>
            <w:vAlign w:val="center"/>
          </w:tcPr>
          <w:p w14:paraId="2BFD7B4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1895" w:type="dxa"/>
            <w:vAlign w:val="center"/>
          </w:tcPr>
          <w:p w14:paraId="3670355B">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huibin_xu@ujs.edu.cn</w:t>
            </w:r>
          </w:p>
        </w:tc>
      </w:tr>
      <w:tr w14:paraId="24C24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798" w:type="dxa"/>
            <w:vAlign w:val="center"/>
          </w:tcPr>
          <w:p w14:paraId="7FB391C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142" w:type="dxa"/>
            <w:gridSpan w:val="3"/>
            <w:vAlign w:val="center"/>
          </w:tcPr>
          <w:p w14:paraId="26EC8724">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☑先进半导体   ☑</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5B092FB1">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新能源汽车   □循环制造</w:t>
            </w:r>
          </w:p>
          <w:p w14:paraId="0A777B50">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新一代信息技术     ☑高端装备</w:t>
            </w:r>
          </w:p>
        </w:tc>
      </w:tr>
      <w:tr w14:paraId="64287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98" w:type="dxa"/>
            <w:vAlign w:val="center"/>
          </w:tcPr>
          <w:p w14:paraId="4D769E3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142" w:type="dxa"/>
            <w:gridSpan w:val="3"/>
            <w:vAlign w:val="center"/>
          </w:tcPr>
          <w:p w14:paraId="5AA0C167">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50万元</w:t>
            </w:r>
          </w:p>
        </w:tc>
      </w:tr>
      <w:tr w14:paraId="5DF15B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798" w:type="dxa"/>
            <w:vAlign w:val="center"/>
          </w:tcPr>
          <w:p w14:paraId="00827A24">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142" w:type="dxa"/>
            <w:gridSpan w:val="3"/>
            <w:vAlign w:val="center"/>
          </w:tcPr>
          <w:p w14:paraId="28945799">
            <w:pPr>
              <w:spacing w:line="320" w:lineRule="exact"/>
              <w:ind w:left="160" w:leftChars="50"/>
              <w:rPr>
                <w:rFonts w:ascii="Times New Roman" w:hAnsi="Times New Roman" w:eastAsia="宋体" w:cs="Times New Roman"/>
                <w:bCs/>
                <w:sz w:val="28"/>
                <w:szCs w:val="21"/>
              </w:rPr>
            </w:pPr>
            <w:bookmarkStart w:id="0" w:name="OLE_LINK2"/>
            <w:r>
              <w:rPr>
                <w:rFonts w:hint="eastAsia" w:ascii="Times New Roman" w:hAnsi="Times New Roman" w:eastAsia="宋体" w:cs="Times New Roman"/>
                <w:bCs/>
                <w:sz w:val="28"/>
                <w:szCs w:val="21"/>
              </w:rPr>
              <w:t>先进材料制备过程气流场高效温湿度与洁净度调控技术</w:t>
            </w:r>
            <w:bookmarkEnd w:id="0"/>
          </w:p>
        </w:tc>
      </w:tr>
      <w:tr w14:paraId="320DE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539" w:hRule="exact"/>
          <w:jc w:val="center"/>
        </w:trPr>
        <w:tc>
          <w:tcPr>
            <w:tcW w:w="1798" w:type="dxa"/>
            <w:vAlign w:val="center"/>
          </w:tcPr>
          <w:p w14:paraId="0F62718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142" w:type="dxa"/>
            <w:gridSpan w:val="3"/>
          </w:tcPr>
          <w:p w14:paraId="4EAA392F">
            <w:pPr>
              <w:pStyle w:val="2"/>
              <w:spacing w:line="320" w:lineRule="exact"/>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7360A48D">
            <w:pPr>
              <w:spacing w:after="0" w:line="320" w:lineRule="exact"/>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气流场的温湿度与洁净度控制是先进材料（如半导体材料、高性能纤维</w:t>
            </w:r>
            <w:r>
              <w:rPr>
                <w:rFonts w:hint="eastAsia" w:ascii="Times New Roman" w:hAnsi="Times New Roman" w:eastAsia="宋体" w:cs="Times New Roman"/>
                <w:bCs/>
                <w:sz w:val="24"/>
                <w:szCs w:val="20"/>
                <w:lang w:val="en-US" w:eastAsia="zh-CN"/>
              </w:rPr>
              <w:t>/膜</w:t>
            </w:r>
            <w:r>
              <w:rPr>
                <w:rFonts w:hint="eastAsia" w:ascii="Times New Roman" w:hAnsi="Times New Roman" w:eastAsia="宋体" w:cs="Times New Roman"/>
                <w:bCs/>
                <w:sz w:val="24"/>
                <w:szCs w:val="20"/>
              </w:rPr>
              <w:t>材料、</w:t>
            </w:r>
            <w:r>
              <w:rPr>
                <w:rFonts w:hint="eastAsia" w:ascii="Times New Roman" w:hAnsi="Times New Roman" w:eastAsia="宋体" w:cs="Times New Roman"/>
                <w:bCs/>
                <w:sz w:val="24"/>
                <w:szCs w:val="20"/>
                <w:lang w:val="en-US" w:eastAsia="zh-CN"/>
              </w:rPr>
              <w:t>生物医药</w:t>
            </w:r>
            <w:r>
              <w:rPr>
                <w:rFonts w:hint="eastAsia" w:ascii="Times New Roman" w:hAnsi="Times New Roman" w:eastAsia="宋体" w:cs="Times New Roman"/>
                <w:bCs/>
                <w:sz w:val="24"/>
                <w:szCs w:val="20"/>
              </w:rPr>
              <w:t>材料、电池材料等）制备的关键，直接对材料质量造成影响。</w:t>
            </w:r>
          </w:p>
          <w:p w14:paraId="5D95A550">
            <w:pPr>
              <w:spacing w:after="0" w:line="320" w:lineRule="exact"/>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课题组在先进材料制备过程中气流场温湿度、洁净度的调控开展了长期深入研究。</w:t>
            </w:r>
          </w:p>
          <w:p w14:paraId="378189F7">
            <w:pPr>
              <w:spacing w:after="0" w:line="320" w:lineRule="exact"/>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针对先进材料制备过程中的气流场温湿度控制技术，开发了复合多种冷热源（热泵、工业锅炉、燃气加热、冷水机组等）的节能高效气流控温技术，风系统管网均匀送风技术，实现了对洁净室/炉窑/烘干房内气流均温、均流控制。</w:t>
            </w:r>
          </w:p>
          <w:p w14:paraId="4E97675A">
            <w:pPr>
              <w:spacing w:after="0" w:line="320" w:lineRule="exact"/>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针对先进材料制备过程中的颗粒/粉尘气固流动问题，基于多相流测试技术与计算流体CFD数值仿真技术，开发了气流高效过滤除尘技术，实现了对含尘气流的低阻高效脱除；开发了粘结性颗粒流化输运技术，实现了对粉体物料的稳定</w:t>
            </w:r>
            <w:r>
              <w:rPr>
                <w:rFonts w:hint="eastAsia" w:ascii="Times New Roman" w:hAnsi="Times New Roman" w:eastAsia="宋体" w:cs="Times New Roman"/>
                <w:bCs/>
                <w:sz w:val="24"/>
                <w:szCs w:val="20"/>
                <w:lang w:val="en-US" w:eastAsia="zh-CN"/>
              </w:rPr>
              <w:t>精准</w:t>
            </w:r>
            <w:r>
              <w:rPr>
                <w:rFonts w:hint="eastAsia" w:ascii="Times New Roman" w:hAnsi="Times New Roman" w:eastAsia="宋体" w:cs="Times New Roman"/>
                <w:bCs/>
                <w:sz w:val="24"/>
                <w:szCs w:val="20"/>
              </w:rPr>
              <w:t>输送。</w:t>
            </w:r>
          </w:p>
          <w:p w14:paraId="2164C608">
            <w:pPr>
              <w:spacing w:after="0" w:line="320" w:lineRule="exact"/>
              <w:ind w:firstLine="480" w:firstLineChars="200"/>
              <w:rPr>
                <w:rFonts w:ascii="Times New Roman" w:hAnsi="Times New Roman" w:eastAsia="宋体" w:cs="Times New Roman"/>
                <w:bCs/>
                <w:sz w:val="28"/>
                <w:szCs w:val="21"/>
              </w:rPr>
            </w:pPr>
            <w:r>
              <w:rPr>
                <w:rFonts w:hint="eastAsia" w:ascii="Times New Roman" w:hAnsi="Times New Roman" w:eastAsia="宋体" w:cs="Times New Roman"/>
                <w:bCs/>
                <w:sz w:val="24"/>
                <w:szCs w:val="20"/>
              </w:rPr>
              <w:t>该成果已授权/申请国家发明专利10余项，发表行业高水平论文10余篇，相关技术可应用于碳纤维、PI膜、锂电正负极材料</w:t>
            </w:r>
            <w:r>
              <w:rPr>
                <w:rFonts w:hint="eastAsia" w:ascii="Times New Roman" w:hAnsi="Times New Roman" w:eastAsia="宋体" w:cs="Times New Roman"/>
                <w:bCs/>
                <w:sz w:val="24"/>
                <w:szCs w:val="20"/>
                <w:lang w:eastAsia="zh-CN"/>
              </w:rPr>
              <w:t>、</w:t>
            </w:r>
            <w:r>
              <w:rPr>
                <w:rFonts w:hint="eastAsia" w:ascii="Times New Roman" w:hAnsi="Times New Roman" w:eastAsia="宋体" w:cs="Times New Roman"/>
                <w:bCs/>
                <w:sz w:val="24"/>
                <w:szCs w:val="20"/>
                <w:lang w:val="en-US" w:eastAsia="zh-CN"/>
              </w:rPr>
              <w:t>生物医药材料</w:t>
            </w:r>
            <w:r>
              <w:rPr>
                <w:rFonts w:hint="eastAsia" w:ascii="Times New Roman" w:hAnsi="Times New Roman" w:eastAsia="宋体" w:cs="Times New Roman"/>
                <w:bCs/>
                <w:sz w:val="24"/>
                <w:szCs w:val="20"/>
              </w:rPr>
              <w:t>等</w:t>
            </w:r>
            <w:r>
              <w:rPr>
                <w:rFonts w:hint="eastAsia" w:ascii="Times New Roman" w:hAnsi="Times New Roman" w:eastAsia="宋体" w:cs="Times New Roman"/>
                <w:bCs/>
                <w:sz w:val="24"/>
                <w:szCs w:val="20"/>
                <w:lang w:val="en-US" w:eastAsia="zh-CN"/>
              </w:rPr>
              <w:t>工业</w:t>
            </w:r>
            <w:r>
              <w:rPr>
                <w:rFonts w:hint="eastAsia" w:ascii="Times New Roman" w:hAnsi="Times New Roman" w:eastAsia="宋体" w:cs="Times New Roman"/>
                <w:bCs/>
                <w:sz w:val="24"/>
                <w:szCs w:val="20"/>
              </w:rPr>
              <w:t>生产过程。</w:t>
            </w:r>
          </w:p>
        </w:tc>
      </w:tr>
    </w:tbl>
    <w:p w14:paraId="2FDE686F">
      <w:pPr>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14:paraId="21D1242E">
      <w:pPr>
        <w:pStyle w:val="5"/>
        <w:widowControl w:val="0"/>
        <w:overflowPunct w:val="0"/>
        <w:autoSpaceDE w:val="0"/>
        <w:autoSpaceDN w:val="0"/>
        <w:adjustRightInd w:val="0"/>
        <w:snapToGrid w:val="0"/>
        <w:spacing w:before="120" w:beforeAutospacing="0" w:after="240" w:afterAutospacing="0" w:line="57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20</w:t>
      </w:r>
    </w:p>
    <w:p w14:paraId="74C480A8">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05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65"/>
        <w:gridCol w:w="3080"/>
        <w:gridCol w:w="1645"/>
        <w:gridCol w:w="2665"/>
      </w:tblGrid>
      <w:tr w14:paraId="194D7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566" w:type="dxa"/>
            <w:vAlign w:val="center"/>
          </w:tcPr>
          <w:p w14:paraId="7C2EEA9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080" w:type="dxa"/>
            <w:vAlign w:val="center"/>
          </w:tcPr>
          <w:p w14:paraId="66B3014E">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4"/>
                <w:szCs w:val="24"/>
                <w:lang w:val="en-US" w:eastAsia="zh-CN"/>
              </w:rPr>
              <w:t>常州江苏大学工程技术研究院</w:t>
            </w:r>
          </w:p>
        </w:tc>
        <w:tc>
          <w:tcPr>
            <w:tcW w:w="1645" w:type="dxa"/>
            <w:vAlign w:val="center"/>
          </w:tcPr>
          <w:p w14:paraId="261D5C4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665" w:type="dxa"/>
            <w:vAlign w:val="center"/>
          </w:tcPr>
          <w:p w14:paraId="790C827F">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4"/>
                <w:szCs w:val="24"/>
                <w:lang w:val="en-US" w:eastAsia="zh-CN"/>
              </w:rPr>
              <w:t>12320400467300293L</w:t>
            </w:r>
          </w:p>
        </w:tc>
      </w:tr>
      <w:tr w14:paraId="74D65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96" w:hRule="exact"/>
          <w:jc w:val="center"/>
        </w:trPr>
        <w:tc>
          <w:tcPr>
            <w:tcW w:w="1566" w:type="dxa"/>
            <w:vAlign w:val="center"/>
          </w:tcPr>
          <w:p w14:paraId="66D3FC4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080" w:type="dxa"/>
            <w:vAlign w:val="center"/>
          </w:tcPr>
          <w:p w14:paraId="740AF92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4"/>
                <w:szCs w:val="24"/>
                <w:lang w:val="en-US" w:eastAsia="zh-CN"/>
              </w:rPr>
              <w:t>常州市常武中路801号科教城天润科技大厦C座5楼</w:t>
            </w:r>
          </w:p>
        </w:tc>
        <w:tc>
          <w:tcPr>
            <w:tcW w:w="1645" w:type="dxa"/>
            <w:vAlign w:val="center"/>
          </w:tcPr>
          <w:p w14:paraId="0FC59A6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665" w:type="dxa"/>
            <w:vAlign w:val="center"/>
          </w:tcPr>
          <w:p w14:paraId="18616D2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袁浩</w:t>
            </w:r>
          </w:p>
        </w:tc>
      </w:tr>
      <w:tr w14:paraId="1A556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566" w:type="dxa"/>
            <w:vAlign w:val="center"/>
          </w:tcPr>
          <w:p w14:paraId="70D3CC5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080" w:type="dxa"/>
            <w:vAlign w:val="center"/>
          </w:tcPr>
          <w:p w14:paraId="64F47A96">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4"/>
                <w:szCs w:val="24"/>
                <w:lang w:val="en-US" w:eastAsia="zh-CN"/>
              </w:rPr>
              <w:t>13961165260</w:t>
            </w:r>
          </w:p>
        </w:tc>
        <w:tc>
          <w:tcPr>
            <w:tcW w:w="1645" w:type="dxa"/>
            <w:vAlign w:val="center"/>
          </w:tcPr>
          <w:p w14:paraId="088FB07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665" w:type="dxa"/>
            <w:vAlign w:val="center"/>
          </w:tcPr>
          <w:p w14:paraId="185B988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2</w:t>
            </w:r>
            <w:r>
              <w:rPr>
                <w:rFonts w:ascii="Times New Roman" w:hAnsi="Times New Roman" w:eastAsia="宋体" w:cs="Times New Roman"/>
                <w:bCs/>
                <w:sz w:val="28"/>
                <w:szCs w:val="21"/>
              </w:rPr>
              <w:t>85817681@qq.com</w:t>
            </w:r>
          </w:p>
        </w:tc>
      </w:tr>
      <w:tr w14:paraId="559D0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141" w:hRule="exact"/>
          <w:jc w:val="center"/>
        </w:trPr>
        <w:tc>
          <w:tcPr>
            <w:tcW w:w="1566" w:type="dxa"/>
            <w:vAlign w:val="center"/>
          </w:tcPr>
          <w:p w14:paraId="782D9E9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90" w:type="dxa"/>
            <w:gridSpan w:val="3"/>
            <w:vAlign w:val="center"/>
          </w:tcPr>
          <w:p w14:paraId="0831FB41">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先进半导体   </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15D65216">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573E4E01">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hint="eastAsia" w:ascii="宋体" w:hAnsi="宋体" w:eastAsia="宋体" w:cs="Times New Roman"/>
                <w:bCs/>
                <w:sz w:val="28"/>
                <w:szCs w:val="21"/>
              </w:rPr>
              <w:t>√</w:t>
            </w:r>
            <w:r>
              <w:rPr>
                <w:rFonts w:hint="eastAsia" w:ascii="Times New Roman" w:hAnsi="Times New Roman" w:eastAsia="宋体" w:cs="Times New Roman"/>
                <w:bCs/>
                <w:sz w:val="28"/>
                <w:szCs w:val="21"/>
              </w:rPr>
              <w:t>高端装备</w:t>
            </w:r>
          </w:p>
        </w:tc>
      </w:tr>
      <w:tr w14:paraId="27DD6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566" w:type="dxa"/>
            <w:vAlign w:val="center"/>
          </w:tcPr>
          <w:p w14:paraId="712F389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90" w:type="dxa"/>
            <w:gridSpan w:val="3"/>
            <w:vAlign w:val="center"/>
          </w:tcPr>
          <w:p w14:paraId="7B6713D1">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1</w:t>
            </w:r>
            <w:r>
              <w:rPr>
                <w:rFonts w:ascii="Times New Roman" w:hAnsi="Times New Roman" w:eastAsia="宋体" w:cs="Times New Roman"/>
                <w:bCs/>
                <w:sz w:val="28"/>
                <w:szCs w:val="21"/>
              </w:rPr>
              <w:t>00</w:t>
            </w:r>
            <w:r>
              <w:rPr>
                <w:rFonts w:hint="eastAsia" w:ascii="Times New Roman" w:hAnsi="Times New Roman" w:eastAsia="宋体" w:cs="Times New Roman"/>
                <w:bCs/>
                <w:sz w:val="28"/>
                <w:szCs w:val="21"/>
              </w:rPr>
              <w:t>万</w:t>
            </w:r>
          </w:p>
        </w:tc>
      </w:tr>
      <w:tr w14:paraId="11D29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566" w:type="dxa"/>
            <w:vAlign w:val="center"/>
          </w:tcPr>
          <w:p w14:paraId="274DCF24">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90" w:type="dxa"/>
            <w:gridSpan w:val="3"/>
            <w:vAlign w:val="center"/>
          </w:tcPr>
          <w:p w14:paraId="41D58263">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线缆智能柔性输送线</w:t>
            </w:r>
          </w:p>
        </w:tc>
      </w:tr>
      <w:tr w14:paraId="60E7F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6" w:hRule="exact"/>
          <w:jc w:val="center"/>
        </w:trPr>
        <w:tc>
          <w:tcPr>
            <w:tcW w:w="1566" w:type="dxa"/>
            <w:vAlign w:val="center"/>
          </w:tcPr>
          <w:p w14:paraId="150C3803">
            <w:pPr>
              <w:spacing w:line="360" w:lineRule="auto"/>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390" w:type="dxa"/>
            <w:gridSpan w:val="3"/>
          </w:tcPr>
          <w:p w14:paraId="363CD22D">
            <w:pPr>
              <w:pStyle w:val="2"/>
              <w:spacing w:before="0" w:after="0" w:line="240" w:lineRule="auto"/>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1C22881B">
            <w:pPr>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在光纤、电缆、电器接插件等产品的生成过程中，需要将柔性线缆输送，在不受外力或约束作用的自然状态下，该类物料接近于直软杆或软管状，在受到外力或约束后会有一定程度的弯曲和变形，如何输送并保持所需的形态</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本成果开发了智能传送关键技术：线缆各工序的线缆自动化上下料、不同工段传送的可变速可聚散（编组）柔性输送技术、不良品的自动检测与替换技术、密集插拔技术，实现了柔性线缆的自动化生产，大幅度提高了生产效率、降低用工成本。已申请发明专利</w:t>
            </w:r>
            <w:r>
              <w:rPr>
                <w:rFonts w:ascii="Times New Roman" w:hAnsi="Times New Roman" w:eastAsia="宋体" w:cs="Times New Roman"/>
                <w:bCs/>
                <w:sz w:val="24"/>
              </w:rPr>
              <w:t>7</w:t>
            </w:r>
            <w:r>
              <w:rPr>
                <w:rFonts w:hint="eastAsia" w:ascii="Times New Roman" w:hAnsi="Times New Roman" w:eastAsia="宋体" w:cs="Times New Roman"/>
                <w:bCs/>
                <w:sz w:val="24"/>
              </w:rPr>
              <w:t>项，已在江苏某企业的光纤连接器自动化生产线中投入使用。</w:t>
            </w:r>
          </w:p>
          <w:p w14:paraId="4E11156C">
            <w:pPr>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应用领域：光纤、电缆、电器接插件等柔性线缆类的自动化生成；物料（零件、元器件等）输送、加工过程中需要变速、聚散等场景。</w:t>
            </w:r>
          </w:p>
          <w:p w14:paraId="54D1E1D5">
            <w:pPr>
              <w:rPr>
                <w:rFonts w:ascii="Times New Roman" w:hAnsi="Times New Roman" w:eastAsia="宋体" w:cs="Times New Roman"/>
                <w:bCs/>
                <w:sz w:val="28"/>
                <w:szCs w:val="21"/>
              </w:rPr>
            </w:pPr>
          </w:p>
        </w:tc>
      </w:tr>
    </w:tbl>
    <w:p w14:paraId="46FD9F7F">
      <w:pPr>
        <w:spacing w:before="65" w:line="224" w:lineRule="auto"/>
        <w:ind w:left="39"/>
        <w:rPr>
          <w:rFonts w:hint="default" w:ascii="黑体" w:hAnsi="黑体" w:eastAsia="黑体" w:cs="黑体"/>
          <w:sz w:val="32"/>
          <w:szCs w:val="32"/>
          <w:lang w:val="en-US" w:eastAsia="zh-CN"/>
        </w:rPr>
      </w:pPr>
    </w:p>
    <w:p w14:paraId="77C6BA05">
      <w:pPr>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14:paraId="37D04318">
      <w:pPr>
        <w:pStyle w:val="5"/>
        <w:widowControl w:val="0"/>
        <w:overflowPunct w:val="0"/>
        <w:autoSpaceDE w:val="0"/>
        <w:autoSpaceDN w:val="0"/>
        <w:adjustRightInd w:val="0"/>
        <w:snapToGrid w:val="0"/>
        <w:spacing w:before="120" w:beforeAutospacing="0" w:after="240" w:afterAutospacing="0" w:line="57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21</w:t>
      </w:r>
    </w:p>
    <w:p w14:paraId="66BDBF9B">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05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664"/>
        <w:gridCol w:w="3176"/>
        <w:gridCol w:w="1748"/>
        <w:gridCol w:w="2367"/>
      </w:tblGrid>
      <w:tr w14:paraId="7050F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798" w:type="dxa"/>
            <w:vAlign w:val="center"/>
          </w:tcPr>
          <w:p w14:paraId="3B23C99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357" w:type="dxa"/>
            <w:vAlign w:val="center"/>
          </w:tcPr>
          <w:p w14:paraId="2A84EFB3">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4"/>
                <w:szCs w:val="24"/>
                <w:lang w:val="en-US" w:eastAsia="zh-CN"/>
              </w:rPr>
              <w:t>常州江苏大学工程技术研究院</w:t>
            </w:r>
          </w:p>
        </w:tc>
        <w:tc>
          <w:tcPr>
            <w:tcW w:w="1890" w:type="dxa"/>
            <w:vAlign w:val="center"/>
          </w:tcPr>
          <w:p w14:paraId="575E70F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1895" w:type="dxa"/>
            <w:vAlign w:val="center"/>
          </w:tcPr>
          <w:p w14:paraId="5719D6BB">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4"/>
                <w:szCs w:val="24"/>
                <w:lang w:val="en-US" w:eastAsia="zh-CN"/>
              </w:rPr>
              <w:t>12320400467300293L</w:t>
            </w:r>
          </w:p>
        </w:tc>
      </w:tr>
      <w:tr w14:paraId="68067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96" w:hRule="exact"/>
          <w:jc w:val="center"/>
        </w:trPr>
        <w:tc>
          <w:tcPr>
            <w:tcW w:w="1798" w:type="dxa"/>
            <w:vAlign w:val="center"/>
          </w:tcPr>
          <w:p w14:paraId="7C9C887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357" w:type="dxa"/>
            <w:vAlign w:val="center"/>
          </w:tcPr>
          <w:p w14:paraId="22F41D01">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4"/>
                <w:szCs w:val="24"/>
                <w:lang w:val="en-US" w:eastAsia="zh-CN"/>
              </w:rPr>
              <w:t>常州市常武中路801号科教城天润科技大厦C座5楼</w:t>
            </w:r>
          </w:p>
        </w:tc>
        <w:tc>
          <w:tcPr>
            <w:tcW w:w="1890" w:type="dxa"/>
            <w:vAlign w:val="center"/>
          </w:tcPr>
          <w:p w14:paraId="57D5B26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1895" w:type="dxa"/>
            <w:vAlign w:val="center"/>
          </w:tcPr>
          <w:p w14:paraId="634FEE2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袁浩</w:t>
            </w:r>
          </w:p>
        </w:tc>
      </w:tr>
      <w:tr w14:paraId="3EC9E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98" w:type="dxa"/>
            <w:vAlign w:val="center"/>
          </w:tcPr>
          <w:p w14:paraId="0476AFC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357" w:type="dxa"/>
            <w:vAlign w:val="center"/>
          </w:tcPr>
          <w:p w14:paraId="67E1C0ED">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4"/>
                <w:szCs w:val="24"/>
                <w:lang w:val="en-US" w:eastAsia="zh-CN"/>
              </w:rPr>
              <w:t>13961165260</w:t>
            </w:r>
          </w:p>
        </w:tc>
        <w:tc>
          <w:tcPr>
            <w:tcW w:w="1890" w:type="dxa"/>
            <w:vAlign w:val="center"/>
          </w:tcPr>
          <w:p w14:paraId="7EC603B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1895" w:type="dxa"/>
            <w:vAlign w:val="center"/>
          </w:tcPr>
          <w:p w14:paraId="37F3CE28">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2</w:t>
            </w:r>
            <w:r>
              <w:rPr>
                <w:rFonts w:ascii="Times New Roman" w:hAnsi="Times New Roman" w:eastAsia="宋体" w:cs="Times New Roman"/>
                <w:bCs/>
                <w:sz w:val="28"/>
                <w:szCs w:val="21"/>
              </w:rPr>
              <w:t>85817681@qq.com</w:t>
            </w:r>
          </w:p>
        </w:tc>
      </w:tr>
      <w:tr w14:paraId="56B46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141" w:hRule="exact"/>
          <w:jc w:val="center"/>
        </w:trPr>
        <w:tc>
          <w:tcPr>
            <w:tcW w:w="1798" w:type="dxa"/>
            <w:vAlign w:val="center"/>
          </w:tcPr>
          <w:p w14:paraId="5AFF107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142" w:type="dxa"/>
            <w:gridSpan w:val="3"/>
            <w:vAlign w:val="center"/>
          </w:tcPr>
          <w:p w14:paraId="6690D2E9">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先进半导体   </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30FB8F66">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78152148">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hint="eastAsia" w:ascii="宋体" w:hAnsi="宋体" w:eastAsia="宋体" w:cs="Times New Roman"/>
                <w:bCs/>
                <w:sz w:val="28"/>
                <w:szCs w:val="21"/>
              </w:rPr>
              <w:t>√</w:t>
            </w:r>
            <w:r>
              <w:rPr>
                <w:rFonts w:hint="eastAsia" w:ascii="Times New Roman" w:hAnsi="Times New Roman" w:eastAsia="宋体" w:cs="Times New Roman"/>
                <w:bCs/>
                <w:sz w:val="28"/>
                <w:szCs w:val="21"/>
              </w:rPr>
              <w:t>高端装备</w:t>
            </w:r>
          </w:p>
        </w:tc>
      </w:tr>
      <w:tr w14:paraId="0039E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98" w:type="dxa"/>
            <w:vAlign w:val="center"/>
          </w:tcPr>
          <w:p w14:paraId="24AFB11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142" w:type="dxa"/>
            <w:gridSpan w:val="3"/>
            <w:vAlign w:val="center"/>
          </w:tcPr>
          <w:p w14:paraId="4756C828">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面议</w:t>
            </w:r>
          </w:p>
        </w:tc>
      </w:tr>
      <w:tr w14:paraId="49D9F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798" w:type="dxa"/>
            <w:vAlign w:val="center"/>
          </w:tcPr>
          <w:p w14:paraId="5629A319">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142" w:type="dxa"/>
            <w:gridSpan w:val="3"/>
            <w:vAlign w:val="center"/>
          </w:tcPr>
          <w:p w14:paraId="19B24461">
            <w:pPr>
              <w:spacing w:line="320" w:lineRule="exact"/>
              <w:ind w:left="160" w:leftChars="50"/>
              <w:rPr>
                <w:rFonts w:ascii="Times New Roman" w:hAnsi="Times New Roman" w:eastAsia="宋体" w:cs="Times New Roman"/>
                <w:bCs/>
                <w:sz w:val="28"/>
                <w:szCs w:val="21"/>
              </w:rPr>
            </w:pPr>
            <w:r>
              <w:rPr>
                <w:rFonts w:hint="eastAsia" w:ascii="Times New Roman" w:hAnsi="Times New Roman" w:eastAsia="宋体" w:cs="Times New Roman"/>
                <w:bCs/>
                <w:sz w:val="28"/>
                <w:szCs w:val="21"/>
              </w:rPr>
              <w:t>基于机器视觉的零件表面缺陷检测</w:t>
            </w:r>
          </w:p>
        </w:tc>
      </w:tr>
      <w:tr w14:paraId="140BB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6" w:hRule="exact"/>
          <w:jc w:val="center"/>
        </w:trPr>
        <w:tc>
          <w:tcPr>
            <w:tcW w:w="1798" w:type="dxa"/>
            <w:vAlign w:val="center"/>
          </w:tcPr>
          <w:p w14:paraId="20A8AC91">
            <w:pPr>
              <w:spacing w:line="360" w:lineRule="auto"/>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142" w:type="dxa"/>
            <w:gridSpan w:val="3"/>
          </w:tcPr>
          <w:p w14:paraId="60144AF7">
            <w:pPr>
              <w:pStyle w:val="2"/>
              <w:spacing w:before="0" w:after="0" w:line="240" w:lineRule="auto"/>
              <w:rPr>
                <w:rFonts w:ascii="Times New Roman" w:hAnsi="Times New Roman"/>
                <w:b w:val="0"/>
                <w:szCs w:val="21"/>
              </w:rPr>
            </w:pPr>
            <w:r>
              <w:rPr>
                <w:rFonts w:hint="eastAsia" w:ascii="Times New Roman" w:hAnsi="Times New Roman"/>
                <w:b w:val="0"/>
                <w:szCs w:val="21"/>
              </w:rPr>
              <w:t>（国内外现状，成果的</w:t>
            </w:r>
            <w:r>
              <w:rPr>
                <w:rFonts w:ascii="Times New Roman" w:hAnsi="Times New Roman"/>
                <w:b w:val="0"/>
                <w:szCs w:val="21"/>
              </w:rPr>
              <w:t>价值、特色和创新点</w:t>
            </w:r>
            <w:r>
              <w:rPr>
                <w:rFonts w:hint="eastAsia" w:ascii="Times New Roman" w:hAnsi="Times New Roman"/>
                <w:b w:val="0"/>
                <w:szCs w:val="21"/>
              </w:rPr>
              <w:t>，已有技术积累和应用条件等）</w:t>
            </w:r>
          </w:p>
          <w:p w14:paraId="7AD40451">
            <w:pPr>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本成果针对工业生产环节中的产品外观缺陷检测，开发定制化的基于AI机器视觉的零部件外观缺陷检测和尺寸测量系统。研制了小型锻件表面缺陷检测与关键尺寸测量系统、铝铸件表面缺陷检测与自动测量、21700圆柱形电池壳表面缺陷检测与自动测量、金属双极板高精度尺寸测量和表面缺陷检测，开发了融合机器视觉及计算机图形算法的皮料瑕疵识别与排样系统。</w:t>
            </w:r>
          </w:p>
          <w:p w14:paraId="07A308BA">
            <w:pPr>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应用领域：各种零件加工中的表面缺陷检测、尺寸自动测量。</w:t>
            </w:r>
          </w:p>
          <w:p w14:paraId="4E008760">
            <w:pPr>
              <w:rPr>
                <w:rFonts w:ascii="Times New Roman" w:hAnsi="Times New Roman" w:eastAsia="宋体" w:cs="Times New Roman"/>
                <w:bCs/>
                <w:sz w:val="28"/>
                <w:szCs w:val="21"/>
              </w:rPr>
            </w:pPr>
          </w:p>
        </w:tc>
      </w:tr>
    </w:tbl>
    <w:p w14:paraId="492CBC20">
      <w:pPr>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br w:type="page"/>
      </w:r>
    </w:p>
    <w:p w14:paraId="0512E2D0">
      <w:pPr>
        <w:pStyle w:val="5"/>
        <w:widowControl w:val="0"/>
        <w:overflowPunct w:val="0"/>
        <w:autoSpaceDE w:val="0"/>
        <w:autoSpaceDN w:val="0"/>
        <w:adjustRightInd w:val="0"/>
        <w:snapToGrid w:val="0"/>
        <w:spacing w:before="120" w:beforeAutospacing="0" w:after="240" w:afterAutospacing="0" w:line="57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22</w:t>
      </w:r>
    </w:p>
    <w:p w14:paraId="22CE6727">
      <w:pPr>
        <w:pStyle w:val="5"/>
        <w:widowControl w:val="0"/>
        <w:overflowPunct w:val="0"/>
        <w:autoSpaceDE w:val="0"/>
        <w:autoSpaceDN w:val="0"/>
        <w:adjustRightInd w:val="0"/>
        <w:snapToGrid w:val="0"/>
        <w:spacing w:before="120" w:beforeAutospacing="0" w:after="240" w:afterAutospacing="0" w:line="570" w:lineRule="exact"/>
        <w:jc w:val="center"/>
        <w:rPr>
          <w:rFonts w:hint="default" w:ascii="Times New Roman" w:hAnsi="Times New Roman" w:eastAsia="方正小标宋简体" w:cs="Times New Roman"/>
          <w:kern w:val="2"/>
          <w:sz w:val="44"/>
          <w:szCs w:val="44"/>
        </w:rPr>
      </w:pPr>
      <w:r>
        <w:rPr>
          <w:rFonts w:hint="default" w:ascii="Times New Roman" w:hAnsi="Times New Roman" w:eastAsia="方正小标宋简体" w:cs="Times New Roman"/>
          <w:kern w:val="2"/>
          <w:sz w:val="44"/>
          <w:szCs w:val="44"/>
          <w:lang w:val="en-US" w:eastAsia="zh-CN"/>
        </w:rPr>
        <w:t>202</w:t>
      </w:r>
      <w:r>
        <w:rPr>
          <w:rFonts w:hint="eastAsia" w:ascii="Times New Roman" w:hAnsi="Times New Roman" w:eastAsia="方正小标宋简体" w:cs="Times New Roman"/>
          <w:kern w:val="2"/>
          <w:sz w:val="44"/>
          <w:szCs w:val="44"/>
          <w:lang w:val="en-US" w:eastAsia="zh-CN"/>
        </w:rPr>
        <w:t>5</w:t>
      </w:r>
      <w:r>
        <w:rPr>
          <w:rFonts w:hint="default" w:ascii="Times New Roman" w:hAnsi="Times New Roman" w:eastAsia="方正小标宋简体" w:cs="Times New Roman"/>
          <w:kern w:val="2"/>
          <w:sz w:val="44"/>
          <w:szCs w:val="44"/>
          <w:lang w:val="en-US" w:eastAsia="zh-CN"/>
        </w:rPr>
        <w:t>年钟楼区“揭榜挂帅”</w:t>
      </w:r>
      <w:r>
        <w:rPr>
          <w:rFonts w:hint="eastAsia" w:ascii="Times New Roman" w:hAnsi="Times New Roman" w:eastAsia="方正小标宋简体" w:cs="Times New Roman"/>
          <w:kern w:val="2"/>
          <w:sz w:val="44"/>
          <w:szCs w:val="44"/>
          <w:lang w:val="en-US" w:eastAsia="zh-CN"/>
        </w:rPr>
        <w:t>应用场景</w:t>
      </w:r>
      <w:r>
        <w:rPr>
          <w:rFonts w:hint="default" w:ascii="Times New Roman" w:hAnsi="Times New Roman" w:eastAsia="方正小标宋简体" w:cs="Times New Roman"/>
          <w:kern w:val="2"/>
          <w:sz w:val="44"/>
          <w:szCs w:val="44"/>
          <w:lang w:val="en-US" w:eastAsia="zh-CN"/>
        </w:rPr>
        <w:t>成果征集表</w:t>
      </w:r>
    </w:p>
    <w:tbl>
      <w:tblPr>
        <w:tblStyle w:val="6"/>
        <w:tblW w:w="506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647"/>
        <w:gridCol w:w="2573"/>
        <w:gridCol w:w="2220"/>
        <w:gridCol w:w="2531"/>
      </w:tblGrid>
      <w:tr w14:paraId="5D10F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644" w:type="dxa"/>
            <w:noWrap w:val="0"/>
            <w:vAlign w:val="center"/>
          </w:tcPr>
          <w:p w14:paraId="501FF68B">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单位名称</w:t>
            </w:r>
          </w:p>
        </w:tc>
        <w:tc>
          <w:tcPr>
            <w:tcW w:w="2569" w:type="dxa"/>
            <w:noWrap w:val="0"/>
            <w:vAlign w:val="center"/>
          </w:tcPr>
          <w:p w14:paraId="4199CD15">
            <w:pPr>
              <w:spacing w:line="320" w:lineRule="exact"/>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4"/>
                <w:szCs w:val="24"/>
                <w:lang w:val="en-US" w:eastAsia="zh-CN"/>
              </w:rPr>
              <w:t>常州江苏大学工程技术研究院</w:t>
            </w:r>
          </w:p>
        </w:tc>
        <w:tc>
          <w:tcPr>
            <w:tcW w:w="2216" w:type="dxa"/>
            <w:noWrap w:val="0"/>
            <w:vAlign w:val="center"/>
          </w:tcPr>
          <w:p w14:paraId="0BB02F49">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统一社会信用代码</w:t>
            </w:r>
          </w:p>
        </w:tc>
        <w:tc>
          <w:tcPr>
            <w:tcW w:w="2527" w:type="dxa"/>
            <w:noWrap w:val="0"/>
            <w:vAlign w:val="center"/>
          </w:tcPr>
          <w:p w14:paraId="2776D68A">
            <w:pPr>
              <w:spacing w:line="320" w:lineRule="exact"/>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12320400467300293L</w:t>
            </w:r>
          </w:p>
        </w:tc>
      </w:tr>
      <w:tr w14:paraId="4B77D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62" w:hRule="exact"/>
          <w:jc w:val="center"/>
        </w:trPr>
        <w:tc>
          <w:tcPr>
            <w:tcW w:w="1644" w:type="dxa"/>
            <w:noWrap w:val="0"/>
            <w:vAlign w:val="center"/>
          </w:tcPr>
          <w:p w14:paraId="4EDC7A4A">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地    址</w:t>
            </w:r>
          </w:p>
        </w:tc>
        <w:tc>
          <w:tcPr>
            <w:tcW w:w="2569" w:type="dxa"/>
            <w:noWrap w:val="0"/>
            <w:vAlign w:val="center"/>
          </w:tcPr>
          <w:p w14:paraId="1DAE2DC5">
            <w:pPr>
              <w:spacing w:line="320" w:lineRule="exact"/>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常州市常武中路801号科教城天润科技大厦C座5楼</w:t>
            </w:r>
          </w:p>
        </w:tc>
        <w:tc>
          <w:tcPr>
            <w:tcW w:w="2216" w:type="dxa"/>
            <w:noWrap w:val="0"/>
            <w:vAlign w:val="center"/>
          </w:tcPr>
          <w:p w14:paraId="4CB6755B">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联 系 人</w:t>
            </w:r>
          </w:p>
        </w:tc>
        <w:tc>
          <w:tcPr>
            <w:tcW w:w="2527" w:type="dxa"/>
            <w:noWrap w:val="0"/>
            <w:vAlign w:val="center"/>
          </w:tcPr>
          <w:p w14:paraId="6053D864">
            <w:pPr>
              <w:spacing w:line="320" w:lineRule="exact"/>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崔冰波</w:t>
            </w:r>
          </w:p>
        </w:tc>
      </w:tr>
      <w:tr w14:paraId="5FAFC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77" w:hRule="exact"/>
          <w:jc w:val="center"/>
        </w:trPr>
        <w:tc>
          <w:tcPr>
            <w:tcW w:w="1644" w:type="dxa"/>
            <w:noWrap w:val="0"/>
            <w:vAlign w:val="center"/>
          </w:tcPr>
          <w:p w14:paraId="7B5BB2DB">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联系电话</w:t>
            </w:r>
          </w:p>
        </w:tc>
        <w:tc>
          <w:tcPr>
            <w:tcW w:w="2569" w:type="dxa"/>
            <w:noWrap w:val="0"/>
            <w:vAlign w:val="center"/>
          </w:tcPr>
          <w:p w14:paraId="1DB62028">
            <w:pPr>
              <w:spacing w:line="320" w:lineRule="exact"/>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13961165260</w:t>
            </w:r>
          </w:p>
        </w:tc>
        <w:tc>
          <w:tcPr>
            <w:tcW w:w="2216" w:type="dxa"/>
            <w:noWrap w:val="0"/>
            <w:vAlign w:val="center"/>
          </w:tcPr>
          <w:p w14:paraId="0EDF5B5A">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电子邮件</w:t>
            </w:r>
          </w:p>
        </w:tc>
        <w:tc>
          <w:tcPr>
            <w:tcW w:w="2527" w:type="dxa"/>
            <w:noWrap w:val="0"/>
            <w:vAlign w:val="center"/>
          </w:tcPr>
          <w:p w14:paraId="6AF07E71">
            <w:pPr>
              <w:spacing w:line="320" w:lineRule="exact"/>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cuibingbo@ujs.edu.cn</w:t>
            </w:r>
          </w:p>
        </w:tc>
      </w:tr>
      <w:tr w14:paraId="32367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221" w:hRule="exact"/>
          <w:jc w:val="center"/>
        </w:trPr>
        <w:tc>
          <w:tcPr>
            <w:tcW w:w="1644" w:type="dxa"/>
            <w:noWrap w:val="0"/>
            <w:vAlign w:val="center"/>
          </w:tcPr>
          <w:p w14:paraId="605F47D9">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所属领域</w:t>
            </w:r>
          </w:p>
        </w:tc>
        <w:tc>
          <w:tcPr>
            <w:tcW w:w="7312" w:type="dxa"/>
            <w:gridSpan w:val="3"/>
            <w:noWrap w:val="0"/>
            <w:vAlign w:val="center"/>
          </w:tcPr>
          <w:p w14:paraId="78DA0A75">
            <w:pPr>
              <w:spacing w:line="320" w:lineRule="exact"/>
              <w:jc w:val="left"/>
              <w:rPr>
                <w:rFonts w:hint="default" w:ascii="Times New Roman" w:hAnsi="Times New Roman" w:eastAsia="宋体" w:cs="Times New Roman"/>
                <w:bCs/>
                <w:sz w:val="28"/>
                <w:szCs w:val="21"/>
                <w:lang w:val="en-US" w:eastAsia="zh-CN"/>
              </w:rPr>
            </w:pPr>
            <w:r>
              <w:rPr>
                <w:rFonts w:hint="default" w:ascii="Times New Roman" w:hAnsi="Times New Roman" w:eastAsia="宋体" w:cs="Times New Roman"/>
                <w:bCs/>
                <w:sz w:val="28"/>
                <w:szCs w:val="21"/>
                <w:lang w:eastAsia="zh-CN"/>
              </w:rPr>
              <w:t>□人工智能</w:t>
            </w:r>
            <w:r>
              <w:rPr>
                <w:rFonts w:hint="eastAsia" w:ascii="Times New Roman" w:hAnsi="Times New Roman" w:eastAsia="宋体" w:cs="Times New Roman"/>
                <w:b/>
                <w:bCs w:val="0"/>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数字经济</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rPr>
              <w:t xml:space="preserve"> □</w:t>
            </w:r>
            <w:r>
              <w:rPr>
                <w:rFonts w:hint="eastAsia" w:ascii="Times New Roman" w:hAnsi="Times New Roman" w:eastAsia="宋体" w:cs="Times New Roman"/>
                <w:bCs/>
                <w:sz w:val="28"/>
                <w:szCs w:val="21"/>
                <w:lang w:eastAsia="zh-CN"/>
              </w:rPr>
              <w:t>先进半导体</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default" w:ascii="Times New Roman" w:hAnsi="Times New Roman" w:eastAsia="宋体" w:cs="Times New Roman"/>
                <w:bCs/>
                <w:sz w:val="28"/>
                <w:szCs w:val="21"/>
              </w:rPr>
              <w:t>新</w:t>
            </w:r>
            <w:r>
              <w:rPr>
                <w:rFonts w:hint="eastAsia" w:ascii="Times New Roman" w:hAnsi="Times New Roman" w:eastAsia="宋体" w:cs="Times New Roman"/>
                <w:bCs/>
                <w:sz w:val="28"/>
                <w:szCs w:val="21"/>
                <w:lang w:eastAsia="zh-CN"/>
              </w:rPr>
              <w:t>材料</w:t>
            </w:r>
            <w:r>
              <w:rPr>
                <w:rFonts w:hint="default" w:ascii="Times New Roman" w:hAnsi="Times New Roman" w:eastAsia="宋体" w:cs="Times New Roman"/>
                <w:bCs/>
                <w:sz w:val="28"/>
                <w:szCs w:val="21"/>
              </w:rPr>
              <w:t xml:space="preserve"> </w:t>
            </w:r>
          </w:p>
          <w:p w14:paraId="38F9E72A">
            <w:pPr>
              <w:spacing w:line="320" w:lineRule="exact"/>
              <w:jc w:val="left"/>
              <w:rPr>
                <w:rFonts w:hint="default" w:ascii="Times New Roman" w:hAnsi="Times New Roman" w:eastAsia="宋体" w:cs="Times New Roman"/>
                <w:bCs/>
                <w:sz w:val="28"/>
                <w:szCs w:val="21"/>
                <w:lang w:val="en-US"/>
              </w:rPr>
            </w:pP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新型储能</w:t>
            </w:r>
            <w:r>
              <w:rPr>
                <w:rFonts w:hint="default" w:ascii="Times New Roman" w:hAnsi="Times New Roman" w:eastAsia="宋体" w:cs="Times New Roman"/>
                <w:bCs/>
                <w:sz w:val="28"/>
                <w:szCs w:val="21"/>
              </w:rPr>
              <w:t xml:space="preserve"> </w:t>
            </w:r>
            <w:r>
              <w:rPr>
                <w:rFonts w:hint="default" w:ascii="Times New Roman" w:hAnsi="Times New Roman" w:eastAsia="宋体" w:cs="Times New Roman"/>
                <w:bCs/>
                <w:sz w:val="28"/>
                <w:szCs w:val="21"/>
                <w:lang w:val="en-US" w:eastAsia="zh-CN"/>
              </w:rPr>
              <w:t xml:space="preserve">   </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合成生物</w:t>
            </w:r>
            <w:r>
              <w:rPr>
                <w:rFonts w:hint="default" w:ascii="Times New Roman" w:hAnsi="Times New Roman" w:eastAsia="宋体" w:cs="Times New Roman"/>
                <w:bCs/>
                <w:sz w:val="28"/>
                <w:szCs w:val="21"/>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新能源汽车</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循环制造</w:t>
            </w:r>
          </w:p>
          <w:p w14:paraId="06ECD310">
            <w:pPr>
              <w:spacing w:line="320" w:lineRule="exact"/>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☑新一代信息技术</w:t>
            </w:r>
            <w:r>
              <w:rPr>
                <w:rFonts w:hint="eastAsia" w:ascii="Times New Roman" w:hAnsi="Times New Roman" w:eastAsia="宋体" w:cs="Times New Roman"/>
                <w:bCs/>
                <w:sz w:val="28"/>
                <w:szCs w:val="21"/>
                <w:lang w:val="en-US" w:eastAsia="zh-CN"/>
              </w:rPr>
              <w:t xml:space="preserve">     </w:t>
            </w:r>
            <w:r>
              <w:rPr>
                <w:rFonts w:hint="eastAsia" w:ascii="Times New Roman" w:hAnsi="Times New Roman" w:eastAsia="宋体" w:cs="Times New Roman"/>
                <w:bCs/>
                <w:sz w:val="28"/>
                <w:szCs w:val="21"/>
                <w:lang w:eastAsia="zh-CN"/>
              </w:rPr>
              <w:t>☑高端装备</w:t>
            </w:r>
          </w:p>
        </w:tc>
      </w:tr>
      <w:tr w14:paraId="085D3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7" w:hRule="exact"/>
          <w:jc w:val="center"/>
        </w:trPr>
        <w:tc>
          <w:tcPr>
            <w:tcW w:w="1644" w:type="dxa"/>
            <w:noWrap w:val="0"/>
            <w:vAlign w:val="center"/>
          </w:tcPr>
          <w:p w14:paraId="39469522">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榜额</w:t>
            </w:r>
          </w:p>
        </w:tc>
        <w:tc>
          <w:tcPr>
            <w:tcW w:w="7312" w:type="dxa"/>
            <w:gridSpan w:val="3"/>
            <w:noWrap w:val="0"/>
            <w:vAlign w:val="center"/>
          </w:tcPr>
          <w:p w14:paraId="7D054B0A">
            <w:pPr>
              <w:spacing w:line="320" w:lineRule="exact"/>
              <w:ind w:left="160" w:leftChars="50"/>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100万元</w:t>
            </w:r>
          </w:p>
        </w:tc>
      </w:tr>
      <w:tr w14:paraId="78D9D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644" w:type="dxa"/>
            <w:noWrap w:val="0"/>
            <w:vAlign w:val="center"/>
          </w:tcPr>
          <w:p w14:paraId="159393B5">
            <w:pPr>
              <w:spacing w:line="320" w:lineRule="exact"/>
              <w:jc w:val="center"/>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场景</w:t>
            </w:r>
            <w:r>
              <w:rPr>
                <w:rFonts w:hint="default" w:ascii="Times New Roman" w:hAnsi="Times New Roman" w:eastAsia="宋体" w:cs="Times New Roman"/>
                <w:bCs/>
                <w:sz w:val="28"/>
                <w:szCs w:val="21"/>
              </w:rPr>
              <w:t>成果名称</w:t>
            </w:r>
          </w:p>
        </w:tc>
        <w:tc>
          <w:tcPr>
            <w:tcW w:w="7312" w:type="dxa"/>
            <w:gridSpan w:val="3"/>
            <w:noWrap w:val="0"/>
            <w:vAlign w:val="center"/>
          </w:tcPr>
          <w:p w14:paraId="6DA8D0D0">
            <w:pPr>
              <w:spacing w:line="320" w:lineRule="exact"/>
              <w:ind w:left="160" w:leftChars="50"/>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无人化场景农业机器人导航控制与协同作业技术及系统</w:t>
            </w:r>
          </w:p>
        </w:tc>
      </w:tr>
      <w:tr w14:paraId="188F8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181" w:hRule="exact"/>
          <w:jc w:val="center"/>
        </w:trPr>
        <w:tc>
          <w:tcPr>
            <w:tcW w:w="1644" w:type="dxa"/>
            <w:noWrap w:val="0"/>
            <w:vAlign w:val="center"/>
          </w:tcPr>
          <w:p w14:paraId="0DED82C0">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成果简介</w:t>
            </w:r>
          </w:p>
        </w:tc>
        <w:tc>
          <w:tcPr>
            <w:tcW w:w="7312" w:type="dxa"/>
            <w:gridSpan w:val="3"/>
            <w:noWrap w:val="0"/>
            <w:vAlign w:val="top"/>
          </w:tcPr>
          <w:p w14:paraId="2266F32B">
            <w:pPr>
              <w:keepNext w:val="0"/>
              <w:keepLines w:val="0"/>
              <w:pageBreakBefore w:val="0"/>
              <w:widowControl w:val="0"/>
              <w:kinsoku/>
              <w:wordWrap/>
              <w:overflowPunct/>
              <w:topLinePunct w:val="0"/>
              <w:autoSpaceDE/>
              <w:autoSpaceDN/>
              <w:bidi w:val="0"/>
              <w:adjustRightInd/>
              <w:snapToGrid/>
              <w:spacing w:before="157" w:beforeLines="50" w:line="400" w:lineRule="exact"/>
              <w:ind w:left="160" w:leftChars="50" w:firstLine="560" w:firstLineChars="200"/>
              <w:textAlignment w:val="auto"/>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农机装备智能化与无人化是智慧农场建设的重要支撑，本成果聚焦智慧农业中大田农机装备、设施农业机器人自主作业关键技术与控制系统。欧美等国本世纪初即将基于3S技术的精准农业应用于大型装备智能化和实际农业生产，日韩等在设施农业机器人、水田农机装备方面也取得显著成果，其全田块覆盖无人驾驶作业、多机协同作业等控制系统已开展示范应用。本团队突破GNSS拒止环境下农业机器人组合导航、大田农机全田块覆盖路径规划、多机协同转场与编队作业等关键技术，自主研发农机无人驾驶作业控制系统、多机协同自主作业控制系统等，实现稻麦生产全过程无人驾驶作业与智能云管控，典型工况下田间自主导航精度</w:t>
            </w:r>
            <w:r>
              <w:rPr>
                <w:rFonts w:hint="default" w:ascii="Times New Roman" w:hAnsi="Times New Roman" w:eastAsia="宋体" w:cs="Times New Roman"/>
                <w:bCs/>
                <w:sz w:val="28"/>
                <w:szCs w:val="21"/>
                <w:lang w:val="en-US" w:eastAsia="zh-CN"/>
              </w:rPr>
              <w:t>≤</w:t>
            </w:r>
            <w:r>
              <w:rPr>
                <w:rFonts w:hint="eastAsia" w:ascii="Times New Roman" w:hAnsi="Times New Roman" w:eastAsia="宋体" w:cs="Times New Roman"/>
                <w:bCs/>
                <w:sz w:val="28"/>
                <w:szCs w:val="21"/>
                <w:lang w:val="en-US" w:eastAsia="zh-CN"/>
              </w:rPr>
              <w:t>5cm，多机协同纵向距离误差</w:t>
            </w:r>
            <w:r>
              <w:rPr>
                <w:rFonts w:hint="default" w:ascii="Times New Roman" w:hAnsi="Times New Roman" w:eastAsia="宋体" w:cs="Times New Roman"/>
                <w:bCs/>
                <w:sz w:val="28"/>
                <w:szCs w:val="21"/>
                <w:lang w:val="en-US" w:eastAsia="zh-CN"/>
              </w:rPr>
              <w:t>≤</w:t>
            </w:r>
            <w:r>
              <w:rPr>
                <w:rFonts w:hint="eastAsia" w:ascii="Times New Roman" w:hAnsi="Times New Roman" w:eastAsia="宋体" w:cs="Times New Roman"/>
                <w:bCs/>
                <w:sz w:val="28"/>
                <w:szCs w:val="21"/>
                <w:lang w:val="en-US" w:eastAsia="zh-CN"/>
              </w:rPr>
              <w:t>15cm，近5年建设单季水稻和稻麦轮作模式下大型智慧农场4家。本成果可用于大田农机无人化作业、设施环境农业机器人自主转运与巡检等场景，相关成果授权发明专利10件，发表高水平论文10余篇。</w:t>
            </w:r>
          </w:p>
        </w:tc>
      </w:tr>
    </w:tbl>
    <w:p w14:paraId="0DC273FD">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14:paraId="441507E6">
      <w:pPr>
        <w:spacing w:before="65" w:line="224" w:lineRule="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23</w:t>
      </w:r>
    </w:p>
    <w:p w14:paraId="280884E8">
      <w:pPr>
        <w:pStyle w:val="5"/>
        <w:widowControl w:val="0"/>
        <w:overflowPunct w:val="0"/>
        <w:autoSpaceDE w:val="0"/>
        <w:autoSpaceDN w:val="0"/>
        <w:adjustRightInd w:val="0"/>
        <w:snapToGrid w:val="0"/>
        <w:spacing w:before="120" w:beforeAutospacing="0" w:after="240" w:afterAutospacing="0" w:line="570" w:lineRule="exact"/>
        <w:jc w:val="center"/>
      </w:pPr>
      <w:r>
        <w:rPr>
          <w:rFonts w:hint="default" w:ascii="Times New Roman" w:hAnsi="Times New Roman" w:eastAsia="方正小标宋简体" w:cs="Times New Roman"/>
          <w:kern w:val="2"/>
          <w:sz w:val="44"/>
          <w:szCs w:val="44"/>
          <w:lang w:val="en-US" w:eastAsia="zh-CN"/>
        </w:rPr>
        <w:t>202</w:t>
      </w:r>
      <w:r>
        <w:rPr>
          <w:rFonts w:hint="eastAsia" w:ascii="Times New Roman" w:hAnsi="Times New Roman" w:eastAsia="方正小标宋简体" w:cs="Times New Roman"/>
          <w:kern w:val="2"/>
          <w:sz w:val="44"/>
          <w:szCs w:val="44"/>
          <w:lang w:val="en-US" w:eastAsia="zh-CN"/>
        </w:rPr>
        <w:t>5</w:t>
      </w:r>
      <w:r>
        <w:rPr>
          <w:rFonts w:hint="default" w:ascii="Times New Roman" w:hAnsi="Times New Roman" w:eastAsia="方正小标宋简体" w:cs="Times New Roman"/>
          <w:kern w:val="2"/>
          <w:sz w:val="44"/>
          <w:szCs w:val="44"/>
          <w:lang w:val="en-US" w:eastAsia="zh-CN"/>
        </w:rPr>
        <w:t>年钟楼区“揭榜挂帅”</w:t>
      </w:r>
      <w:r>
        <w:rPr>
          <w:rFonts w:hint="eastAsia" w:ascii="Times New Roman" w:hAnsi="Times New Roman" w:eastAsia="方正小标宋简体" w:cs="Times New Roman"/>
          <w:kern w:val="2"/>
          <w:sz w:val="44"/>
          <w:szCs w:val="44"/>
          <w:lang w:val="en-US" w:eastAsia="zh-CN"/>
        </w:rPr>
        <w:t>应用场景</w:t>
      </w:r>
      <w:r>
        <w:rPr>
          <w:rFonts w:hint="default" w:ascii="Times New Roman" w:hAnsi="Times New Roman" w:eastAsia="方正小标宋简体" w:cs="Times New Roman"/>
          <w:kern w:val="2"/>
          <w:sz w:val="44"/>
          <w:szCs w:val="44"/>
          <w:lang w:val="en-US" w:eastAsia="zh-CN"/>
        </w:rPr>
        <w:t>成果征集表</w:t>
      </w:r>
    </w:p>
    <w:tbl>
      <w:tblPr>
        <w:tblStyle w:val="9"/>
        <w:tblW w:w="89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9"/>
        <w:gridCol w:w="3124"/>
        <w:gridCol w:w="1539"/>
        <w:gridCol w:w="2717"/>
      </w:tblGrid>
      <w:tr w14:paraId="44FAC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549" w:type="dxa"/>
            <w:vAlign w:val="top"/>
          </w:tcPr>
          <w:p w14:paraId="354BCE6B">
            <w:pPr>
              <w:pStyle w:val="8"/>
              <w:spacing w:before="173" w:line="221" w:lineRule="auto"/>
              <w:ind w:left="22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单位名称</w:t>
            </w:r>
          </w:p>
        </w:tc>
        <w:tc>
          <w:tcPr>
            <w:tcW w:w="3124" w:type="dxa"/>
            <w:vAlign w:val="top"/>
          </w:tcPr>
          <w:p w14:paraId="59E235BE">
            <w:pPr>
              <w:pStyle w:val="8"/>
              <w:spacing w:before="174" w:line="219" w:lineRule="auto"/>
              <w:ind w:left="4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北京大数据研究院</w:t>
            </w:r>
          </w:p>
        </w:tc>
        <w:tc>
          <w:tcPr>
            <w:tcW w:w="1539" w:type="dxa"/>
            <w:vAlign w:val="top"/>
          </w:tcPr>
          <w:p w14:paraId="61495CAC">
            <w:pPr>
              <w:pStyle w:val="8"/>
              <w:spacing w:before="19" w:line="200" w:lineRule="auto"/>
              <w:ind w:left="358" w:right="62" w:hanging="27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统一社会信</w:t>
            </w:r>
            <w:r>
              <w:rPr>
                <w:rFonts w:hint="eastAsia" w:asciiTheme="minorEastAsia" w:hAnsiTheme="minorEastAsia" w:eastAsiaTheme="minorEastAsia" w:cstheme="minorEastAsia"/>
                <w:spacing w:val="-3"/>
                <w:sz w:val="28"/>
                <w:szCs w:val="28"/>
              </w:rPr>
              <w:t>用代码</w:t>
            </w:r>
          </w:p>
        </w:tc>
        <w:tc>
          <w:tcPr>
            <w:tcW w:w="2717" w:type="dxa"/>
            <w:vAlign w:val="top"/>
          </w:tcPr>
          <w:p w14:paraId="099C1A48">
            <w:pPr>
              <w:spacing w:before="221" w:line="189" w:lineRule="auto"/>
              <w:ind w:right="1"/>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521</w:t>
            </w:r>
            <w:r>
              <w:rPr>
                <w:rFonts w:hint="eastAsia" w:asciiTheme="minorEastAsia" w:hAnsiTheme="minorEastAsia" w:eastAsiaTheme="minorEastAsia" w:cstheme="minorEastAsia"/>
                <w:spacing w:val="-2"/>
                <w:sz w:val="28"/>
                <w:szCs w:val="28"/>
              </w:rPr>
              <w:t>10000MJ015843X</w:t>
            </w:r>
            <w:r>
              <w:rPr>
                <w:rFonts w:hint="eastAsia" w:asciiTheme="minorEastAsia" w:hAnsiTheme="minorEastAsia" w:eastAsiaTheme="minorEastAsia" w:cstheme="minorEastAsia"/>
                <w:spacing w:val="1"/>
                <w:sz w:val="28"/>
                <w:szCs w:val="28"/>
              </w:rPr>
              <w:t>R</w:t>
            </w:r>
          </w:p>
        </w:tc>
      </w:tr>
      <w:tr w14:paraId="56648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1549" w:type="dxa"/>
            <w:vAlign w:val="top"/>
          </w:tcPr>
          <w:p w14:paraId="41ECEC54">
            <w:pPr>
              <w:pStyle w:val="8"/>
              <w:spacing w:before="245" w:line="229" w:lineRule="auto"/>
              <w:ind w:left="3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6"/>
                <w:sz w:val="28"/>
                <w:szCs w:val="28"/>
              </w:rPr>
              <w:t>地</w:t>
            </w:r>
            <w:r>
              <w:rPr>
                <w:rFonts w:hint="eastAsia" w:asciiTheme="minorEastAsia" w:hAnsiTheme="minorEastAsia" w:eastAsiaTheme="minorEastAsia" w:cstheme="minorEastAsia"/>
                <w:spacing w:val="5"/>
                <w:sz w:val="28"/>
                <w:szCs w:val="28"/>
              </w:rPr>
              <w:t xml:space="preserve">  </w:t>
            </w:r>
            <w:r>
              <w:rPr>
                <w:rFonts w:hint="eastAsia" w:asciiTheme="minorEastAsia" w:hAnsiTheme="minorEastAsia" w:eastAsiaTheme="minorEastAsia" w:cstheme="minorEastAsia"/>
                <w:spacing w:val="-6"/>
                <w:sz w:val="28"/>
                <w:szCs w:val="28"/>
              </w:rPr>
              <w:t>址</w:t>
            </w:r>
          </w:p>
        </w:tc>
        <w:tc>
          <w:tcPr>
            <w:tcW w:w="3124" w:type="dxa"/>
            <w:vAlign w:val="top"/>
          </w:tcPr>
          <w:p w14:paraId="1E1702D9">
            <w:pPr>
              <w:pStyle w:val="8"/>
              <w:spacing w:before="86" w:line="215" w:lineRule="auto"/>
              <w:ind w:left="452" w:right="21" w:hanging="4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北京市海淀区海淀路</w:t>
            </w:r>
            <w:r>
              <w:rPr>
                <w:rFonts w:hint="eastAsia" w:asciiTheme="minorEastAsia" w:hAnsiTheme="minorEastAsia" w:eastAsiaTheme="minorEastAsia" w:cstheme="minorEastAsia"/>
                <w:spacing w:val="-51"/>
                <w:sz w:val="28"/>
                <w:szCs w:val="28"/>
              </w:rPr>
              <w:t xml:space="preserve"> </w:t>
            </w:r>
            <w:r>
              <w:rPr>
                <w:rFonts w:hint="eastAsia" w:asciiTheme="minorEastAsia" w:hAnsiTheme="minorEastAsia" w:eastAsiaTheme="minorEastAsia" w:cstheme="minorEastAsia"/>
                <w:spacing w:val="-4"/>
                <w:sz w:val="28"/>
                <w:szCs w:val="28"/>
              </w:rPr>
              <w:t>5 号</w:t>
            </w:r>
            <w:r>
              <w:rPr>
                <w:rFonts w:hint="eastAsia" w:asciiTheme="minorEastAsia" w:hAnsiTheme="minorEastAsia" w:eastAsiaTheme="minorEastAsia" w:cstheme="minorEastAsia"/>
                <w:spacing w:val="-2"/>
                <w:sz w:val="28"/>
                <w:szCs w:val="28"/>
              </w:rPr>
              <w:t>北京大学静园六院</w:t>
            </w:r>
          </w:p>
        </w:tc>
        <w:tc>
          <w:tcPr>
            <w:tcW w:w="1539" w:type="dxa"/>
            <w:vAlign w:val="top"/>
          </w:tcPr>
          <w:p w14:paraId="45E76A3C">
            <w:pPr>
              <w:pStyle w:val="8"/>
              <w:spacing w:before="245" w:line="222" w:lineRule="auto"/>
              <w:ind w:left="28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4"/>
                <w:sz w:val="28"/>
                <w:szCs w:val="28"/>
              </w:rPr>
              <w:t>联</w:t>
            </w:r>
            <w:r>
              <w:rPr>
                <w:rFonts w:hint="eastAsia" w:asciiTheme="minorEastAsia" w:hAnsiTheme="minorEastAsia" w:eastAsiaTheme="minorEastAsia" w:cstheme="minorEastAsia"/>
                <w:spacing w:val="-54"/>
                <w:sz w:val="28"/>
                <w:szCs w:val="28"/>
              </w:rPr>
              <w:t xml:space="preserve"> </w:t>
            </w:r>
            <w:r>
              <w:rPr>
                <w:rFonts w:hint="eastAsia" w:asciiTheme="minorEastAsia" w:hAnsiTheme="minorEastAsia" w:eastAsiaTheme="minorEastAsia" w:cstheme="minorEastAsia"/>
                <w:spacing w:val="14"/>
                <w:sz w:val="28"/>
                <w:szCs w:val="28"/>
              </w:rPr>
              <w:t>系人</w:t>
            </w:r>
          </w:p>
        </w:tc>
        <w:tc>
          <w:tcPr>
            <w:tcW w:w="2717" w:type="dxa"/>
            <w:vAlign w:val="top"/>
          </w:tcPr>
          <w:p w14:paraId="195FD244">
            <w:pPr>
              <w:pStyle w:val="8"/>
              <w:spacing w:before="244" w:line="221" w:lineRule="auto"/>
              <w:ind w:left="95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苏玥琦</w:t>
            </w:r>
          </w:p>
        </w:tc>
      </w:tr>
      <w:tr w14:paraId="23815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549" w:type="dxa"/>
            <w:vAlign w:val="top"/>
          </w:tcPr>
          <w:p w14:paraId="587F95DC">
            <w:pPr>
              <w:pStyle w:val="8"/>
              <w:spacing w:before="132" w:line="222" w:lineRule="auto"/>
              <w:ind w:left="22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联系电话</w:t>
            </w:r>
          </w:p>
        </w:tc>
        <w:tc>
          <w:tcPr>
            <w:tcW w:w="3124" w:type="dxa"/>
            <w:vAlign w:val="top"/>
          </w:tcPr>
          <w:p w14:paraId="550B3F4B">
            <w:pPr>
              <w:spacing w:before="178" w:line="233" w:lineRule="auto"/>
              <w:ind w:left="82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18811015596</w:t>
            </w:r>
          </w:p>
        </w:tc>
        <w:tc>
          <w:tcPr>
            <w:tcW w:w="1539" w:type="dxa"/>
            <w:vAlign w:val="top"/>
          </w:tcPr>
          <w:p w14:paraId="203A7C7E">
            <w:pPr>
              <w:pStyle w:val="8"/>
              <w:spacing w:before="132" w:line="220" w:lineRule="auto"/>
              <w:ind w:left="24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8"/>
                <w:sz w:val="28"/>
                <w:szCs w:val="28"/>
              </w:rPr>
              <w:t>电子邮件</w:t>
            </w:r>
          </w:p>
        </w:tc>
        <w:tc>
          <w:tcPr>
            <w:tcW w:w="2717" w:type="dxa"/>
            <w:vAlign w:val="top"/>
          </w:tcPr>
          <w:p w14:paraId="49AB649F">
            <w:pPr>
              <w:spacing w:before="175" w:line="193" w:lineRule="auto"/>
              <w:ind w:left="35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yueqis@bibdr.org</w:t>
            </w:r>
          </w:p>
        </w:tc>
      </w:tr>
      <w:tr w14:paraId="1586D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1549" w:type="dxa"/>
            <w:vAlign w:val="top"/>
          </w:tcPr>
          <w:p w14:paraId="3E84C669">
            <w:pPr>
              <w:spacing w:line="456" w:lineRule="auto"/>
              <w:rPr>
                <w:rFonts w:hint="eastAsia" w:asciiTheme="minorEastAsia" w:hAnsiTheme="minorEastAsia" w:eastAsiaTheme="minorEastAsia" w:cstheme="minorEastAsia"/>
                <w:sz w:val="28"/>
                <w:szCs w:val="28"/>
              </w:rPr>
            </w:pPr>
          </w:p>
          <w:p w14:paraId="59E67364">
            <w:pPr>
              <w:pStyle w:val="8"/>
              <w:spacing w:before="91" w:line="221" w:lineRule="auto"/>
              <w:ind w:left="22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所属领域</w:t>
            </w:r>
          </w:p>
        </w:tc>
        <w:tc>
          <w:tcPr>
            <w:tcW w:w="7380" w:type="dxa"/>
            <w:gridSpan w:val="3"/>
            <w:vAlign w:val="top"/>
          </w:tcPr>
          <w:p w14:paraId="0C7FB03C">
            <w:pPr>
              <w:pStyle w:val="8"/>
              <w:spacing w:before="231" w:line="210" w:lineRule="auto"/>
              <w:ind w:left="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■人工智能</w:t>
            </w:r>
            <w:r>
              <w:rPr>
                <w:rFonts w:hint="eastAsia" w:asciiTheme="minorEastAsia" w:hAnsiTheme="minorEastAsia" w:eastAsiaTheme="minorEastAsia" w:cstheme="minorEastAsia"/>
                <w:spacing w:val="51"/>
                <w:sz w:val="28"/>
                <w:szCs w:val="28"/>
              </w:rPr>
              <w:t xml:space="preserve">  </w:t>
            </w:r>
            <w:r>
              <w:rPr>
                <w:rFonts w:hint="eastAsia" w:asciiTheme="minorEastAsia" w:hAnsiTheme="minorEastAsia" w:eastAsiaTheme="minorEastAsia" w:cstheme="minorEastAsia"/>
                <w:spacing w:val="-4"/>
                <w:sz w:val="28"/>
                <w:szCs w:val="28"/>
              </w:rPr>
              <w:t>□数字经济  □先进半导体</w:t>
            </w:r>
            <w:r>
              <w:rPr>
                <w:rFonts w:hint="eastAsia" w:asciiTheme="minorEastAsia" w:hAnsiTheme="minorEastAsia" w:eastAsiaTheme="minorEastAsia" w:cstheme="minorEastAsia"/>
                <w:spacing w:val="89"/>
                <w:sz w:val="28"/>
                <w:szCs w:val="28"/>
              </w:rPr>
              <w:t xml:space="preserve"> </w:t>
            </w:r>
            <w:r>
              <w:rPr>
                <w:rFonts w:hint="eastAsia" w:asciiTheme="minorEastAsia" w:hAnsiTheme="minorEastAsia" w:eastAsiaTheme="minorEastAsia" w:cstheme="minorEastAsia"/>
                <w:spacing w:val="-4"/>
                <w:sz w:val="28"/>
                <w:szCs w:val="28"/>
              </w:rPr>
              <w:t>□新材料</w:t>
            </w:r>
          </w:p>
          <w:p w14:paraId="1A84DD5D">
            <w:pPr>
              <w:pStyle w:val="8"/>
              <w:spacing w:line="212" w:lineRule="auto"/>
              <w:ind w:left="2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□新型储能</w:t>
            </w:r>
            <w:r>
              <w:rPr>
                <w:rFonts w:hint="eastAsia" w:asciiTheme="minorEastAsia" w:hAnsiTheme="minorEastAsia" w:eastAsiaTheme="minorEastAsia" w:cstheme="minorEastAsia"/>
                <w:spacing w:val="53"/>
                <w:sz w:val="28"/>
                <w:szCs w:val="28"/>
              </w:rPr>
              <w:t xml:space="preserve">  </w:t>
            </w:r>
            <w:r>
              <w:rPr>
                <w:rFonts w:hint="eastAsia" w:asciiTheme="minorEastAsia" w:hAnsiTheme="minorEastAsia" w:eastAsiaTheme="minorEastAsia" w:cstheme="minorEastAsia"/>
                <w:spacing w:val="-3"/>
                <w:sz w:val="28"/>
                <w:szCs w:val="28"/>
              </w:rPr>
              <w:t>□合成生物  □新能源汽车</w:t>
            </w:r>
            <w:r>
              <w:rPr>
                <w:rFonts w:hint="eastAsia" w:asciiTheme="minorEastAsia" w:hAnsiTheme="minorEastAsia" w:eastAsiaTheme="minorEastAsia" w:cstheme="minorEastAsia"/>
                <w:spacing w:val="87"/>
                <w:sz w:val="28"/>
                <w:szCs w:val="28"/>
              </w:rPr>
              <w:t xml:space="preserve"> </w:t>
            </w:r>
            <w:r>
              <w:rPr>
                <w:rFonts w:hint="eastAsia" w:asciiTheme="minorEastAsia" w:hAnsiTheme="minorEastAsia" w:eastAsiaTheme="minorEastAsia" w:cstheme="minorEastAsia"/>
                <w:spacing w:val="-3"/>
                <w:sz w:val="28"/>
                <w:szCs w:val="28"/>
              </w:rPr>
              <w:t>□循环制造</w:t>
            </w:r>
          </w:p>
          <w:p w14:paraId="2C9EFC04">
            <w:pPr>
              <w:pStyle w:val="8"/>
              <w:spacing w:before="1" w:line="233" w:lineRule="auto"/>
              <w:ind w:left="2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□新一代信息技术</w:t>
            </w:r>
            <w:r>
              <w:rPr>
                <w:rFonts w:hint="eastAsia" w:asciiTheme="minorEastAsia" w:hAnsiTheme="minorEastAsia" w:eastAsiaTheme="minorEastAsia" w:cstheme="minorEastAsia"/>
                <w:spacing w:val="46"/>
                <w:sz w:val="28"/>
                <w:szCs w:val="28"/>
              </w:rPr>
              <w:t xml:space="preserve">  </w:t>
            </w:r>
            <w:r>
              <w:rPr>
                <w:rFonts w:hint="eastAsia" w:asciiTheme="minorEastAsia" w:hAnsiTheme="minorEastAsia" w:eastAsiaTheme="minorEastAsia" w:cstheme="minorEastAsia"/>
                <w:spacing w:val="-3"/>
                <w:sz w:val="28"/>
                <w:szCs w:val="28"/>
              </w:rPr>
              <w:t>□高端装备</w:t>
            </w:r>
          </w:p>
        </w:tc>
      </w:tr>
      <w:tr w14:paraId="36AE8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549" w:type="dxa"/>
            <w:vAlign w:val="top"/>
          </w:tcPr>
          <w:p w14:paraId="79EA4286">
            <w:pPr>
              <w:pStyle w:val="8"/>
              <w:spacing w:before="136" w:line="220" w:lineRule="auto"/>
              <w:ind w:left="5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榜额</w:t>
            </w:r>
          </w:p>
        </w:tc>
        <w:tc>
          <w:tcPr>
            <w:tcW w:w="7380" w:type="dxa"/>
            <w:gridSpan w:val="3"/>
            <w:vAlign w:val="top"/>
          </w:tcPr>
          <w:p w14:paraId="1601A0E0">
            <w:pPr>
              <w:pStyle w:val="8"/>
              <w:spacing w:before="135" w:line="235" w:lineRule="auto"/>
              <w:ind w:left="13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6"/>
                <w:sz w:val="28"/>
                <w:szCs w:val="28"/>
              </w:rPr>
              <w:t>100 万元</w:t>
            </w:r>
          </w:p>
        </w:tc>
      </w:tr>
      <w:tr w14:paraId="24AAF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49" w:type="dxa"/>
            <w:vAlign w:val="top"/>
          </w:tcPr>
          <w:p w14:paraId="18A8AD52">
            <w:pPr>
              <w:pStyle w:val="8"/>
              <w:spacing w:before="21" w:line="194" w:lineRule="auto"/>
              <w:ind w:left="640" w:right="66" w:hanging="5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场景成果名</w:t>
            </w:r>
            <w:r>
              <w:rPr>
                <w:rFonts w:hint="eastAsia" w:asciiTheme="minorEastAsia" w:hAnsiTheme="minorEastAsia" w:eastAsiaTheme="minorEastAsia" w:cstheme="minorEastAsia"/>
                <w:sz w:val="28"/>
                <w:szCs w:val="28"/>
              </w:rPr>
              <w:t>称</w:t>
            </w:r>
          </w:p>
        </w:tc>
        <w:tc>
          <w:tcPr>
            <w:tcW w:w="7380" w:type="dxa"/>
            <w:gridSpan w:val="3"/>
            <w:vAlign w:val="top"/>
          </w:tcPr>
          <w:p w14:paraId="77DE3658">
            <w:pPr>
              <w:pStyle w:val="8"/>
              <w:spacing w:before="169" w:line="219" w:lineRule="auto"/>
              <w:ind w:left="11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新能源电池研发设计干湿闭环科学智能体</w:t>
            </w:r>
          </w:p>
        </w:tc>
      </w:tr>
      <w:tr w14:paraId="1E25C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trPr>
        <w:tc>
          <w:tcPr>
            <w:tcW w:w="1549" w:type="dxa"/>
            <w:vAlign w:val="center"/>
          </w:tcPr>
          <w:p w14:paraId="38878BFB">
            <w:pPr>
              <w:pStyle w:val="8"/>
              <w:spacing w:before="21" w:line="194" w:lineRule="auto"/>
              <w:ind w:left="640" w:right="66" w:hanging="559"/>
              <w:jc w:val="center"/>
              <w:rPr>
                <w:rFonts w:hint="eastAsia" w:asciiTheme="minorEastAsia" w:hAnsiTheme="minorEastAsia" w:eastAsiaTheme="minorEastAsia" w:cstheme="minorEastAsia"/>
                <w:spacing w:val="-2"/>
                <w:sz w:val="28"/>
                <w:szCs w:val="28"/>
              </w:rPr>
            </w:pPr>
            <w:r>
              <w:rPr>
                <w:rFonts w:hint="eastAsia" w:asciiTheme="minorEastAsia" w:hAnsiTheme="minorEastAsia" w:eastAsiaTheme="minorEastAsia" w:cstheme="minorEastAsia"/>
                <w:spacing w:val="-2"/>
                <w:sz w:val="28"/>
                <w:szCs w:val="28"/>
              </w:rPr>
              <w:t>成果简介</w:t>
            </w:r>
          </w:p>
        </w:tc>
        <w:tc>
          <w:tcPr>
            <w:tcW w:w="7380" w:type="dxa"/>
            <w:gridSpan w:val="3"/>
            <w:vAlign w:val="top"/>
          </w:tcPr>
          <w:p w14:paraId="7694ED9C">
            <w:pPr>
              <w:pStyle w:val="8"/>
              <w:spacing w:before="169" w:line="219" w:lineRule="auto"/>
              <w:ind w:left="118"/>
              <w:rPr>
                <w:rFonts w:hint="eastAsia" w:ascii="Times New Roman" w:hAnsi="Times New Roman" w:eastAsia="宋体" w:cs="Times New Roman"/>
                <w:bCs/>
                <w:kern w:val="2"/>
                <w:sz w:val="28"/>
                <w:szCs w:val="28"/>
                <w:lang w:val="en-US" w:eastAsia="zh-CN" w:bidi="ar-SA"/>
              </w:rPr>
            </w:pPr>
            <w:r>
              <w:rPr>
                <w:rFonts w:hint="eastAsia" w:ascii="Times New Roman" w:hAnsi="Times New Roman" w:eastAsia="宋体" w:cs="Times New Roman"/>
                <w:bCs/>
                <w:kern w:val="2"/>
                <w:sz w:val="28"/>
                <w:szCs w:val="28"/>
                <w:lang w:val="en-US" w:eastAsia="zh-CN" w:bidi="ar-SA"/>
              </w:rPr>
              <w:t>（国内外现状，成果的价值、特色和创新点，已有技术积累和应用条件等）</w:t>
            </w:r>
          </w:p>
          <w:p w14:paraId="1B20F585">
            <w:pPr>
              <w:pStyle w:val="8"/>
              <w:spacing w:before="169" w:line="219" w:lineRule="auto"/>
              <w:ind w:left="118"/>
              <w:rPr>
                <w:rFonts w:hint="eastAsia" w:ascii="Times New Roman" w:hAnsi="Times New Roman" w:eastAsia="宋体" w:cs="Times New Roman"/>
                <w:bCs/>
                <w:kern w:val="2"/>
                <w:sz w:val="28"/>
                <w:szCs w:val="28"/>
                <w:lang w:val="en-US" w:eastAsia="zh-CN" w:bidi="ar-SA"/>
              </w:rPr>
            </w:pPr>
            <w:r>
              <w:rPr>
                <w:rFonts w:hint="eastAsia" w:ascii="Times New Roman" w:hAnsi="Times New Roman" w:eastAsia="宋体" w:cs="Times New Roman"/>
                <w:bCs/>
                <w:kern w:val="2"/>
                <w:sz w:val="28"/>
                <w:szCs w:val="28"/>
                <w:lang w:val="en-US" w:eastAsia="zh-CN" w:bidi="ar-SA"/>
              </w:rPr>
              <w:t>在电池产业高速发展的十余年历程中，锂离子电池能量密度实现三倍增长，全球年装机量即将突破 1TWh，成本下降幅度达 80%，缔造了新能源领域的技术奇迹。然而，随着行业步入"体系创新"的关键转型期， 电解液研发技术瓶颈问题日益凸显，成为制约产业进一步升级的核心挑战。</w:t>
            </w:r>
          </w:p>
          <w:p w14:paraId="4A291E41">
            <w:pPr>
              <w:pStyle w:val="8"/>
              <w:spacing w:before="169" w:line="219" w:lineRule="auto"/>
              <w:ind w:left="118"/>
              <w:rPr>
                <w:rFonts w:hint="eastAsia" w:ascii="Times New Roman" w:hAnsi="Times New Roman" w:eastAsia="宋体" w:cs="Times New Roman"/>
                <w:bCs/>
                <w:kern w:val="2"/>
                <w:sz w:val="28"/>
                <w:szCs w:val="28"/>
                <w:lang w:val="en-US" w:eastAsia="zh-CN" w:bidi="ar-SA"/>
              </w:rPr>
            </w:pPr>
            <w:r>
              <w:rPr>
                <w:rFonts w:hint="eastAsia" w:ascii="Times New Roman" w:hAnsi="Times New Roman" w:eastAsia="宋体" w:cs="Times New Roman"/>
                <w:bCs/>
                <w:kern w:val="2"/>
                <w:sz w:val="28"/>
                <w:szCs w:val="28"/>
                <w:lang w:val="en-US" w:eastAsia="zh-CN" w:bidi="ar-SA"/>
              </w:rPr>
              <w:t>作为锂离子电池体系中不可或缺的关键组成部分，电解液性能直接影响电池安全性、快充能力、循环寿命等核心指标。但受限于电解液体系的复杂性，其研发过程面临着巨大技术障碍：电解液配方参数空间极为庞大在传统研发模式下，单次配方开发不仅需投入百万级研发成本，且研发周期至少需要半年，不仅难以满足产业快速迭代需求，更难以突破现有技术边界。</w:t>
            </w:r>
          </w:p>
          <w:p w14:paraId="34E5AF2D">
            <w:pPr>
              <w:pStyle w:val="8"/>
              <w:spacing w:before="169" w:line="219" w:lineRule="auto"/>
              <w:ind w:left="118"/>
              <w:rPr>
                <w:rFonts w:hint="eastAsia" w:ascii="Times New Roman" w:hAnsi="Times New Roman" w:eastAsia="宋体" w:cs="Times New Roman"/>
                <w:bCs/>
                <w:kern w:val="2"/>
                <w:sz w:val="28"/>
                <w:szCs w:val="28"/>
                <w:lang w:val="en-US" w:eastAsia="zh-CN" w:bidi="ar-SA"/>
              </w:rPr>
            </w:pPr>
            <w:r>
              <w:rPr>
                <w:rFonts w:hint="eastAsia" w:ascii="Times New Roman" w:hAnsi="Times New Roman" w:eastAsia="宋体" w:cs="Times New Roman"/>
                <w:bCs/>
                <w:kern w:val="2"/>
                <w:sz w:val="28"/>
                <w:szCs w:val="28"/>
                <w:lang w:val="en-US" w:eastAsia="zh-CN" w:bidi="ar-SA"/>
              </w:rPr>
              <w:t>针对上述产业痛点，我们基于 AI for Science 研发新范式开发了新能源电池研发设计干湿闭环科学智能体。该智能体系统深度融合实验验证（湿实验）与计算模拟（干实验）两大核心模块，构建起“以周为迭代周期、以百为通量规模”的高效研发体系，为电解液技术的加速突破与产业化升级提供了全新路径。</w:t>
            </w:r>
          </w:p>
          <w:p w14:paraId="1F5DB116">
            <w:pPr>
              <w:pStyle w:val="8"/>
              <w:spacing w:before="169" w:line="219" w:lineRule="auto"/>
              <w:ind w:left="118"/>
              <w:rPr>
                <w:rFonts w:hint="eastAsia" w:ascii="Times New Roman" w:hAnsi="Times New Roman" w:eastAsia="宋体" w:cs="Times New Roman"/>
                <w:bCs/>
                <w:kern w:val="2"/>
                <w:sz w:val="28"/>
                <w:szCs w:val="28"/>
                <w:lang w:val="en-US" w:eastAsia="zh-CN" w:bidi="ar-SA"/>
              </w:rPr>
            </w:pPr>
            <w:r>
              <w:rPr>
                <w:rFonts w:hint="eastAsia" w:ascii="Times New Roman" w:hAnsi="Times New Roman" w:eastAsia="宋体" w:cs="Times New Roman"/>
                <w:bCs/>
                <w:kern w:val="2"/>
                <w:sz w:val="28"/>
                <w:szCs w:val="28"/>
                <w:lang w:val="en-US" w:eastAsia="zh-CN" w:bidi="ar-SA"/>
              </w:rPr>
              <w:t>传统电解液研发模式下，从配方设计到实验验证，再到性能优化整个环节，常常因为探索空间有限、人工通量难以提高、实验一致性差等问题，完成配方探索通常需历经至少半年研发周期。而依托干湿闭环科学智能体研发模式，能够在同等的团队配置情况下，可将优质配方筛选周期大幅压缩至 3 个月，实现 5 组高性能电解液配方的精准锁定。该智能体通过 AI 全量知识库、AI 配方模型、AI 高通量自动化实验和AI 参数迭代优化等功能实现研发周期缩短一半，研发成本节省 90%以上，研发效率提升超过 10 倍以上。</w:t>
            </w:r>
          </w:p>
          <w:p w14:paraId="2D866C44">
            <w:pPr>
              <w:pStyle w:val="8"/>
              <w:spacing w:before="169" w:line="219" w:lineRule="auto"/>
              <w:ind w:left="118"/>
              <w:rPr>
                <w:rFonts w:hint="eastAsia" w:asciiTheme="minorEastAsia" w:hAnsiTheme="minorEastAsia" w:eastAsiaTheme="minorEastAsia" w:cstheme="minorEastAsia"/>
                <w:spacing w:val="-1"/>
                <w:sz w:val="28"/>
                <w:szCs w:val="28"/>
              </w:rPr>
            </w:pPr>
            <w:r>
              <w:rPr>
                <w:rFonts w:hint="eastAsia" w:ascii="Times New Roman" w:hAnsi="Times New Roman" w:eastAsia="宋体" w:cs="Times New Roman"/>
                <w:bCs/>
                <w:kern w:val="2"/>
                <w:sz w:val="28"/>
                <w:szCs w:val="28"/>
                <w:lang w:val="en-US" w:eastAsia="zh-CN" w:bidi="ar-SA"/>
              </w:rPr>
              <w:t>目前，本成果基于北京大数据研究院与钟楼区人民政府共建的常州新型工业数字化创新中心“AI for Manufactory ”创新平台，已实现新能源电池研发设计干湿闭环科学智能体解决方案落地，并可以面向客户提供覆盖电解液全生命周期的系统性创新服务与定制化解决方案。当前可转化产品服务范围包括科学智能体一体机设备、干湿闭环电解液实验室系统、电解液配方小</w:t>
            </w:r>
            <w:r>
              <w:rPr>
                <w:rFonts w:hint="eastAsia" w:asciiTheme="minorEastAsia" w:hAnsiTheme="minorEastAsia" w:eastAsiaTheme="minorEastAsia" w:cstheme="minorEastAsia"/>
                <w:spacing w:val="-1"/>
                <w:sz w:val="28"/>
                <w:szCs w:val="28"/>
              </w:rPr>
              <w:t>批量定制及优化服务及电解液配方小批量定制及优化服务等内容。</w:t>
            </w:r>
          </w:p>
        </w:tc>
      </w:tr>
    </w:tbl>
    <w:p w14:paraId="5066790B">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Arial" w:hAnsi="Arial" w:eastAsia="Arial" w:cs="Arial"/>
          <w:sz w:val="21"/>
          <w:szCs w:val="21"/>
        </w:rPr>
        <w:sectPr>
          <w:pgSz w:w="11905" w:h="16838"/>
          <w:pgMar w:top="1417" w:right="1531" w:bottom="1417" w:left="1531" w:header="0" w:footer="0" w:gutter="0"/>
          <w:paperSrc/>
          <w:cols w:space="0" w:num="1"/>
          <w:rtlGutter w:val="0"/>
          <w:docGrid w:linePitch="0" w:charSpace="0"/>
        </w:sectPr>
      </w:pPr>
    </w:p>
    <w:p w14:paraId="37762A74">
      <w:pPr>
        <w:spacing w:before="65" w:line="224" w:lineRule="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24</w:t>
      </w:r>
    </w:p>
    <w:p w14:paraId="66E5CEBB">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06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90"/>
        <w:gridCol w:w="2995"/>
        <w:gridCol w:w="1669"/>
        <w:gridCol w:w="2717"/>
      </w:tblGrid>
      <w:tr w14:paraId="13F20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494" w:type="dxa"/>
            <w:vAlign w:val="center"/>
          </w:tcPr>
          <w:p w14:paraId="0AF5949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2814" w:type="dxa"/>
            <w:vAlign w:val="center"/>
          </w:tcPr>
          <w:p w14:paraId="14142898">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eastAsia="zh-CN"/>
              </w:rPr>
              <w:t>常州大学</w:t>
            </w:r>
          </w:p>
        </w:tc>
        <w:tc>
          <w:tcPr>
            <w:tcW w:w="1568" w:type="dxa"/>
            <w:vAlign w:val="center"/>
          </w:tcPr>
          <w:p w14:paraId="78196E83">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536" w:type="dxa"/>
            <w:vAlign w:val="center"/>
          </w:tcPr>
          <w:p w14:paraId="3316F83B">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12320000466007300P</w:t>
            </w:r>
          </w:p>
        </w:tc>
      </w:tr>
      <w:tr w14:paraId="737E2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78" w:hRule="exact"/>
          <w:jc w:val="center"/>
        </w:trPr>
        <w:tc>
          <w:tcPr>
            <w:tcW w:w="1494" w:type="dxa"/>
            <w:vAlign w:val="center"/>
          </w:tcPr>
          <w:p w14:paraId="74DF1A5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2814" w:type="dxa"/>
            <w:vAlign w:val="center"/>
          </w:tcPr>
          <w:p w14:paraId="56CB27F9">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常州市武进区湖塘镇滆湖中路21号</w:t>
            </w:r>
          </w:p>
        </w:tc>
        <w:tc>
          <w:tcPr>
            <w:tcW w:w="1568" w:type="dxa"/>
            <w:vAlign w:val="center"/>
          </w:tcPr>
          <w:p w14:paraId="794B0E9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536" w:type="dxa"/>
            <w:vAlign w:val="center"/>
          </w:tcPr>
          <w:p w14:paraId="5C1B7169">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eastAsia="zh-CN"/>
              </w:rPr>
              <w:t>敖大</w:t>
            </w:r>
          </w:p>
        </w:tc>
      </w:tr>
      <w:tr w14:paraId="60A9A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1CAAD47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2814" w:type="dxa"/>
            <w:vAlign w:val="center"/>
          </w:tcPr>
          <w:p w14:paraId="6AF50192">
            <w:pPr>
              <w:spacing w:line="320" w:lineRule="exact"/>
              <w:jc w:val="center"/>
              <w:rPr>
                <w:rFonts w:ascii="Times New Roman" w:hAnsi="Times New Roman" w:eastAsia="宋体" w:cs="Times New Roman"/>
                <w:bCs/>
                <w:sz w:val="28"/>
                <w:szCs w:val="21"/>
              </w:rPr>
            </w:pPr>
            <w:r>
              <w:rPr>
                <w:rFonts w:hint="eastAsia" w:asciiTheme="minorEastAsia" w:hAnsiTheme="minorEastAsia" w:cstheme="minorEastAsia"/>
                <w:b w:val="0"/>
                <w:bCs w:val="0"/>
                <w:kern w:val="0"/>
                <w:sz w:val="28"/>
                <w:szCs w:val="28"/>
                <w:lang w:val="en-US" w:eastAsia="zh-CN" w:bidi="ar"/>
              </w:rPr>
              <w:t>15861320025</w:t>
            </w:r>
          </w:p>
        </w:tc>
        <w:tc>
          <w:tcPr>
            <w:tcW w:w="1568" w:type="dxa"/>
            <w:vAlign w:val="center"/>
          </w:tcPr>
          <w:p w14:paraId="7031525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536" w:type="dxa"/>
            <w:vAlign w:val="center"/>
          </w:tcPr>
          <w:p w14:paraId="44F03B05">
            <w:pPr>
              <w:spacing w:line="320" w:lineRule="exact"/>
              <w:jc w:val="center"/>
              <w:rPr>
                <w:rFonts w:ascii="Times New Roman" w:hAnsi="Times New Roman" w:eastAsia="宋体" w:cs="Times New Roman"/>
                <w:bCs/>
                <w:sz w:val="28"/>
                <w:szCs w:val="21"/>
              </w:rPr>
            </w:pPr>
          </w:p>
        </w:tc>
      </w:tr>
      <w:tr w14:paraId="01696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77" w:hRule="exact"/>
          <w:jc w:val="center"/>
        </w:trPr>
        <w:tc>
          <w:tcPr>
            <w:tcW w:w="1494" w:type="dxa"/>
            <w:vAlign w:val="center"/>
          </w:tcPr>
          <w:p w14:paraId="36A76A3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6918" w:type="dxa"/>
            <w:gridSpan w:val="3"/>
            <w:vAlign w:val="center"/>
          </w:tcPr>
          <w:p w14:paraId="018C4BBA">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先进半导体   </w:t>
            </w: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16D65173">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w:t>
            </w: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22DE09CA">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高端装备</w:t>
            </w:r>
          </w:p>
        </w:tc>
      </w:tr>
      <w:tr w14:paraId="72F75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4F74A63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6918" w:type="dxa"/>
            <w:gridSpan w:val="3"/>
            <w:vAlign w:val="center"/>
          </w:tcPr>
          <w:p w14:paraId="6EAD93A7">
            <w:pPr>
              <w:spacing w:line="320" w:lineRule="exact"/>
              <w:ind w:left="160" w:leftChars="50"/>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300</w:t>
            </w:r>
            <w:r>
              <w:rPr>
                <w:rFonts w:ascii="Times New Roman" w:hAnsi="Times New Roman" w:eastAsia="宋体" w:cs="Times New Roman"/>
                <w:bCs/>
                <w:sz w:val="28"/>
                <w:szCs w:val="21"/>
              </w:rPr>
              <w:t>万</w:t>
            </w:r>
          </w:p>
        </w:tc>
      </w:tr>
      <w:tr w14:paraId="52BA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494" w:type="dxa"/>
            <w:vAlign w:val="center"/>
          </w:tcPr>
          <w:p w14:paraId="225C868D">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6918" w:type="dxa"/>
            <w:gridSpan w:val="3"/>
            <w:vAlign w:val="center"/>
          </w:tcPr>
          <w:p w14:paraId="7BF0EF73">
            <w:pPr>
              <w:spacing w:line="320" w:lineRule="exact"/>
              <w:ind w:left="160" w:leftChars="50"/>
              <w:jc w:val="center"/>
              <w:rPr>
                <w:rFonts w:ascii="Times New Roman" w:hAnsi="Times New Roman" w:eastAsia="宋体" w:cs="Times New Roman"/>
                <w:bCs/>
                <w:sz w:val="28"/>
                <w:szCs w:val="21"/>
              </w:rPr>
            </w:pPr>
            <w:r>
              <w:rPr>
                <w:rFonts w:hint="eastAsia" w:ascii="Arial" w:hAnsi="Arial" w:eastAsia="宋体" w:cs="Arial"/>
                <w:color w:val="333333"/>
                <w:sz w:val="28"/>
                <w:szCs w:val="28"/>
              </w:rPr>
              <w:t>果胶酶高产细胞工厂创制及高效生物制造</w:t>
            </w:r>
          </w:p>
        </w:tc>
      </w:tr>
      <w:tr w14:paraId="2C5FC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94" w:type="dxa"/>
            <w:vAlign w:val="center"/>
          </w:tcPr>
          <w:p w14:paraId="118E8E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6918" w:type="dxa"/>
            <w:gridSpan w:val="3"/>
            <w:vAlign w:val="top"/>
          </w:tcPr>
          <w:p w14:paraId="5D62604C">
            <w:pPr>
              <w:keepNext w:val="0"/>
              <w:keepLines w:val="0"/>
              <w:pageBreakBefore w:val="0"/>
              <w:widowControl w:val="0"/>
              <w:kinsoku/>
              <w:wordWrap/>
              <w:overflowPunct/>
              <w:topLinePunct w:val="0"/>
              <w:autoSpaceDE/>
              <w:autoSpaceDN/>
              <w:bidi w:val="0"/>
              <w:adjustRightInd/>
              <w:snapToGrid/>
              <w:spacing w:line="360" w:lineRule="exact"/>
              <w:ind w:left="160" w:leftChars="50"/>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(国内外现状，成果的价值、特色和创新点，已有技术积 累和应用条件等)</w:t>
            </w:r>
          </w:p>
          <w:p w14:paraId="09B3615B">
            <w:pPr>
              <w:keepNext w:val="0"/>
              <w:keepLines w:val="0"/>
              <w:pageBreakBefore w:val="0"/>
              <w:widowControl w:val="0"/>
              <w:kinsoku/>
              <w:wordWrap/>
              <w:overflowPunct/>
              <w:topLinePunct w:val="0"/>
              <w:autoSpaceDE/>
              <w:autoSpaceDN/>
              <w:bidi w:val="0"/>
              <w:adjustRightInd/>
              <w:snapToGrid/>
              <w:spacing w:line="360" w:lineRule="exact"/>
              <w:ind w:left="160" w:leftChars="50"/>
              <w:textAlignment w:val="auto"/>
              <w:rPr>
                <w:rFonts w:hint="eastAsia" w:ascii="Arial" w:hAnsi="Arial" w:eastAsia="宋体" w:cs="Arial"/>
                <w:color w:val="333333"/>
                <w:sz w:val="28"/>
                <w:szCs w:val="28"/>
                <w:lang w:val="en-US" w:eastAsia="zh-CN"/>
              </w:rPr>
            </w:pPr>
          </w:p>
          <w:p w14:paraId="6452A5E9">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本项目聚焦于果胶酶高产细胞工厂的创制及其高效生物制造技术的研发与应用。项目团队现有科研人员9人，高级职称3人，中级职称5人。博士7人，硕士1人。近年来主持国家自然科学基金5项（面上2项、青基3项），省部级项目8项，企业技术研发项目20多项。</w:t>
            </w:r>
          </w:p>
          <w:p w14:paraId="103C31D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在果胶酶高产细胞工厂的创制方面，团队通过基因编辑、代谢工程等先进技术，努力构建多株高产果胶酶的微生物细胞系，显著提高了果胶酶的产量和稳定性。同时，针对果胶酶的高效生物制造，团队开发了新型发酵工艺和分离纯化技术，实现了果胶酶从实验室研究到工业化生产的跨越，为果蔬加工、饲料加工等多个行业提供了强有力的技术支持。</w:t>
            </w:r>
          </w:p>
          <w:p w14:paraId="1DF6F04F">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目前，该项目与常州三高生物技术工程设备有限公司建立了紧密的合作关系，联合申请了“2024年常州市合成生物学领域‘揭榜挂帅’科技攻关”项目，科研总经费累计达到300万元，为技术研发与产业化应用提供了坚实的资金保障，为果胶酶的高质量生产提供新方向。</w:t>
            </w:r>
          </w:p>
        </w:tc>
      </w:tr>
    </w:tbl>
    <w:p w14:paraId="1DF54617">
      <w:pPr>
        <w:spacing w:before="65" w:line="224" w:lineRule="auto"/>
        <w:ind w:left="39"/>
        <w:rPr>
          <w:rFonts w:hint="eastAsia" w:ascii="黑体" w:hAnsi="黑体" w:eastAsia="黑体" w:cs="黑体"/>
          <w:sz w:val="32"/>
          <w:szCs w:val="32"/>
          <w:lang w:val="en-US" w:eastAsia="zh-CN"/>
        </w:rPr>
      </w:pPr>
    </w:p>
    <w:p w14:paraId="48A8A312">
      <w:pPr>
        <w:spacing w:before="65" w:line="224" w:lineRule="auto"/>
        <w:ind w:left="39"/>
        <w:rPr>
          <w:rFonts w:hint="default" w:ascii="黑体" w:hAnsi="黑体" w:eastAsia="黑体" w:cs="黑体"/>
          <w:sz w:val="32"/>
          <w:szCs w:val="32"/>
          <w:lang w:val="en-US" w:eastAsia="zh-CN"/>
        </w:rPr>
        <w:sectPr>
          <w:pgSz w:w="11905" w:h="16838"/>
          <w:pgMar w:top="1417" w:right="1531" w:bottom="1417" w:left="1531" w:header="0" w:footer="0" w:gutter="0"/>
          <w:paperSrc/>
          <w:cols w:space="0" w:num="1"/>
          <w:rtlGutter w:val="0"/>
          <w:docGrid w:linePitch="312" w:charSpace="0"/>
        </w:sectPr>
      </w:pPr>
    </w:p>
    <w:p w14:paraId="15B70836">
      <w:pPr>
        <w:spacing w:before="65" w:line="224" w:lineRule="auto"/>
        <w:ind w:left="39"/>
        <w:rPr>
          <w:rFonts w:hint="default"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25</w:t>
      </w:r>
    </w:p>
    <w:p w14:paraId="6A149744">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06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90"/>
        <w:gridCol w:w="2995"/>
        <w:gridCol w:w="1669"/>
        <w:gridCol w:w="2717"/>
      </w:tblGrid>
      <w:tr w14:paraId="51D98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494" w:type="dxa"/>
            <w:vAlign w:val="center"/>
          </w:tcPr>
          <w:p w14:paraId="0A6AA47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2814" w:type="dxa"/>
            <w:vAlign w:val="center"/>
          </w:tcPr>
          <w:p w14:paraId="279DD4F4">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eastAsia="zh-CN"/>
              </w:rPr>
              <w:t>常州大学</w:t>
            </w:r>
          </w:p>
        </w:tc>
        <w:tc>
          <w:tcPr>
            <w:tcW w:w="1568" w:type="dxa"/>
            <w:vAlign w:val="center"/>
          </w:tcPr>
          <w:p w14:paraId="632DBB3B">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536" w:type="dxa"/>
            <w:vAlign w:val="center"/>
          </w:tcPr>
          <w:p w14:paraId="002F61E6">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12320000466007300P</w:t>
            </w:r>
          </w:p>
        </w:tc>
      </w:tr>
      <w:tr w14:paraId="35BF2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78" w:hRule="exact"/>
          <w:jc w:val="center"/>
        </w:trPr>
        <w:tc>
          <w:tcPr>
            <w:tcW w:w="1494" w:type="dxa"/>
            <w:vAlign w:val="center"/>
          </w:tcPr>
          <w:p w14:paraId="0B18FB0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2814" w:type="dxa"/>
            <w:vAlign w:val="center"/>
          </w:tcPr>
          <w:p w14:paraId="22E81933">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常州市武进区湖塘镇滆湖中路21号</w:t>
            </w:r>
          </w:p>
        </w:tc>
        <w:tc>
          <w:tcPr>
            <w:tcW w:w="1568" w:type="dxa"/>
            <w:vAlign w:val="center"/>
          </w:tcPr>
          <w:p w14:paraId="1620B10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536" w:type="dxa"/>
            <w:vAlign w:val="center"/>
          </w:tcPr>
          <w:p w14:paraId="25AD0168">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eastAsia="zh-CN"/>
              </w:rPr>
              <w:t>陈阳</w:t>
            </w:r>
          </w:p>
        </w:tc>
      </w:tr>
      <w:tr w14:paraId="49E284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7DCF6D1C">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2814" w:type="dxa"/>
            <w:vAlign w:val="center"/>
          </w:tcPr>
          <w:p w14:paraId="1392387B">
            <w:pPr>
              <w:spacing w:line="320" w:lineRule="exact"/>
              <w:jc w:val="center"/>
              <w:rPr>
                <w:rFonts w:ascii="Times New Roman" w:hAnsi="Times New Roman" w:eastAsia="宋体" w:cs="Times New Roman"/>
                <w:bCs/>
                <w:sz w:val="28"/>
                <w:szCs w:val="21"/>
              </w:rPr>
            </w:pPr>
            <w:r>
              <w:rPr>
                <w:rFonts w:hint="eastAsia" w:asciiTheme="minorEastAsia" w:hAnsiTheme="minorEastAsia" w:cstheme="minorEastAsia"/>
                <w:b w:val="0"/>
                <w:bCs w:val="0"/>
                <w:kern w:val="0"/>
                <w:sz w:val="28"/>
                <w:szCs w:val="28"/>
                <w:lang w:val="en-US" w:eastAsia="zh-CN" w:bidi="ar"/>
              </w:rPr>
              <w:t>13685292205</w:t>
            </w:r>
          </w:p>
        </w:tc>
        <w:tc>
          <w:tcPr>
            <w:tcW w:w="1568" w:type="dxa"/>
            <w:vAlign w:val="center"/>
          </w:tcPr>
          <w:p w14:paraId="5F65D70C">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536" w:type="dxa"/>
            <w:vAlign w:val="center"/>
          </w:tcPr>
          <w:p w14:paraId="09C17865">
            <w:pPr>
              <w:spacing w:line="320" w:lineRule="exact"/>
              <w:jc w:val="center"/>
              <w:rPr>
                <w:rFonts w:ascii="Times New Roman" w:hAnsi="Times New Roman" w:eastAsia="宋体" w:cs="Times New Roman"/>
                <w:bCs/>
                <w:sz w:val="28"/>
                <w:szCs w:val="21"/>
              </w:rPr>
            </w:pPr>
          </w:p>
        </w:tc>
      </w:tr>
      <w:tr w14:paraId="4C11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77" w:hRule="exact"/>
          <w:jc w:val="center"/>
        </w:trPr>
        <w:tc>
          <w:tcPr>
            <w:tcW w:w="1494" w:type="dxa"/>
            <w:vAlign w:val="center"/>
          </w:tcPr>
          <w:p w14:paraId="37E1FD5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6918" w:type="dxa"/>
            <w:gridSpan w:val="3"/>
            <w:vAlign w:val="center"/>
          </w:tcPr>
          <w:p w14:paraId="4416D6A1">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先进半导体   </w:t>
            </w: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4B395DA5">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w:t>
            </w: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3B553EE0">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高端装备</w:t>
            </w:r>
          </w:p>
        </w:tc>
      </w:tr>
      <w:tr w14:paraId="1E524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5BA38FF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6918" w:type="dxa"/>
            <w:gridSpan w:val="3"/>
            <w:vAlign w:val="center"/>
          </w:tcPr>
          <w:p w14:paraId="31A50F32">
            <w:pPr>
              <w:spacing w:line="320" w:lineRule="exact"/>
              <w:ind w:left="160" w:leftChars="50"/>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180</w:t>
            </w:r>
            <w:r>
              <w:rPr>
                <w:rFonts w:ascii="Times New Roman" w:hAnsi="Times New Roman" w:eastAsia="宋体" w:cs="Times New Roman"/>
                <w:bCs/>
                <w:sz w:val="28"/>
                <w:szCs w:val="21"/>
              </w:rPr>
              <w:t>万</w:t>
            </w:r>
          </w:p>
        </w:tc>
      </w:tr>
      <w:tr w14:paraId="44DD2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494" w:type="dxa"/>
            <w:vAlign w:val="center"/>
          </w:tcPr>
          <w:p w14:paraId="2E4A0A13">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6918" w:type="dxa"/>
            <w:gridSpan w:val="3"/>
            <w:vAlign w:val="center"/>
          </w:tcPr>
          <w:p w14:paraId="697CC744">
            <w:pPr>
              <w:spacing w:line="320" w:lineRule="exact"/>
              <w:ind w:left="160" w:leftChars="50"/>
              <w:jc w:val="center"/>
              <w:rPr>
                <w:rFonts w:ascii="Times New Roman" w:hAnsi="Times New Roman" w:eastAsia="宋体" w:cs="Times New Roman"/>
                <w:bCs/>
                <w:sz w:val="28"/>
                <w:szCs w:val="21"/>
              </w:rPr>
            </w:pPr>
            <w:r>
              <w:rPr>
                <w:rFonts w:hint="eastAsia" w:ascii="Arial" w:hAnsi="Arial" w:eastAsia="宋体" w:cs="Arial"/>
                <w:color w:val="333333"/>
                <w:sz w:val="28"/>
                <w:szCs w:val="28"/>
              </w:rPr>
              <w:t>输电线路要害跨越段拆换线作业系统</w:t>
            </w:r>
          </w:p>
        </w:tc>
      </w:tr>
      <w:tr w14:paraId="4D99C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94" w:type="dxa"/>
            <w:vAlign w:val="center"/>
          </w:tcPr>
          <w:p w14:paraId="6E7E7E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6918" w:type="dxa"/>
            <w:gridSpan w:val="3"/>
            <w:vAlign w:val="top"/>
          </w:tcPr>
          <w:p w14:paraId="2B19007F">
            <w:pPr>
              <w:keepNext w:val="0"/>
              <w:keepLines w:val="0"/>
              <w:pageBreakBefore w:val="0"/>
              <w:widowControl w:val="0"/>
              <w:kinsoku/>
              <w:wordWrap/>
              <w:overflowPunct/>
              <w:topLinePunct w:val="0"/>
              <w:autoSpaceDE/>
              <w:autoSpaceDN/>
              <w:bidi w:val="0"/>
              <w:adjustRightInd/>
              <w:snapToGrid/>
              <w:spacing w:line="360" w:lineRule="exact"/>
              <w:ind w:left="160" w:leftChars="50"/>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(国内外现状，成果的价值、特色和创新点，已有技术积 累和应用条件等)</w:t>
            </w:r>
          </w:p>
          <w:p w14:paraId="792D1DAA">
            <w:pPr>
              <w:keepNext w:val="0"/>
              <w:keepLines w:val="0"/>
              <w:pageBreakBefore w:val="0"/>
              <w:widowControl w:val="0"/>
              <w:kinsoku/>
              <w:wordWrap/>
              <w:overflowPunct/>
              <w:topLinePunct w:val="0"/>
              <w:autoSpaceDE/>
              <w:autoSpaceDN/>
              <w:bidi w:val="0"/>
              <w:adjustRightInd/>
              <w:snapToGrid/>
              <w:spacing w:line="360" w:lineRule="exact"/>
              <w:ind w:left="160" w:leftChars="50"/>
              <w:textAlignment w:val="auto"/>
              <w:rPr>
                <w:rFonts w:hint="eastAsia" w:ascii="Arial" w:hAnsi="Arial" w:eastAsia="宋体" w:cs="Arial"/>
                <w:color w:val="333333"/>
                <w:sz w:val="28"/>
                <w:szCs w:val="28"/>
                <w:lang w:val="en-US" w:eastAsia="zh-CN"/>
              </w:rPr>
            </w:pPr>
          </w:p>
          <w:p w14:paraId="60CE44BC">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常州大学与江苏国网常州公司联合攻关研制的输电线路要害跨越段拆换线作业系统用于索道法拆换线施工中的索道自动架设，彻底解决了拆换线作业影响高速、运河、铁路等被跨越物正常运行的难题，实现被跨越物“无感知”，无导线掉落风险，保证了拆换线作业的安全性。成果促进了拆换线作业的降本增效，落实了国家电网 ‘机械化换人、智能化减人’战略。针对线路倾角不均导致机器人爬坡打滑而无法正常作业的问题，发明了驱动轮-张紧轮对置行进结构，采用顶升力自适应控制技术动态地调节驱动轮摩擦力，提高机器人的负载能力和爬坡性能。挂钩自动释放装置与机器人系统作业实现拆换线索道的全自动架设。研究成果被新华社、央视等主流媒体专题报道。获2023年电力建设科学技术进步三等奖，已发布团体标准1项。</w:t>
            </w:r>
          </w:p>
          <w:p w14:paraId="24B1FBD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p>
          <w:p w14:paraId="273E1E0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p>
          <w:p w14:paraId="7F346F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Cs/>
                <w:sz w:val="28"/>
                <w:szCs w:val="21"/>
                <w:lang w:val="en-US" w:eastAsia="zh-CN"/>
              </w:rPr>
            </w:pPr>
          </w:p>
        </w:tc>
      </w:tr>
    </w:tbl>
    <w:p w14:paraId="65BAF1FF">
      <w:pPr>
        <w:spacing w:before="65" w:line="224" w:lineRule="auto"/>
        <w:ind w:left="39"/>
        <w:rPr>
          <w:rFonts w:hint="default" w:ascii="黑体" w:hAnsi="黑体" w:eastAsia="黑体" w:cs="黑体"/>
          <w:sz w:val="32"/>
          <w:szCs w:val="32"/>
          <w:lang w:val="en-US" w:eastAsia="zh-CN"/>
        </w:rPr>
        <w:sectPr>
          <w:pgSz w:w="11905" w:h="16838"/>
          <w:pgMar w:top="1417" w:right="1531" w:bottom="1417" w:left="1531" w:header="0" w:footer="0" w:gutter="0"/>
          <w:paperSrc/>
          <w:cols w:space="0" w:num="1"/>
          <w:rtlGutter w:val="0"/>
          <w:docGrid w:linePitch="312" w:charSpace="0"/>
        </w:sectPr>
      </w:pPr>
    </w:p>
    <w:p w14:paraId="39531457">
      <w:pPr>
        <w:spacing w:before="65" w:line="224" w:lineRule="auto"/>
        <w:ind w:left="39"/>
        <w:rPr>
          <w:rFonts w:hint="default"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26</w:t>
      </w:r>
    </w:p>
    <w:p w14:paraId="6D5448A0">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06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90"/>
        <w:gridCol w:w="2995"/>
        <w:gridCol w:w="1669"/>
        <w:gridCol w:w="2717"/>
      </w:tblGrid>
      <w:tr w14:paraId="284A2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494" w:type="dxa"/>
            <w:vAlign w:val="center"/>
          </w:tcPr>
          <w:p w14:paraId="2CAF2855">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2814" w:type="dxa"/>
            <w:vAlign w:val="center"/>
          </w:tcPr>
          <w:p w14:paraId="313F975B">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eastAsia="zh-CN"/>
              </w:rPr>
              <w:t>常州大学</w:t>
            </w:r>
          </w:p>
        </w:tc>
        <w:tc>
          <w:tcPr>
            <w:tcW w:w="1568" w:type="dxa"/>
            <w:vAlign w:val="center"/>
          </w:tcPr>
          <w:p w14:paraId="1345DBF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536" w:type="dxa"/>
            <w:vAlign w:val="center"/>
          </w:tcPr>
          <w:p w14:paraId="51C4A440">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12320000466007300P</w:t>
            </w:r>
          </w:p>
        </w:tc>
      </w:tr>
      <w:tr w14:paraId="7F8FC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78" w:hRule="exact"/>
          <w:jc w:val="center"/>
        </w:trPr>
        <w:tc>
          <w:tcPr>
            <w:tcW w:w="1494" w:type="dxa"/>
            <w:vAlign w:val="center"/>
          </w:tcPr>
          <w:p w14:paraId="7FF90C0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2814" w:type="dxa"/>
            <w:vAlign w:val="center"/>
          </w:tcPr>
          <w:p w14:paraId="1A7874F6">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常州市武进区湖塘镇滆湖中路21号</w:t>
            </w:r>
          </w:p>
        </w:tc>
        <w:tc>
          <w:tcPr>
            <w:tcW w:w="1568" w:type="dxa"/>
            <w:vAlign w:val="center"/>
          </w:tcPr>
          <w:p w14:paraId="0FAAB9A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536" w:type="dxa"/>
            <w:vAlign w:val="center"/>
          </w:tcPr>
          <w:p w14:paraId="429813FB">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eastAsia="zh-CN"/>
              </w:rPr>
              <w:t>唐波</w:t>
            </w:r>
          </w:p>
        </w:tc>
      </w:tr>
      <w:tr w14:paraId="3B1BD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3F3478B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2814" w:type="dxa"/>
            <w:vAlign w:val="center"/>
          </w:tcPr>
          <w:p w14:paraId="2CCDFA8B">
            <w:pPr>
              <w:spacing w:line="320" w:lineRule="exact"/>
              <w:jc w:val="center"/>
              <w:rPr>
                <w:rFonts w:ascii="Times New Roman" w:hAnsi="Times New Roman" w:eastAsia="宋体" w:cs="Times New Roman"/>
                <w:bCs/>
                <w:sz w:val="28"/>
                <w:szCs w:val="21"/>
              </w:rPr>
            </w:pPr>
            <w:r>
              <w:rPr>
                <w:rFonts w:hint="eastAsia" w:asciiTheme="minorEastAsia" w:hAnsiTheme="minorEastAsia" w:cstheme="minorEastAsia"/>
                <w:b w:val="0"/>
                <w:bCs w:val="0"/>
                <w:kern w:val="0"/>
                <w:sz w:val="28"/>
                <w:szCs w:val="28"/>
                <w:lang w:val="en-US" w:eastAsia="zh-CN" w:bidi="ar"/>
              </w:rPr>
              <w:t>15051967139</w:t>
            </w:r>
          </w:p>
        </w:tc>
        <w:tc>
          <w:tcPr>
            <w:tcW w:w="1568" w:type="dxa"/>
            <w:vAlign w:val="center"/>
          </w:tcPr>
          <w:p w14:paraId="4223DF4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536" w:type="dxa"/>
            <w:vAlign w:val="center"/>
          </w:tcPr>
          <w:p w14:paraId="5BE47CFA">
            <w:pPr>
              <w:spacing w:line="320" w:lineRule="exact"/>
              <w:jc w:val="center"/>
              <w:rPr>
                <w:rFonts w:ascii="Times New Roman" w:hAnsi="Times New Roman" w:eastAsia="宋体" w:cs="Times New Roman"/>
                <w:bCs/>
                <w:sz w:val="28"/>
                <w:szCs w:val="21"/>
              </w:rPr>
            </w:pPr>
          </w:p>
        </w:tc>
      </w:tr>
      <w:tr w14:paraId="0E571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77" w:hRule="exact"/>
          <w:jc w:val="center"/>
        </w:trPr>
        <w:tc>
          <w:tcPr>
            <w:tcW w:w="1494" w:type="dxa"/>
            <w:vAlign w:val="center"/>
          </w:tcPr>
          <w:p w14:paraId="403EA46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6918" w:type="dxa"/>
            <w:gridSpan w:val="3"/>
            <w:vAlign w:val="center"/>
          </w:tcPr>
          <w:p w14:paraId="34E821C3">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先进半导体   </w:t>
            </w: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4D3AB8CD">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w:t>
            </w: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47706B4D">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高端装备</w:t>
            </w:r>
          </w:p>
        </w:tc>
      </w:tr>
      <w:tr w14:paraId="2DA7E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42A55C1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6918" w:type="dxa"/>
            <w:gridSpan w:val="3"/>
            <w:vAlign w:val="center"/>
          </w:tcPr>
          <w:p w14:paraId="02C1AE8B">
            <w:pPr>
              <w:spacing w:line="320" w:lineRule="exact"/>
              <w:ind w:left="160" w:leftChars="50"/>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200</w:t>
            </w:r>
            <w:r>
              <w:rPr>
                <w:rFonts w:ascii="Times New Roman" w:hAnsi="Times New Roman" w:eastAsia="宋体" w:cs="Times New Roman"/>
                <w:bCs/>
                <w:sz w:val="28"/>
                <w:szCs w:val="21"/>
              </w:rPr>
              <w:t>万</w:t>
            </w:r>
          </w:p>
        </w:tc>
      </w:tr>
      <w:tr w14:paraId="58222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494" w:type="dxa"/>
            <w:vAlign w:val="center"/>
          </w:tcPr>
          <w:p w14:paraId="413A1ED1">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6918" w:type="dxa"/>
            <w:gridSpan w:val="3"/>
            <w:vAlign w:val="center"/>
          </w:tcPr>
          <w:p w14:paraId="5888A37F">
            <w:pPr>
              <w:spacing w:line="320" w:lineRule="exact"/>
              <w:ind w:left="160" w:leftChars="50"/>
              <w:jc w:val="center"/>
              <w:rPr>
                <w:rFonts w:ascii="Times New Roman" w:hAnsi="Times New Roman" w:eastAsia="宋体" w:cs="Times New Roman"/>
                <w:bCs/>
                <w:sz w:val="28"/>
                <w:szCs w:val="21"/>
              </w:rPr>
            </w:pPr>
            <w:r>
              <w:rPr>
                <w:rFonts w:hint="eastAsia" w:ascii="Arial" w:hAnsi="Arial" w:eastAsia="宋体" w:cs="Arial"/>
                <w:color w:val="333333"/>
                <w:sz w:val="28"/>
                <w:szCs w:val="28"/>
              </w:rPr>
              <w:t>低压低碳发热带及发热涂层研发及大规模生产应用</w:t>
            </w:r>
          </w:p>
        </w:tc>
      </w:tr>
      <w:tr w14:paraId="7BB77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94" w:type="dxa"/>
            <w:vAlign w:val="center"/>
          </w:tcPr>
          <w:p w14:paraId="537200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6918" w:type="dxa"/>
            <w:gridSpan w:val="3"/>
            <w:vAlign w:val="top"/>
          </w:tcPr>
          <w:p w14:paraId="4C432925">
            <w:pPr>
              <w:keepNext w:val="0"/>
              <w:keepLines w:val="0"/>
              <w:pageBreakBefore w:val="0"/>
              <w:widowControl w:val="0"/>
              <w:kinsoku/>
              <w:wordWrap/>
              <w:overflowPunct/>
              <w:topLinePunct w:val="0"/>
              <w:autoSpaceDE/>
              <w:autoSpaceDN/>
              <w:bidi w:val="0"/>
              <w:adjustRightInd/>
              <w:snapToGrid/>
              <w:spacing w:line="360" w:lineRule="exact"/>
              <w:ind w:left="160" w:leftChars="50"/>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(国内外现状，成果的价值、特色和创新点，已有技术积 累和应用条件等)</w:t>
            </w:r>
          </w:p>
          <w:p w14:paraId="41B07711">
            <w:pPr>
              <w:keepNext w:val="0"/>
              <w:keepLines w:val="0"/>
              <w:pageBreakBefore w:val="0"/>
              <w:widowControl w:val="0"/>
              <w:kinsoku/>
              <w:wordWrap/>
              <w:overflowPunct/>
              <w:topLinePunct w:val="0"/>
              <w:autoSpaceDE/>
              <w:autoSpaceDN/>
              <w:bidi w:val="0"/>
              <w:adjustRightInd/>
              <w:snapToGrid/>
              <w:spacing w:line="360" w:lineRule="exact"/>
              <w:ind w:left="160" w:leftChars="50"/>
              <w:textAlignment w:val="auto"/>
              <w:rPr>
                <w:rFonts w:hint="eastAsia" w:ascii="Arial" w:hAnsi="Arial" w:eastAsia="宋体" w:cs="Arial"/>
                <w:color w:val="333333"/>
                <w:sz w:val="28"/>
                <w:szCs w:val="28"/>
                <w:lang w:val="en-US" w:eastAsia="zh-CN"/>
              </w:rPr>
            </w:pPr>
          </w:p>
          <w:p w14:paraId="13AAE33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低碳低压发热带及发热涂层材料可在军用、工业用途及民用产品领域进行一系列的开发及市场推广。发热带和涂层材料具有低压供热（3.7V-36V供热）、遇水不漏电（通电时淋水不漏电）以及难燃的性能（遇明火不燃），同时实现节能和安全需求。主要特点如下：</w:t>
            </w:r>
          </w:p>
          <w:p w14:paraId="3FD19EE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1、涂层材料不需要任何固定的载体。和取暖器、地暖、空调等传统取暖器不同，应用该涂层不用固定载体，在任何需要供暖的地方直接涂装即可。</w:t>
            </w:r>
          </w:p>
          <w:p w14:paraId="1B399C1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2、节能减碳效果明显。采用24V电压时，在相同供热功率条件下，能耗比采用220V电压的供暖设备相比，节能效果显著。并可与太阳能绿电系统结合，实现对设备设施的零碳供暖，为相关企业节能减碳目标提供解决方案。</w:t>
            </w:r>
          </w:p>
          <w:p w14:paraId="6265A8B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3、安全系数高。该材料工作电压处于安全电压范围之内（低于36V），在通电过程中遇淋水也不会出现漏电现象，避免安全隐患。</w:t>
            </w:r>
          </w:p>
          <w:p w14:paraId="531B259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4、环保性能高。该材料为水性材料，在其生产、施工和施工过程中不会释放有害物质，对人体和环境友好。</w:t>
            </w:r>
          </w:p>
        </w:tc>
      </w:tr>
    </w:tbl>
    <w:p w14:paraId="1887B680">
      <w:pPr>
        <w:spacing w:line="540" w:lineRule="exact"/>
        <w:rPr>
          <w:rFonts w:hint="default" w:asciiTheme="minorEastAsia" w:hAnsiTheme="minorEastAsia" w:eastAsiaTheme="minorEastAsia" w:cstheme="minorEastAsia"/>
          <w:spacing w:val="-11"/>
          <w:sz w:val="28"/>
          <w:szCs w:val="28"/>
          <w:lang w:val="en-US" w:eastAsia="zh-CN"/>
        </w:rPr>
        <w:sectPr>
          <w:pgSz w:w="11905" w:h="16838"/>
          <w:pgMar w:top="1417" w:right="1531" w:bottom="1417" w:left="1531" w:header="0" w:footer="0" w:gutter="0"/>
          <w:paperSrc/>
          <w:cols w:space="0" w:num="1"/>
          <w:rtlGutter w:val="0"/>
          <w:docGrid w:linePitch="312" w:charSpace="0"/>
        </w:sectPr>
      </w:pPr>
    </w:p>
    <w:p w14:paraId="1BD78702">
      <w:pPr>
        <w:spacing w:before="65" w:line="224" w:lineRule="auto"/>
        <w:rPr>
          <w:rFonts w:hint="default"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27</w:t>
      </w:r>
    </w:p>
    <w:p w14:paraId="1184B029">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06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90"/>
        <w:gridCol w:w="2995"/>
        <w:gridCol w:w="1669"/>
        <w:gridCol w:w="2717"/>
      </w:tblGrid>
      <w:tr w14:paraId="54E4E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494" w:type="dxa"/>
            <w:vAlign w:val="center"/>
          </w:tcPr>
          <w:p w14:paraId="1FE86496">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2814" w:type="dxa"/>
            <w:vAlign w:val="center"/>
          </w:tcPr>
          <w:p w14:paraId="1CF28FCC">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eastAsia="zh-CN"/>
              </w:rPr>
              <w:t>常州大学</w:t>
            </w:r>
          </w:p>
        </w:tc>
        <w:tc>
          <w:tcPr>
            <w:tcW w:w="1568" w:type="dxa"/>
            <w:vAlign w:val="center"/>
          </w:tcPr>
          <w:p w14:paraId="50F28734">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536" w:type="dxa"/>
            <w:vAlign w:val="center"/>
          </w:tcPr>
          <w:p w14:paraId="39C4865A">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12320000466007300P</w:t>
            </w:r>
          </w:p>
        </w:tc>
      </w:tr>
      <w:tr w14:paraId="070FC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78" w:hRule="exact"/>
          <w:jc w:val="center"/>
        </w:trPr>
        <w:tc>
          <w:tcPr>
            <w:tcW w:w="1494" w:type="dxa"/>
            <w:vAlign w:val="center"/>
          </w:tcPr>
          <w:p w14:paraId="6B0599CC">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2814" w:type="dxa"/>
            <w:vAlign w:val="center"/>
          </w:tcPr>
          <w:p w14:paraId="2E641687">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常州市武进区湖塘镇滆湖中路21号</w:t>
            </w:r>
          </w:p>
        </w:tc>
        <w:tc>
          <w:tcPr>
            <w:tcW w:w="1568" w:type="dxa"/>
            <w:vAlign w:val="center"/>
          </w:tcPr>
          <w:p w14:paraId="5963CCC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536" w:type="dxa"/>
            <w:vAlign w:val="center"/>
          </w:tcPr>
          <w:p w14:paraId="49399E8E">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eastAsia="zh-CN"/>
              </w:rPr>
              <w:t>胡衎</w:t>
            </w:r>
          </w:p>
        </w:tc>
      </w:tr>
      <w:tr w14:paraId="03FE0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5D3BCBA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2814" w:type="dxa"/>
            <w:vAlign w:val="center"/>
          </w:tcPr>
          <w:p w14:paraId="129C1055">
            <w:pPr>
              <w:spacing w:line="320" w:lineRule="exact"/>
              <w:jc w:val="center"/>
              <w:rPr>
                <w:rFonts w:ascii="Times New Roman" w:hAnsi="Times New Roman" w:eastAsia="宋体" w:cs="Times New Roman"/>
                <w:bCs/>
                <w:sz w:val="28"/>
                <w:szCs w:val="21"/>
              </w:rPr>
            </w:pPr>
            <w:r>
              <w:rPr>
                <w:rFonts w:hint="eastAsia" w:asciiTheme="minorEastAsia" w:hAnsiTheme="minorEastAsia" w:cstheme="minorEastAsia"/>
                <w:b w:val="0"/>
                <w:bCs w:val="0"/>
                <w:kern w:val="0"/>
                <w:sz w:val="28"/>
                <w:szCs w:val="28"/>
                <w:lang w:val="en-US" w:eastAsia="zh-CN" w:bidi="ar"/>
              </w:rPr>
              <w:t>15375215079</w:t>
            </w:r>
          </w:p>
        </w:tc>
        <w:tc>
          <w:tcPr>
            <w:tcW w:w="1568" w:type="dxa"/>
            <w:vAlign w:val="center"/>
          </w:tcPr>
          <w:p w14:paraId="79CA1F1E">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536" w:type="dxa"/>
            <w:vAlign w:val="center"/>
          </w:tcPr>
          <w:p w14:paraId="2C18691D">
            <w:pPr>
              <w:spacing w:line="320" w:lineRule="exact"/>
              <w:jc w:val="center"/>
              <w:rPr>
                <w:rFonts w:ascii="Times New Roman" w:hAnsi="Times New Roman" w:eastAsia="宋体" w:cs="Times New Roman"/>
                <w:bCs/>
                <w:sz w:val="28"/>
                <w:szCs w:val="21"/>
              </w:rPr>
            </w:pPr>
          </w:p>
        </w:tc>
      </w:tr>
      <w:tr w14:paraId="72C10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77" w:hRule="exact"/>
          <w:jc w:val="center"/>
        </w:trPr>
        <w:tc>
          <w:tcPr>
            <w:tcW w:w="1494" w:type="dxa"/>
            <w:vAlign w:val="center"/>
          </w:tcPr>
          <w:p w14:paraId="281ECFCA">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6918" w:type="dxa"/>
            <w:gridSpan w:val="3"/>
            <w:vAlign w:val="center"/>
          </w:tcPr>
          <w:p w14:paraId="24153329">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先进半导体   </w:t>
            </w: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10EFE93B">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w:t>
            </w: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6A6A7F4B">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高端装备</w:t>
            </w:r>
          </w:p>
        </w:tc>
      </w:tr>
      <w:tr w14:paraId="4DFB2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7728679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6918" w:type="dxa"/>
            <w:gridSpan w:val="3"/>
            <w:vAlign w:val="center"/>
          </w:tcPr>
          <w:p w14:paraId="304F9C43">
            <w:pPr>
              <w:spacing w:line="320" w:lineRule="exact"/>
              <w:ind w:left="160" w:leftChars="50"/>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300</w:t>
            </w:r>
            <w:r>
              <w:rPr>
                <w:rFonts w:ascii="Times New Roman" w:hAnsi="Times New Roman" w:eastAsia="宋体" w:cs="Times New Roman"/>
                <w:bCs/>
                <w:sz w:val="28"/>
                <w:szCs w:val="21"/>
              </w:rPr>
              <w:t>万</w:t>
            </w:r>
          </w:p>
        </w:tc>
      </w:tr>
      <w:tr w14:paraId="65EAA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494" w:type="dxa"/>
            <w:vAlign w:val="center"/>
          </w:tcPr>
          <w:p w14:paraId="150A8F17">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6918" w:type="dxa"/>
            <w:gridSpan w:val="3"/>
            <w:vAlign w:val="center"/>
          </w:tcPr>
          <w:p w14:paraId="31B0AD95">
            <w:pPr>
              <w:spacing w:line="320" w:lineRule="exact"/>
              <w:ind w:left="160" w:leftChars="50"/>
              <w:jc w:val="center"/>
              <w:rPr>
                <w:rFonts w:ascii="Times New Roman" w:hAnsi="Times New Roman" w:eastAsia="宋体" w:cs="Times New Roman"/>
                <w:bCs/>
                <w:sz w:val="28"/>
                <w:szCs w:val="21"/>
              </w:rPr>
            </w:pPr>
            <w:r>
              <w:rPr>
                <w:rFonts w:hint="eastAsia" w:ascii="Arial" w:hAnsi="Arial" w:eastAsia="宋体" w:cs="Arial"/>
                <w:color w:val="333333"/>
                <w:sz w:val="28"/>
                <w:szCs w:val="28"/>
              </w:rPr>
              <w:t>高效除醛果冻(小绿罐)</w:t>
            </w:r>
          </w:p>
        </w:tc>
      </w:tr>
      <w:tr w14:paraId="45159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94" w:type="dxa"/>
            <w:vAlign w:val="center"/>
          </w:tcPr>
          <w:p w14:paraId="4E10F5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6918" w:type="dxa"/>
            <w:gridSpan w:val="3"/>
            <w:vAlign w:val="top"/>
          </w:tcPr>
          <w:p w14:paraId="0EE88492">
            <w:pPr>
              <w:keepNext w:val="0"/>
              <w:keepLines w:val="0"/>
              <w:pageBreakBefore w:val="0"/>
              <w:widowControl w:val="0"/>
              <w:kinsoku/>
              <w:wordWrap/>
              <w:overflowPunct/>
              <w:topLinePunct w:val="0"/>
              <w:autoSpaceDE/>
              <w:autoSpaceDN/>
              <w:bidi w:val="0"/>
              <w:adjustRightInd/>
              <w:snapToGrid/>
              <w:spacing w:line="360" w:lineRule="exact"/>
              <w:ind w:left="160" w:leftChars="50"/>
              <w:textAlignment w:val="auto"/>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(国内外现状，成果的价值、特色和创新点，已有技术积 累和应用条件等)</w:t>
            </w:r>
          </w:p>
          <w:p w14:paraId="74C66527">
            <w:pPr>
              <w:keepNext w:val="0"/>
              <w:keepLines w:val="0"/>
              <w:pageBreakBefore w:val="0"/>
              <w:widowControl w:val="0"/>
              <w:kinsoku/>
              <w:wordWrap/>
              <w:overflowPunct/>
              <w:topLinePunct w:val="0"/>
              <w:autoSpaceDE/>
              <w:autoSpaceDN/>
              <w:bidi w:val="0"/>
              <w:adjustRightInd/>
              <w:snapToGrid/>
              <w:spacing w:line="360" w:lineRule="exact"/>
              <w:ind w:left="160" w:leftChars="50"/>
              <w:textAlignment w:val="auto"/>
              <w:rPr>
                <w:rFonts w:hint="eastAsia" w:ascii="Arial" w:hAnsi="Arial" w:eastAsia="宋体" w:cs="Arial"/>
                <w:color w:val="333333"/>
                <w:sz w:val="28"/>
                <w:szCs w:val="28"/>
                <w:lang w:val="en-US" w:eastAsia="zh-CN"/>
              </w:rPr>
            </w:pPr>
          </w:p>
          <w:p w14:paraId="1467F449">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希望树是家清集团 “时宜” 旗下的家居环保品牌，成立于 2019 年。其主打产品是除醛果冻。该产品具有以下特点：</w:t>
            </w:r>
          </w:p>
          <w:p w14:paraId="56913F22">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除醛原理：</w:t>
            </w:r>
            <w:r>
              <w:rPr>
                <w:rFonts w:hint="eastAsia" w:ascii="Times New Roman" w:hAnsi="Times New Roman" w:eastAsia="宋体" w:cs="Times New Roman"/>
                <w:bCs/>
                <w:sz w:val="28"/>
                <w:szCs w:val="21"/>
                <w:lang w:val="en-US" w:eastAsia="zh-CN"/>
              </w:rPr>
              <w:t>通过释放复合雪松除醛因子，与空气中的甲醛发生反应，将其分解转化为水和二氧化碳，从而达到除醛效果。</w:t>
            </w:r>
          </w:p>
          <w:p w14:paraId="4E86D232">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可视化：</w:t>
            </w:r>
            <w:r>
              <w:rPr>
                <w:rFonts w:hint="eastAsia" w:ascii="Times New Roman" w:hAnsi="Times New Roman" w:eastAsia="宋体" w:cs="Times New Roman"/>
                <w:bCs/>
                <w:sz w:val="28"/>
                <w:szCs w:val="21"/>
                <w:lang w:val="en-US" w:eastAsia="zh-CN"/>
              </w:rPr>
              <w:t>产品加入激活液后会变色，蓝色胶体变为半透明色，消费者可根据果冻颜色、干瘪情况，肉眼可见其除醛过程。当有效物质挥发后，果冻会干瘪成一块饼干大小，提醒更换。</w:t>
            </w:r>
          </w:p>
          <w:p w14:paraId="69D4C695">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效果显著：</w:t>
            </w:r>
            <w:r>
              <w:rPr>
                <w:rFonts w:hint="eastAsia" w:ascii="Times New Roman" w:hAnsi="Times New Roman" w:eastAsia="宋体" w:cs="Times New Roman"/>
                <w:bCs/>
                <w:sz w:val="28"/>
                <w:szCs w:val="21"/>
                <w:lang w:val="en-US" w:eastAsia="zh-CN"/>
              </w:rPr>
              <w:t>经 3 大权威机构检测，24 小时除醛率可达 95.8%。</w:t>
            </w:r>
          </w:p>
          <w:p w14:paraId="1F85DAF4">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使用方便：</w:t>
            </w:r>
            <w:r>
              <w:rPr>
                <w:rFonts w:hint="eastAsia" w:ascii="Times New Roman" w:hAnsi="Times New Roman" w:eastAsia="宋体" w:cs="Times New Roman"/>
                <w:bCs/>
                <w:sz w:val="28"/>
                <w:szCs w:val="21"/>
                <w:lang w:val="en-US" w:eastAsia="zh-CN"/>
              </w:rPr>
              <w:t>操作简便，只需将激活液滴入果冻盒中，然后放置在需要除醛的房间即可。</w:t>
            </w:r>
          </w:p>
          <w:p w14:paraId="416D1F8B">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
                <w:bCs w:val="0"/>
                <w:sz w:val="28"/>
                <w:szCs w:val="21"/>
                <w:lang w:val="en-US" w:eastAsia="zh-CN"/>
              </w:rPr>
              <w:t>应用范围广：</w:t>
            </w:r>
            <w:r>
              <w:rPr>
                <w:rFonts w:hint="eastAsia" w:ascii="Times New Roman" w:hAnsi="Times New Roman" w:eastAsia="宋体" w:cs="Times New Roman"/>
                <w:bCs/>
                <w:sz w:val="28"/>
                <w:szCs w:val="21"/>
                <w:lang w:val="en-US" w:eastAsia="zh-CN"/>
              </w:rPr>
              <w:t>可用于新装修的房屋、新车内、新家具等。</w:t>
            </w:r>
          </w:p>
          <w:p w14:paraId="1F029C7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希望树除醛果冻的优势在于高效除醛，且能及时提醒用户更换产品。</w:t>
            </w:r>
          </w:p>
        </w:tc>
      </w:tr>
    </w:tbl>
    <w:p w14:paraId="22F04BF2">
      <w:pPr>
        <w:spacing w:line="540" w:lineRule="exact"/>
        <w:rPr>
          <w:rFonts w:hint="default" w:asciiTheme="minorEastAsia" w:hAnsiTheme="minorEastAsia" w:eastAsiaTheme="minorEastAsia" w:cstheme="minorEastAsia"/>
          <w:spacing w:val="-11"/>
          <w:sz w:val="28"/>
          <w:szCs w:val="28"/>
          <w:lang w:val="en-US" w:eastAsia="zh-CN"/>
        </w:rPr>
        <w:sectPr>
          <w:pgSz w:w="11905" w:h="16838"/>
          <w:pgMar w:top="1417" w:right="1531" w:bottom="1417" w:left="1531" w:header="0" w:footer="0" w:gutter="0"/>
          <w:paperSrc/>
          <w:cols w:space="0" w:num="1"/>
          <w:rtlGutter w:val="0"/>
          <w:docGrid w:linePitch="312" w:charSpace="0"/>
        </w:sectPr>
      </w:pPr>
    </w:p>
    <w:p w14:paraId="3890145D">
      <w:pPr>
        <w:spacing w:before="65" w:line="224" w:lineRule="auto"/>
        <w:ind w:left="39"/>
        <w:rPr>
          <w:rFonts w:hint="default"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28</w:t>
      </w:r>
    </w:p>
    <w:p w14:paraId="366E0584">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06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90"/>
        <w:gridCol w:w="2995"/>
        <w:gridCol w:w="1669"/>
        <w:gridCol w:w="2717"/>
      </w:tblGrid>
      <w:tr w14:paraId="0F07D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494" w:type="dxa"/>
            <w:vAlign w:val="center"/>
          </w:tcPr>
          <w:p w14:paraId="608182D3">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2814" w:type="dxa"/>
            <w:vAlign w:val="center"/>
          </w:tcPr>
          <w:p w14:paraId="1AA31347">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eastAsia="zh-CN"/>
              </w:rPr>
              <w:t>常州大学</w:t>
            </w:r>
          </w:p>
        </w:tc>
        <w:tc>
          <w:tcPr>
            <w:tcW w:w="1568" w:type="dxa"/>
            <w:vAlign w:val="center"/>
          </w:tcPr>
          <w:p w14:paraId="079784FB">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536" w:type="dxa"/>
            <w:vAlign w:val="center"/>
          </w:tcPr>
          <w:p w14:paraId="07719CFB">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12320000466007300P</w:t>
            </w:r>
          </w:p>
        </w:tc>
      </w:tr>
      <w:tr w14:paraId="08A28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78" w:hRule="exact"/>
          <w:jc w:val="center"/>
        </w:trPr>
        <w:tc>
          <w:tcPr>
            <w:tcW w:w="1494" w:type="dxa"/>
            <w:vAlign w:val="center"/>
          </w:tcPr>
          <w:p w14:paraId="27DE21C8">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2814" w:type="dxa"/>
            <w:vAlign w:val="center"/>
          </w:tcPr>
          <w:p w14:paraId="148791B4">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常州市武进区湖塘镇滆湖中路21号</w:t>
            </w:r>
          </w:p>
        </w:tc>
        <w:tc>
          <w:tcPr>
            <w:tcW w:w="1568" w:type="dxa"/>
            <w:vAlign w:val="center"/>
          </w:tcPr>
          <w:p w14:paraId="29F1A559">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536" w:type="dxa"/>
            <w:vAlign w:val="center"/>
          </w:tcPr>
          <w:p w14:paraId="4AFFB051">
            <w:pPr>
              <w:spacing w:line="320" w:lineRule="exact"/>
              <w:jc w:val="center"/>
              <w:rPr>
                <w:rFonts w:hint="eastAsia" w:ascii="Times New Roman" w:hAnsi="Times New Roman" w:eastAsia="宋体" w:cs="Times New Roman"/>
                <w:bCs/>
                <w:sz w:val="28"/>
                <w:szCs w:val="21"/>
                <w:lang w:eastAsia="zh-CN"/>
              </w:rPr>
            </w:pPr>
            <w:r>
              <w:rPr>
                <w:rFonts w:hint="eastAsia" w:ascii="Times New Roman" w:hAnsi="Times New Roman" w:eastAsia="宋体" w:cs="Times New Roman"/>
                <w:bCs/>
                <w:sz w:val="28"/>
                <w:szCs w:val="21"/>
                <w:lang w:eastAsia="zh-CN"/>
              </w:rPr>
              <w:t>陈海飞</w:t>
            </w:r>
          </w:p>
        </w:tc>
      </w:tr>
      <w:tr w14:paraId="5764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02F16C3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2814" w:type="dxa"/>
            <w:vAlign w:val="center"/>
          </w:tcPr>
          <w:p w14:paraId="2E4CD415">
            <w:pPr>
              <w:spacing w:line="320" w:lineRule="exact"/>
              <w:jc w:val="center"/>
              <w:rPr>
                <w:rFonts w:ascii="Times New Roman" w:hAnsi="Times New Roman" w:eastAsia="宋体" w:cs="Times New Roman"/>
                <w:bCs/>
                <w:sz w:val="28"/>
                <w:szCs w:val="21"/>
              </w:rPr>
            </w:pPr>
            <w:r>
              <w:rPr>
                <w:rFonts w:hint="eastAsia" w:asciiTheme="minorEastAsia" w:hAnsiTheme="minorEastAsia" w:cstheme="minorEastAsia"/>
                <w:b w:val="0"/>
                <w:bCs w:val="0"/>
                <w:kern w:val="0"/>
                <w:sz w:val="28"/>
                <w:szCs w:val="28"/>
                <w:lang w:val="en-US" w:eastAsia="zh-CN" w:bidi="ar"/>
              </w:rPr>
              <w:t>15195010398</w:t>
            </w:r>
          </w:p>
        </w:tc>
        <w:tc>
          <w:tcPr>
            <w:tcW w:w="1568" w:type="dxa"/>
            <w:vAlign w:val="center"/>
          </w:tcPr>
          <w:p w14:paraId="51A867B0">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536" w:type="dxa"/>
            <w:vAlign w:val="center"/>
          </w:tcPr>
          <w:p w14:paraId="655B5690">
            <w:pPr>
              <w:spacing w:line="320" w:lineRule="exact"/>
              <w:jc w:val="center"/>
              <w:rPr>
                <w:rFonts w:ascii="Times New Roman" w:hAnsi="Times New Roman" w:eastAsia="宋体" w:cs="Times New Roman"/>
                <w:bCs/>
                <w:sz w:val="28"/>
                <w:szCs w:val="21"/>
              </w:rPr>
            </w:pPr>
          </w:p>
        </w:tc>
      </w:tr>
      <w:tr w14:paraId="4A143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77" w:hRule="exact"/>
          <w:jc w:val="center"/>
        </w:trPr>
        <w:tc>
          <w:tcPr>
            <w:tcW w:w="1494" w:type="dxa"/>
            <w:vAlign w:val="center"/>
          </w:tcPr>
          <w:p w14:paraId="0C1AA5C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6918" w:type="dxa"/>
            <w:gridSpan w:val="3"/>
            <w:vAlign w:val="center"/>
          </w:tcPr>
          <w:p w14:paraId="22902D97">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先进半导体   </w:t>
            </w:r>
            <w:r>
              <w:rPr>
                <w:rFonts w:hint="eastAsia" w:ascii="Times New Roman" w:hAnsi="Times New Roman" w:eastAsia="宋体" w:cs="Times New Roman"/>
                <w:bCs/>
                <w:sz w:val="28"/>
                <w:szCs w:val="21"/>
                <w:lang w:eastAsia="zh-CN"/>
              </w:rPr>
              <w:t>□</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7086DF2F">
            <w:pPr>
              <w:spacing w:line="320" w:lineRule="exact"/>
              <w:jc w:val="left"/>
              <w:rPr>
                <w:rFonts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w:t>
            </w: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1FDD8417">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hint="eastAsia"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rPr>
              <w:t>高端装备</w:t>
            </w:r>
          </w:p>
        </w:tc>
      </w:tr>
      <w:tr w14:paraId="22986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494" w:type="dxa"/>
            <w:vAlign w:val="center"/>
          </w:tcPr>
          <w:p w14:paraId="33D9AB54">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6918" w:type="dxa"/>
            <w:gridSpan w:val="3"/>
            <w:vAlign w:val="center"/>
          </w:tcPr>
          <w:p w14:paraId="6B1067F8">
            <w:pPr>
              <w:spacing w:line="320" w:lineRule="exact"/>
              <w:ind w:left="160" w:leftChars="50"/>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lang w:val="en-US" w:eastAsia="zh-CN"/>
              </w:rPr>
              <w:t>200</w:t>
            </w:r>
            <w:r>
              <w:rPr>
                <w:rFonts w:ascii="Times New Roman" w:hAnsi="Times New Roman" w:eastAsia="宋体" w:cs="Times New Roman"/>
                <w:bCs/>
                <w:sz w:val="28"/>
                <w:szCs w:val="21"/>
              </w:rPr>
              <w:t>万</w:t>
            </w:r>
          </w:p>
        </w:tc>
      </w:tr>
      <w:tr w14:paraId="5FCE5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exact"/>
          <w:jc w:val="center"/>
        </w:trPr>
        <w:tc>
          <w:tcPr>
            <w:tcW w:w="1494" w:type="dxa"/>
            <w:vAlign w:val="center"/>
          </w:tcPr>
          <w:p w14:paraId="6CD42F3A">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6918" w:type="dxa"/>
            <w:gridSpan w:val="3"/>
            <w:vAlign w:val="center"/>
          </w:tcPr>
          <w:p w14:paraId="6A341920">
            <w:pPr>
              <w:spacing w:line="320" w:lineRule="exact"/>
              <w:ind w:left="160" w:leftChars="50"/>
              <w:jc w:val="center"/>
              <w:rPr>
                <w:rFonts w:ascii="Times New Roman" w:hAnsi="Times New Roman" w:eastAsia="宋体" w:cs="Times New Roman"/>
                <w:bCs/>
                <w:sz w:val="28"/>
                <w:szCs w:val="21"/>
              </w:rPr>
            </w:pPr>
            <w:r>
              <w:rPr>
                <w:rFonts w:hint="eastAsia" w:ascii="Arial" w:hAnsi="Arial" w:eastAsia="宋体" w:cs="Arial"/>
                <w:color w:val="333333"/>
                <w:sz w:val="28"/>
                <w:szCs w:val="28"/>
              </w:rPr>
              <w:t>太阳能低成本高效制绿氢技术研发</w:t>
            </w:r>
          </w:p>
        </w:tc>
      </w:tr>
      <w:tr w14:paraId="50323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94" w:type="dxa"/>
            <w:vAlign w:val="center"/>
          </w:tcPr>
          <w:p w14:paraId="2862224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6918" w:type="dxa"/>
            <w:gridSpan w:val="3"/>
            <w:vAlign w:val="top"/>
          </w:tcPr>
          <w:p w14:paraId="1BCD1237">
            <w:pPr>
              <w:spacing w:line="320" w:lineRule="exact"/>
              <w:ind w:left="160" w:leftChars="50"/>
              <w:rPr>
                <w:rFonts w:hint="eastAsia" w:ascii="Arial" w:hAnsi="Arial" w:eastAsia="宋体" w:cs="Arial"/>
                <w:color w:val="333333"/>
                <w:sz w:val="28"/>
                <w:szCs w:val="28"/>
                <w:lang w:val="en-US" w:eastAsia="zh-CN"/>
              </w:rPr>
            </w:pPr>
            <w:r>
              <w:rPr>
                <w:rFonts w:hint="eastAsia" w:ascii="Arial" w:hAnsi="Arial" w:eastAsia="宋体" w:cs="Arial"/>
                <w:color w:val="333333"/>
                <w:sz w:val="28"/>
                <w:szCs w:val="28"/>
                <w:lang w:val="en-US" w:eastAsia="zh-CN"/>
              </w:rPr>
              <w:t>(国内外现状，成果的价值、特色和创新点，已有技术积 累和应用条件等)</w:t>
            </w:r>
          </w:p>
          <w:p w14:paraId="624BFDA3">
            <w:pPr>
              <w:spacing w:line="320" w:lineRule="exact"/>
              <w:ind w:left="160" w:leftChars="50"/>
              <w:rPr>
                <w:rFonts w:hint="eastAsia" w:ascii="Arial" w:hAnsi="Arial" w:eastAsia="宋体" w:cs="Arial"/>
                <w:color w:val="333333"/>
                <w:sz w:val="28"/>
                <w:szCs w:val="28"/>
                <w:lang w:val="en-US" w:eastAsia="zh-CN"/>
              </w:rPr>
            </w:pPr>
          </w:p>
          <w:p w14:paraId="38C9AAD1">
            <w:pPr>
              <w:spacing w:line="540" w:lineRule="exact"/>
              <w:ind w:firstLine="560" w:firstLineChars="200"/>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氢能作为一种前期远大的清洁能源，目前全球产氢量超1亿吨，其中我国为3550万吨。但目前氢能的制备仍然存在着制氢成本高、产氢效率低以及有污染物排放等缺点。   近年来，我国绿氢建成产能增长迅速，电解水制氢全球领先。截至2023年12月，全国共建成电解水制氢项目58个，产能7.8万吨/年，较2022年底增长3.7万吨/年产能，约占全球已建成产能的60%。国内外制氢技术的升级迭代主要集中在低成本高效率制氢方面。碱性电解水技术相对成熟且在我国应用最为广泛，但具有高电耗，低阻气性的痛点。而PEM电解水技术具有大容量，高效率，高阻气性的优点，但由于阳极难以避免地使用昂贵的钌或铱基催化剂，使得该项技术难以大规模推广。</w:t>
            </w:r>
          </w:p>
          <w:p w14:paraId="5CED77BF">
            <w:pPr>
              <w:spacing w:line="540" w:lineRule="exact"/>
              <w:ind w:firstLine="560" w:firstLineChars="200"/>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本项目探究了太阳能光伏电解水制氢的基本方法和转化机理，建立太阳能光伏电解水制氢数值模型，搭建太阳能高效制氢实验装置，测试并分析制氢效率及其影响因素，开发和优化太阳能低成本制氢装备和系统平台。项目提出的太阳能光电光热催化制氢技术以及AEM电解水技术，结合了低成本及高效率的优点，未来有望成为新一代的低成本高效率制氢技术。</w:t>
            </w:r>
          </w:p>
        </w:tc>
      </w:tr>
    </w:tbl>
    <w:p w14:paraId="1BA20C12">
      <w:pPr>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br w:type="page"/>
      </w:r>
    </w:p>
    <w:p w14:paraId="32F4C36F">
      <w:pPr>
        <w:spacing w:line="540" w:lineRule="exact"/>
        <w:rPr>
          <w:rFonts w:hint="default" w:asciiTheme="minorEastAsia" w:hAnsiTheme="minorEastAsia" w:eastAsiaTheme="minorEastAsia" w:cstheme="minorEastAsia"/>
          <w:spacing w:val="-11"/>
          <w:sz w:val="28"/>
          <w:szCs w:val="28"/>
          <w:lang w:val="en-US" w:eastAsia="zh-CN"/>
        </w:rPr>
        <w:sectPr>
          <w:pgSz w:w="11905" w:h="16838"/>
          <w:pgMar w:top="1417" w:right="1531" w:bottom="1417" w:left="1531" w:header="0" w:footer="0" w:gutter="0"/>
          <w:paperSrc/>
          <w:cols w:space="0" w:num="1"/>
          <w:rtlGutter w:val="0"/>
          <w:docGrid w:linePitch="312" w:charSpace="0"/>
        </w:sectPr>
      </w:pPr>
    </w:p>
    <w:p w14:paraId="2440DC7A">
      <w:pPr>
        <w:spacing w:before="65" w:line="224" w:lineRule="auto"/>
        <w:ind w:left="39"/>
        <w:rPr>
          <w:rFonts w:hint="default"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29</w:t>
      </w:r>
    </w:p>
    <w:p w14:paraId="1C015CA1">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543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13"/>
        <w:gridCol w:w="3172"/>
        <w:gridCol w:w="1803"/>
        <w:gridCol w:w="2949"/>
      </w:tblGrid>
      <w:tr w14:paraId="5A618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09" w:type="dxa"/>
            <w:vAlign w:val="center"/>
          </w:tcPr>
          <w:p w14:paraId="74069B4F">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单位名称</w:t>
            </w:r>
          </w:p>
        </w:tc>
        <w:tc>
          <w:tcPr>
            <w:tcW w:w="3164" w:type="dxa"/>
            <w:vAlign w:val="center"/>
          </w:tcPr>
          <w:p w14:paraId="0E3A5875">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常州信息职业技术学院</w:t>
            </w:r>
          </w:p>
        </w:tc>
        <w:tc>
          <w:tcPr>
            <w:tcW w:w="1799" w:type="dxa"/>
            <w:vAlign w:val="center"/>
          </w:tcPr>
          <w:p w14:paraId="58132F73">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统一社会信用代码</w:t>
            </w:r>
          </w:p>
        </w:tc>
        <w:tc>
          <w:tcPr>
            <w:tcW w:w="2364" w:type="dxa"/>
            <w:vAlign w:val="center"/>
          </w:tcPr>
          <w:p w14:paraId="0A33C40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123200004660009699</w:t>
            </w:r>
          </w:p>
        </w:tc>
      </w:tr>
      <w:tr w14:paraId="1DA26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09" w:type="dxa"/>
            <w:vAlign w:val="center"/>
          </w:tcPr>
          <w:p w14:paraId="57197E1C">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地    址</w:t>
            </w:r>
          </w:p>
        </w:tc>
        <w:tc>
          <w:tcPr>
            <w:tcW w:w="3164" w:type="dxa"/>
            <w:vAlign w:val="center"/>
          </w:tcPr>
          <w:p w14:paraId="5AEF20E8">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江苏省常州市武进区鸣新中路22号</w:t>
            </w:r>
          </w:p>
        </w:tc>
        <w:tc>
          <w:tcPr>
            <w:tcW w:w="1799" w:type="dxa"/>
            <w:vAlign w:val="center"/>
          </w:tcPr>
          <w:p w14:paraId="5340004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 系 人</w:t>
            </w:r>
          </w:p>
        </w:tc>
        <w:tc>
          <w:tcPr>
            <w:tcW w:w="2364" w:type="dxa"/>
            <w:vAlign w:val="center"/>
          </w:tcPr>
          <w:p w14:paraId="67E6959E">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曹阳</w:t>
            </w:r>
          </w:p>
        </w:tc>
      </w:tr>
      <w:tr w14:paraId="4BEFD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6" w:hRule="atLeast"/>
          <w:jc w:val="center"/>
        </w:trPr>
        <w:tc>
          <w:tcPr>
            <w:tcW w:w="1709" w:type="dxa"/>
            <w:vAlign w:val="center"/>
          </w:tcPr>
          <w:p w14:paraId="45C42C8B">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联系电话</w:t>
            </w:r>
          </w:p>
        </w:tc>
        <w:tc>
          <w:tcPr>
            <w:tcW w:w="3164" w:type="dxa"/>
            <w:vAlign w:val="center"/>
          </w:tcPr>
          <w:p w14:paraId="67E63918">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15222223150</w:t>
            </w:r>
          </w:p>
        </w:tc>
        <w:tc>
          <w:tcPr>
            <w:tcW w:w="1799" w:type="dxa"/>
            <w:vAlign w:val="center"/>
          </w:tcPr>
          <w:p w14:paraId="70289F21">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电子邮件</w:t>
            </w:r>
          </w:p>
        </w:tc>
        <w:tc>
          <w:tcPr>
            <w:tcW w:w="2364" w:type="dxa"/>
            <w:vAlign w:val="center"/>
          </w:tcPr>
          <w:p w14:paraId="16A25C5F">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caoyang_hebut@163.com</w:t>
            </w:r>
          </w:p>
        </w:tc>
      </w:tr>
      <w:tr w14:paraId="7A915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09" w:type="dxa"/>
            <w:vAlign w:val="center"/>
          </w:tcPr>
          <w:p w14:paraId="2C59336D">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所属领域</w:t>
            </w:r>
          </w:p>
        </w:tc>
        <w:tc>
          <w:tcPr>
            <w:tcW w:w="7327" w:type="dxa"/>
            <w:gridSpan w:val="3"/>
            <w:vAlign w:val="center"/>
          </w:tcPr>
          <w:p w14:paraId="4FE3C79D">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□人工智能</w:t>
            </w:r>
            <w:r>
              <w:rPr>
                <w:rFonts w:hint="eastAsia" w:ascii="Times New Roman" w:hAnsi="Times New Roman" w:eastAsia="宋体" w:cs="Times New Roman"/>
                <w:b/>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数字经济   </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先进半导体   </w:t>
            </w:r>
            <w:r>
              <w:rPr>
                <w:rFonts w:ascii="Times New Roman" w:hAnsi="Times New Roman" w:eastAsia="宋体" w:cs="Times New Roman"/>
                <w:bCs/>
                <w:sz w:val="28"/>
                <w:szCs w:val="21"/>
              </w:rPr>
              <w:t>□新</w:t>
            </w:r>
            <w:r>
              <w:rPr>
                <w:rFonts w:hint="eastAsia" w:ascii="Times New Roman" w:hAnsi="Times New Roman" w:eastAsia="宋体" w:cs="Times New Roman"/>
                <w:bCs/>
                <w:sz w:val="28"/>
                <w:szCs w:val="21"/>
              </w:rPr>
              <w:t>材料</w:t>
            </w:r>
            <w:r>
              <w:rPr>
                <w:rFonts w:ascii="Times New Roman" w:hAnsi="Times New Roman" w:eastAsia="宋体" w:cs="Times New Roman"/>
                <w:bCs/>
                <w:sz w:val="28"/>
                <w:szCs w:val="21"/>
              </w:rPr>
              <w:t xml:space="preserve"> </w:t>
            </w:r>
          </w:p>
          <w:p w14:paraId="6C739843">
            <w:pPr>
              <w:spacing w:line="320" w:lineRule="exact"/>
              <w:jc w:val="lef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新型储能</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合成生物</w:t>
            </w:r>
            <w:r>
              <w:rPr>
                <w:rFonts w:ascii="Times New Roman" w:hAnsi="Times New Roman" w:eastAsia="宋体" w:cs="Times New Roman"/>
                <w:bCs/>
                <w:sz w:val="28"/>
                <w:szCs w:val="21"/>
              </w:rPr>
              <w:t xml:space="preserve">   </w:t>
            </w:r>
            <w:r>
              <w:rPr>
                <w:rFonts w:hint="eastAsia" w:ascii="Times New Roman" w:hAnsi="Times New Roman" w:eastAsia="宋体" w:cs="Times New Roman"/>
                <w:bCs/>
                <w:sz w:val="28"/>
                <w:szCs w:val="21"/>
              </w:rPr>
              <w:t xml:space="preserve"> √新能源汽车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循环制造</w:t>
            </w:r>
          </w:p>
          <w:p w14:paraId="126B583B">
            <w:pPr>
              <w:spacing w:line="320" w:lineRule="exact"/>
              <w:rPr>
                <w:rFonts w:ascii="Times New Roman" w:hAnsi="Times New Roman" w:eastAsia="宋体" w:cs="Times New Roman"/>
                <w:bCs/>
                <w:sz w:val="28"/>
                <w:szCs w:val="21"/>
              </w:rPr>
            </w:pP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 xml:space="preserve">新一代信息技术     </w:t>
            </w:r>
            <w:r>
              <w:rPr>
                <w:rFonts w:ascii="Times New Roman" w:hAnsi="Times New Roman" w:eastAsia="宋体" w:cs="Times New Roman"/>
                <w:bCs/>
                <w:sz w:val="28"/>
                <w:szCs w:val="21"/>
              </w:rPr>
              <w:t>□</w:t>
            </w:r>
            <w:r>
              <w:rPr>
                <w:rFonts w:hint="eastAsia" w:ascii="Times New Roman" w:hAnsi="Times New Roman" w:eastAsia="宋体" w:cs="Times New Roman"/>
                <w:bCs/>
                <w:sz w:val="28"/>
                <w:szCs w:val="21"/>
              </w:rPr>
              <w:t>高端装备</w:t>
            </w:r>
          </w:p>
        </w:tc>
      </w:tr>
      <w:tr w14:paraId="7E8F9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709" w:type="dxa"/>
            <w:vAlign w:val="center"/>
          </w:tcPr>
          <w:p w14:paraId="44E806D2">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榜额</w:t>
            </w:r>
          </w:p>
        </w:tc>
        <w:tc>
          <w:tcPr>
            <w:tcW w:w="7327" w:type="dxa"/>
            <w:gridSpan w:val="3"/>
            <w:vAlign w:val="center"/>
          </w:tcPr>
          <w:p w14:paraId="55C1C0F6">
            <w:pPr>
              <w:spacing w:line="320" w:lineRule="exact"/>
              <w:ind w:left="160" w:leftChars="50"/>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40万</w:t>
            </w:r>
          </w:p>
        </w:tc>
      </w:tr>
      <w:tr w14:paraId="1FB94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709" w:type="dxa"/>
            <w:vAlign w:val="center"/>
          </w:tcPr>
          <w:p w14:paraId="30E0B6A4">
            <w:pPr>
              <w:spacing w:line="320" w:lineRule="exact"/>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场景</w:t>
            </w:r>
            <w:r>
              <w:rPr>
                <w:rFonts w:ascii="Times New Roman" w:hAnsi="Times New Roman" w:eastAsia="宋体" w:cs="Times New Roman"/>
                <w:bCs/>
                <w:sz w:val="28"/>
                <w:szCs w:val="21"/>
              </w:rPr>
              <w:t>成果名称</w:t>
            </w:r>
          </w:p>
        </w:tc>
        <w:tc>
          <w:tcPr>
            <w:tcW w:w="7327" w:type="dxa"/>
            <w:gridSpan w:val="3"/>
            <w:vAlign w:val="center"/>
          </w:tcPr>
          <w:p w14:paraId="692C2511">
            <w:pPr>
              <w:spacing w:line="320" w:lineRule="exact"/>
              <w:ind w:left="160" w:leftChars="50"/>
              <w:jc w:val="center"/>
              <w:rPr>
                <w:rFonts w:ascii="Times New Roman" w:hAnsi="Times New Roman" w:eastAsia="宋体" w:cs="Times New Roman"/>
                <w:bCs/>
                <w:sz w:val="28"/>
                <w:szCs w:val="21"/>
              </w:rPr>
            </w:pPr>
            <w:r>
              <w:rPr>
                <w:rFonts w:hint="eastAsia" w:ascii="Times New Roman" w:hAnsi="Times New Roman" w:eastAsia="宋体" w:cs="Times New Roman"/>
                <w:bCs/>
                <w:sz w:val="28"/>
                <w:szCs w:val="21"/>
              </w:rPr>
              <w:t>新型可变磁通磁阻电机的关键技术研究与应用</w:t>
            </w:r>
          </w:p>
        </w:tc>
      </w:tr>
      <w:tr w14:paraId="740B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09" w:type="dxa"/>
            <w:vAlign w:val="center"/>
          </w:tcPr>
          <w:p w14:paraId="715D8AB7">
            <w:pPr>
              <w:spacing w:line="320" w:lineRule="exact"/>
              <w:jc w:val="center"/>
              <w:rPr>
                <w:rFonts w:ascii="Times New Roman" w:hAnsi="Times New Roman" w:eastAsia="宋体" w:cs="Times New Roman"/>
                <w:bCs/>
                <w:sz w:val="28"/>
                <w:szCs w:val="21"/>
              </w:rPr>
            </w:pPr>
            <w:r>
              <w:rPr>
                <w:rFonts w:ascii="Times New Roman" w:hAnsi="Times New Roman" w:eastAsia="宋体" w:cs="Times New Roman"/>
                <w:bCs/>
                <w:sz w:val="28"/>
                <w:szCs w:val="21"/>
              </w:rPr>
              <w:t>成果简介</w:t>
            </w:r>
          </w:p>
        </w:tc>
        <w:tc>
          <w:tcPr>
            <w:tcW w:w="7327" w:type="dxa"/>
            <w:gridSpan w:val="3"/>
          </w:tcPr>
          <w:p w14:paraId="01BE6604">
            <w:pPr>
              <w:spacing w:line="320" w:lineRule="exact"/>
              <w:ind w:firstLine="560" w:firstLineChars="200"/>
              <w:rPr>
                <w:rFonts w:ascii="Times New Roman" w:hAnsi="Times New Roman" w:eastAsia="宋体" w:cs="Times New Roman"/>
                <w:bCs/>
                <w:sz w:val="28"/>
                <w:szCs w:val="21"/>
              </w:rPr>
            </w:pPr>
            <w:r>
              <w:rPr>
                <w:rFonts w:hint="eastAsia" w:ascii="Times New Roman" w:hAnsi="Times New Roman" w:eastAsia="宋体" w:cs="Times New Roman"/>
                <w:bCs/>
                <w:sz w:val="28"/>
                <w:szCs w:val="21"/>
              </w:rPr>
              <w:t>可变磁通磁阻电机具有结构简单、成本低、散热良好、可靠性高和调磁性能好等优势，在电动汽车、家电以及航空航天等领域展现出良好的应用前景。然而，该电机控制系统存在电压控制自由度不足、零序电流调磁能力有限和电压利用率低等方面的问题，针对以上问题展开研究：</w:t>
            </w:r>
          </w:p>
          <w:p w14:paraId="058F1111">
            <w:pPr>
              <w:spacing w:line="320" w:lineRule="exact"/>
              <w:ind w:firstLine="560" w:firstLineChars="200"/>
              <w:rPr>
                <w:rFonts w:ascii="Times New Roman" w:hAnsi="Times New Roman" w:eastAsia="宋体" w:cs="Times New Roman"/>
                <w:bCs/>
                <w:sz w:val="28"/>
                <w:szCs w:val="21"/>
              </w:rPr>
            </w:pPr>
            <w:r>
              <w:rPr>
                <w:rFonts w:hint="eastAsia" w:ascii="Times New Roman" w:hAnsi="Times New Roman" w:eastAsia="宋体" w:cs="Times New Roman"/>
                <w:bCs/>
                <w:sz w:val="28"/>
                <w:szCs w:val="21"/>
              </w:rPr>
              <w:t>（1）通过优化功率器件数量，在增加可变磁通磁阻电机的零序电流控制自由度的基础上。降低了系统的成本、体积以及功率损耗。</w:t>
            </w:r>
          </w:p>
          <w:p w14:paraId="7505BED5">
            <w:pPr>
              <w:spacing w:line="32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（2）提出了可变磁通磁阻电机的单桥臂励磁控制系统的零序电压调制策略和改进的载波比较脉宽调制策略，在增加零序电压控制维度的基础上，实现了100%的直流母线电压利用率。</w:t>
            </w:r>
          </w:p>
          <w:p w14:paraId="1F6D917C">
            <w:pPr>
              <w:spacing w:line="320" w:lineRule="exact"/>
              <w:ind w:firstLine="560" w:firstLineChars="200"/>
              <w:rPr>
                <w:rFonts w:ascii="Times New Roman" w:hAnsi="Times New Roman" w:eastAsia="宋体" w:cs="Times New Roman"/>
                <w:bCs/>
                <w:sz w:val="28"/>
                <w:szCs w:val="21"/>
              </w:rPr>
            </w:pPr>
            <w:r>
              <w:rPr>
                <w:rFonts w:hint="eastAsia" w:ascii="Times New Roman" w:hAnsi="Times New Roman" w:eastAsia="宋体" w:cs="Times New Roman"/>
                <w:bCs/>
                <w:sz w:val="28"/>
                <w:szCs w:val="21"/>
              </w:rPr>
              <w:t>（3）提出一种考虑电压峰值的电流谐波优化控制策略。通过在d轴电流中注入三次谐波分量，降低电枢电压的谐波幅值，提升直流母线电压利用率，从而拓宽电机在恒转矩区的运行范围。</w:t>
            </w:r>
          </w:p>
          <w:p w14:paraId="5E1BDAFE">
            <w:pPr>
              <w:spacing w:line="32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对新型可变磁通磁阻电机的驱动系统以及控制策略进行了深入的研究。到目前为止，共发表论文SCI/EI论文6篇，发表国际学术会议论文2篇。</w:t>
            </w:r>
          </w:p>
          <w:p w14:paraId="3844D421">
            <w:pPr>
              <w:spacing w:line="320" w:lineRule="exact"/>
              <w:ind w:firstLine="560" w:firstLineChars="200"/>
              <w:rPr>
                <w:rFonts w:hint="eastAsia" w:ascii="Times New Roman" w:hAnsi="Times New Roman" w:eastAsia="宋体" w:cs="Times New Roman"/>
                <w:bCs/>
                <w:sz w:val="28"/>
                <w:szCs w:val="21"/>
              </w:rPr>
            </w:pPr>
            <w:r>
              <w:rPr>
                <w:rFonts w:hint="eastAsia" w:ascii="Times New Roman" w:hAnsi="Times New Roman" w:eastAsia="宋体" w:cs="Times New Roman"/>
                <w:bCs/>
                <w:sz w:val="28"/>
                <w:szCs w:val="21"/>
              </w:rPr>
              <w:t>预期效益：进一步提升我国在新能源开发利用方面的技术竞争力，发展新一代高效高功率密度的电机驱动系统，实现节能减排、降低成本和推动产业转型升级；相关装备的研发与产业化将驱动高新技术进步、区域经济扩张、就业增长，以及城市综合竞争力的显著提升。</w:t>
            </w:r>
          </w:p>
        </w:tc>
      </w:tr>
    </w:tbl>
    <w:p w14:paraId="2B14C6F6"/>
    <w:p w14:paraId="1C76D91A">
      <w:pPr>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br w:type="page"/>
      </w:r>
    </w:p>
    <w:p w14:paraId="4B9EB0AB">
      <w:pPr>
        <w:spacing w:before="65" w:line="224" w:lineRule="auto"/>
        <w:ind w:left="39"/>
        <w:rPr>
          <w:rFonts w:hint="default"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30</w:t>
      </w:r>
    </w:p>
    <w:p w14:paraId="0B66AF10">
      <w:pPr>
        <w:pStyle w:val="5"/>
        <w:widowControl w:val="0"/>
        <w:overflowPunct w:val="0"/>
        <w:autoSpaceDE w:val="0"/>
        <w:autoSpaceDN w:val="0"/>
        <w:adjustRightInd w:val="0"/>
        <w:snapToGrid w:val="0"/>
        <w:spacing w:before="120" w:beforeAutospacing="0" w:after="240" w:afterAutospacing="0" w:line="570" w:lineRule="exact"/>
        <w:jc w:val="center"/>
        <w:rPr>
          <w:rFonts w:hint="default" w:ascii="Times New Roman" w:hAnsi="Times New Roman" w:eastAsia="方正小标宋简体" w:cs="Times New Roman"/>
          <w:kern w:val="2"/>
          <w:sz w:val="44"/>
          <w:szCs w:val="44"/>
        </w:rPr>
      </w:pPr>
      <w:r>
        <w:rPr>
          <w:rFonts w:hint="default" w:ascii="Times New Roman" w:hAnsi="Times New Roman" w:eastAsia="方正小标宋简体" w:cs="Times New Roman"/>
          <w:kern w:val="2"/>
          <w:sz w:val="44"/>
          <w:szCs w:val="44"/>
          <w:lang w:val="en-US" w:eastAsia="zh-CN"/>
        </w:rPr>
        <w:t>202</w:t>
      </w:r>
      <w:r>
        <w:rPr>
          <w:rFonts w:hint="eastAsia" w:ascii="Times New Roman" w:hAnsi="Times New Roman" w:eastAsia="方正小标宋简体" w:cs="Times New Roman"/>
          <w:kern w:val="2"/>
          <w:sz w:val="44"/>
          <w:szCs w:val="44"/>
          <w:lang w:val="en-US" w:eastAsia="zh-CN"/>
        </w:rPr>
        <w:t>5</w:t>
      </w:r>
      <w:r>
        <w:rPr>
          <w:rFonts w:hint="default" w:ascii="Times New Roman" w:hAnsi="Times New Roman" w:eastAsia="方正小标宋简体" w:cs="Times New Roman"/>
          <w:kern w:val="2"/>
          <w:sz w:val="44"/>
          <w:szCs w:val="44"/>
          <w:lang w:val="en-US" w:eastAsia="zh-CN"/>
        </w:rPr>
        <w:t>年钟楼区“揭榜挂帅”</w:t>
      </w:r>
      <w:r>
        <w:rPr>
          <w:rFonts w:hint="eastAsia" w:ascii="Times New Roman" w:hAnsi="Times New Roman" w:eastAsia="方正小标宋简体" w:cs="Times New Roman"/>
          <w:kern w:val="2"/>
          <w:sz w:val="44"/>
          <w:szCs w:val="44"/>
          <w:lang w:val="en-US" w:eastAsia="zh-CN"/>
        </w:rPr>
        <w:t>应用场景</w:t>
      </w:r>
      <w:r>
        <w:rPr>
          <w:rFonts w:hint="default" w:ascii="Times New Roman" w:hAnsi="Times New Roman" w:eastAsia="方正小标宋简体" w:cs="Times New Roman"/>
          <w:kern w:val="2"/>
          <w:sz w:val="44"/>
          <w:szCs w:val="44"/>
          <w:lang w:val="en-US" w:eastAsia="zh-CN"/>
        </w:rPr>
        <w:t>成果征集表</w:t>
      </w:r>
    </w:p>
    <w:tbl>
      <w:tblPr>
        <w:tblStyle w:val="6"/>
        <w:tblW w:w="543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789"/>
        <w:gridCol w:w="3311"/>
        <w:gridCol w:w="1883"/>
        <w:gridCol w:w="2654"/>
      </w:tblGrid>
      <w:tr w14:paraId="338FE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709" w:type="dxa"/>
            <w:noWrap w:val="0"/>
            <w:vAlign w:val="center"/>
          </w:tcPr>
          <w:p w14:paraId="499B762C">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单位名称</w:t>
            </w:r>
          </w:p>
        </w:tc>
        <w:tc>
          <w:tcPr>
            <w:tcW w:w="3164" w:type="dxa"/>
            <w:noWrap w:val="0"/>
            <w:vAlign w:val="center"/>
          </w:tcPr>
          <w:p w14:paraId="3E2247DA">
            <w:pPr>
              <w:spacing w:line="320" w:lineRule="exact"/>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常州信息职业技术学院</w:t>
            </w:r>
          </w:p>
        </w:tc>
        <w:tc>
          <w:tcPr>
            <w:tcW w:w="1799" w:type="dxa"/>
            <w:noWrap w:val="0"/>
            <w:vAlign w:val="center"/>
          </w:tcPr>
          <w:p w14:paraId="6A926DB0">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统一社会信用代码</w:t>
            </w:r>
          </w:p>
        </w:tc>
        <w:tc>
          <w:tcPr>
            <w:tcW w:w="2364" w:type="dxa"/>
            <w:noWrap w:val="0"/>
            <w:vAlign w:val="center"/>
          </w:tcPr>
          <w:p w14:paraId="0990A810">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123200004660009699</w:t>
            </w:r>
          </w:p>
        </w:tc>
      </w:tr>
      <w:tr w14:paraId="67B99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09" w:type="dxa"/>
            <w:noWrap w:val="0"/>
            <w:vAlign w:val="center"/>
          </w:tcPr>
          <w:p w14:paraId="730D7B21">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地    址</w:t>
            </w:r>
          </w:p>
        </w:tc>
        <w:tc>
          <w:tcPr>
            <w:tcW w:w="3164" w:type="dxa"/>
            <w:noWrap w:val="0"/>
            <w:vAlign w:val="center"/>
          </w:tcPr>
          <w:p w14:paraId="276C190A">
            <w:pPr>
              <w:spacing w:line="320" w:lineRule="exact"/>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鸣新中路22号</w:t>
            </w:r>
          </w:p>
        </w:tc>
        <w:tc>
          <w:tcPr>
            <w:tcW w:w="1799" w:type="dxa"/>
            <w:noWrap w:val="0"/>
            <w:vAlign w:val="center"/>
          </w:tcPr>
          <w:p w14:paraId="44D65FE1">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联 系 人</w:t>
            </w:r>
          </w:p>
        </w:tc>
        <w:tc>
          <w:tcPr>
            <w:tcW w:w="2364" w:type="dxa"/>
            <w:noWrap w:val="0"/>
            <w:vAlign w:val="center"/>
          </w:tcPr>
          <w:p w14:paraId="10A58BD4">
            <w:pPr>
              <w:spacing w:line="320" w:lineRule="exact"/>
              <w:jc w:val="center"/>
              <w:rPr>
                <w:rFonts w:hint="eastAsia"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付天宇</w:t>
            </w:r>
          </w:p>
        </w:tc>
      </w:tr>
      <w:tr w14:paraId="49F86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09" w:type="dxa"/>
            <w:noWrap w:val="0"/>
            <w:vAlign w:val="center"/>
          </w:tcPr>
          <w:p w14:paraId="5CA118D1">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联系电话</w:t>
            </w:r>
          </w:p>
        </w:tc>
        <w:tc>
          <w:tcPr>
            <w:tcW w:w="3164" w:type="dxa"/>
            <w:noWrap w:val="0"/>
            <w:vAlign w:val="center"/>
          </w:tcPr>
          <w:p w14:paraId="3D5E127F">
            <w:pPr>
              <w:spacing w:line="320" w:lineRule="exact"/>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18845157250</w:t>
            </w:r>
          </w:p>
        </w:tc>
        <w:tc>
          <w:tcPr>
            <w:tcW w:w="1799" w:type="dxa"/>
            <w:noWrap w:val="0"/>
            <w:vAlign w:val="center"/>
          </w:tcPr>
          <w:p w14:paraId="24FF3A85">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电子邮件</w:t>
            </w:r>
          </w:p>
        </w:tc>
        <w:tc>
          <w:tcPr>
            <w:tcW w:w="2364" w:type="dxa"/>
            <w:noWrap w:val="0"/>
            <w:vAlign w:val="center"/>
          </w:tcPr>
          <w:p w14:paraId="1C6A26AC">
            <w:pPr>
              <w:spacing w:line="320" w:lineRule="exact"/>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827263230@qq.com</w:t>
            </w:r>
          </w:p>
        </w:tc>
      </w:tr>
      <w:tr w14:paraId="1E072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401" w:hRule="exact"/>
          <w:jc w:val="center"/>
        </w:trPr>
        <w:tc>
          <w:tcPr>
            <w:tcW w:w="1709" w:type="dxa"/>
            <w:noWrap w:val="0"/>
            <w:vAlign w:val="center"/>
          </w:tcPr>
          <w:p w14:paraId="5D5AD8FC">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所属领域</w:t>
            </w:r>
          </w:p>
        </w:tc>
        <w:tc>
          <w:tcPr>
            <w:tcW w:w="7327" w:type="dxa"/>
            <w:gridSpan w:val="3"/>
            <w:noWrap w:val="0"/>
            <w:vAlign w:val="center"/>
          </w:tcPr>
          <w:p w14:paraId="2CDBB6BC">
            <w:pPr>
              <w:spacing w:line="320" w:lineRule="exact"/>
              <w:jc w:val="left"/>
              <w:rPr>
                <w:rFonts w:hint="default" w:ascii="Times New Roman" w:hAnsi="Times New Roman" w:eastAsia="宋体" w:cs="Times New Roman"/>
                <w:bCs/>
                <w:sz w:val="28"/>
                <w:szCs w:val="21"/>
                <w:lang w:val="en-US" w:eastAsia="zh-CN"/>
              </w:rPr>
            </w:pPr>
            <w:r>
              <w:rPr>
                <w:rFonts w:hint="default" w:ascii="Times New Roman" w:hAnsi="Times New Roman" w:eastAsia="宋体" w:cs="Times New Roman"/>
                <w:bCs/>
                <w:sz w:val="28"/>
                <w:szCs w:val="21"/>
                <w:lang w:eastAsia="zh-CN"/>
              </w:rPr>
              <w:t>□人工智能</w:t>
            </w:r>
            <w:r>
              <w:rPr>
                <w:rFonts w:hint="eastAsia" w:ascii="Times New Roman" w:hAnsi="Times New Roman" w:eastAsia="宋体" w:cs="Times New Roman"/>
                <w:b/>
                <w:bCs w:val="0"/>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数字经济</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rPr>
              <w:t xml:space="preserve"> □</w:t>
            </w:r>
            <w:r>
              <w:rPr>
                <w:rFonts w:hint="eastAsia" w:ascii="Times New Roman" w:hAnsi="Times New Roman" w:eastAsia="宋体" w:cs="Times New Roman"/>
                <w:bCs/>
                <w:sz w:val="28"/>
                <w:szCs w:val="21"/>
                <w:lang w:eastAsia="zh-CN"/>
              </w:rPr>
              <w:t>先进半导体</w:t>
            </w:r>
            <w:r>
              <w:rPr>
                <w:rFonts w:hint="eastAsia" w:ascii="Times New Roman" w:hAnsi="Times New Roman" w:eastAsia="宋体" w:cs="Times New Roman"/>
                <w:bCs/>
                <w:sz w:val="28"/>
                <w:szCs w:val="21"/>
                <w:lang w:val="en-US" w:eastAsia="zh-CN"/>
              </w:rPr>
              <w:t xml:space="preserve">   </w:t>
            </w:r>
            <w:r>
              <w:rPr>
                <w:rFonts w:hint="eastAsia" w:ascii="Times New Roman" w:hAnsi="Times New Roman" w:eastAsia="宋体" w:cs="Times New Roman"/>
                <w:bCs/>
                <w:sz w:val="28"/>
                <w:szCs w:val="21"/>
                <w:lang w:eastAsia="zh-CN"/>
              </w:rPr>
              <w:t>☑</w:t>
            </w:r>
            <w:r>
              <w:rPr>
                <w:rFonts w:hint="default" w:ascii="Times New Roman" w:hAnsi="Times New Roman" w:eastAsia="宋体" w:cs="Times New Roman"/>
                <w:bCs/>
                <w:sz w:val="28"/>
                <w:szCs w:val="21"/>
              </w:rPr>
              <w:t>新</w:t>
            </w:r>
            <w:r>
              <w:rPr>
                <w:rFonts w:hint="eastAsia" w:ascii="Times New Roman" w:hAnsi="Times New Roman" w:eastAsia="宋体" w:cs="Times New Roman"/>
                <w:bCs/>
                <w:sz w:val="28"/>
                <w:szCs w:val="21"/>
                <w:lang w:eastAsia="zh-CN"/>
              </w:rPr>
              <w:t>材料</w:t>
            </w:r>
            <w:r>
              <w:rPr>
                <w:rFonts w:hint="default" w:ascii="Times New Roman" w:hAnsi="Times New Roman" w:eastAsia="宋体" w:cs="Times New Roman"/>
                <w:bCs/>
                <w:sz w:val="28"/>
                <w:szCs w:val="21"/>
              </w:rPr>
              <w:t xml:space="preserve"> </w:t>
            </w:r>
          </w:p>
          <w:p w14:paraId="452C4E63">
            <w:pPr>
              <w:spacing w:line="320" w:lineRule="exact"/>
              <w:jc w:val="left"/>
              <w:rPr>
                <w:rFonts w:hint="default" w:ascii="Times New Roman" w:hAnsi="Times New Roman" w:eastAsia="宋体" w:cs="Times New Roman"/>
                <w:bCs/>
                <w:sz w:val="28"/>
                <w:szCs w:val="21"/>
                <w:lang w:val="en-US"/>
              </w:rPr>
            </w:pP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新型储能</w:t>
            </w:r>
            <w:r>
              <w:rPr>
                <w:rFonts w:hint="default" w:ascii="Times New Roman" w:hAnsi="Times New Roman" w:eastAsia="宋体" w:cs="Times New Roman"/>
                <w:bCs/>
                <w:sz w:val="28"/>
                <w:szCs w:val="21"/>
              </w:rPr>
              <w:t xml:space="preserve"> </w:t>
            </w:r>
            <w:r>
              <w:rPr>
                <w:rFonts w:hint="default" w:ascii="Times New Roman" w:hAnsi="Times New Roman" w:eastAsia="宋体" w:cs="Times New Roman"/>
                <w:bCs/>
                <w:sz w:val="28"/>
                <w:szCs w:val="21"/>
                <w:lang w:val="en-US" w:eastAsia="zh-CN"/>
              </w:rPr>
              <w:t xml:space="preserve">   </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合成生物</w:t>
            </w:r>
            <w:r>
              <w:rPr>
                <w:rFonts w:hint="default" w:ascii="Times New Roman" w:hAnsi="Times New Roman" w:eastAsia="宋体" w:cs="Times New Roman"/>
                <w:bCs/>
                <w:sz w:val="28"/>
                <w:szCs w:val="21"/>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新能源汽车</w:t>
            </w:r>
            <w:r>
              <w:rPr>
                <w:rFonts w:hint="eastAsia" w:ascii="Times New Roman" w:hAnsi="Times New Roman" w:eastAsia="宋体" w:cs="Times New Roman"/>
                <w:bCs/>
                <w:sz w:val="28"/>
                <w:szCs w:val="21"/>
                <w:lang w:val="en-US" w:eastAsia="zh-CN"/>
              </w:rPr>
              <w:t xml:space="preserve">   </w:t>
            </w: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循环制造</w:t>
            </w:r>
          </w:p>
          <w:p w14:paraId="7057987D">
            <w:pPr>
              <w:spacing w:line="320" w:lineRule="exact"/>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lang w:eastAsia="zh-CN"/>
              </w:rPr>
              <w:t>□</w:t>
            </w:r>
            <w:r>
              <w:rPr>
                <w:rFonts w:hint="eastAsia" w:ascii="Times New Roman" w:hAnsi="Times New Roman" w:eastAsia="宋体" w:cs="Times New Roman"/>
                <w:bCs/>
                <w:sz w:val="28"/>
                <w:szCs w:val="21"/>
                <w:lang w:eastAsia="zh-CN"/>
              </w:rPr>
              <w:t>新一代信息技术</w:t>
            </w:r>
            <w:r>
              <w:rPr>
                <w:rFonts w:hint="eastAsia" w:ascii="Times New Roman" w:hAnsi="Times New Roman" w:eastAsia="宋体" w:cs="Times New Roman"/>
                <w:bCs/>
                <w:sz w:val="28"/>
                <w:szCs w:val="21"/>
                <w:lang w:val="en-US" w:eastAsia="zh-CN"/>
              </w:rPr>
              <w:t xml:space="preserve">     </w:t>
            </w:r>
            <w:r>
              <w:rPr>
                <w:rFonts w:hint="eastAsia" w:ascii="Times New Roman" w:hAnsi="Times New Roman" w:eastAsia="宋体" w:cs="Times New Roman"/>
                <w:bCs/>
                <w:sz w:val="28"/>
                <w:szCs w:val="21"/>
                <w:lang w:eastAsia="zh-CN"/>
              </w:rPr>
              <w:t>☑高端装备</w:t>
            </w:r>
          </w:p>
        </w:tc>
      </w:tr>
      <w:tr w14:paraId="459AE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09" w:type="dxa"/>
            <w:noWrap w:val="0"/>
            <w:vAlign w:val="center"/>
          </w:tcPr>
          <w:p w14:paraId="58CA58D9">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榜额</w:t>
            </w:r>
          </w:p>
        </w:tc>
        <w:tc>
          <w:tcPr>
            <w:tcW w:w="7327" w:type="dxa"/>
            <w:gridSpan w:val="3"/>
            <w:noWrap w:val="0"/>
            <w:vAlign w:val="center"/>
          </w:tcPr>
          <w:p w14:paraId="38B1FDC8">
            <w:pPr>
              <w:spacing w:line="320" w:lineRule="exact"/>
              <w:ind w:left="160" w:leftChars="50"/>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150万元</w:t>
            </w:r>
          </w:p>
        </w:tc>
      </w:tr>
      <w:tr w14:paraId="4F6A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08" w:hRule="exact"/>
          <w:jc w:val="center"/>
        </w:trPr>
        <w:tc>
          <w:tcPr>
            <w:tcW w:w="1709" w:type="dxa"/>
            <w:noWrap w:val="0"/>
            <w:vAlign w:val="center"/>
          </w:tcPr>
          <w:p w14:paraId="2E4F96CC">
            <w:pPr>
              <w:spacing w:line="320" w:lineRule="exact"/>
              <w:jc w:val="center"/>
              <w:rPr>
                <w:rFonts w:hint="default" w:ascii="Times New Roman" w:hAnsi="Times New Roman" w:eastAsia="宋体" w:cs="Times New Roman"/>
                <w:bCs/>
                <w:sz w:val="28"/>
                <w:szCs w:val="21"/>
              </w:rPr>
            </w:pPr>
            <w:r>
              <w:rPr>
                <w:rFonts w:hint="eastAsia" w:ascii="Times New Roman" w:hAnsi="Times New Roman" w:eastAsia="宋体" w:cs="Times New Roman"/>
                <w:bCs/>
                <w:sz w:val="28"/>
                <w:szCs w:val="21"/>
                <w:lang w:eastAsia="zh-CN"/>
              </w:rPr>
              <w:t>场景</w:t>
            </w:r>
            <w:r>
              <w:rPr>
                <w:rFonts w:hint="default" w:ascii="Times New Roman" w:hAnsi="Times New Roman" w:eastAsia="宋体" w:cs="Times New Roman"/>
                <w:bCs/>
                <w:sz w:val="28"/>
                <w:szCs w:val="21"/>
              </w:rPr>
              <w:t>成果名称</w:t>
            </w:r>
          </w:p>
        </w:tc>
        <w:tc>
          <w:tcPr>
            <w:tcW w:w="7327" w:type="dxa"/>
            <w:gridSpan w:val="3"/>
            <w:noWrap w:val="0"/>
            <w:vAlign w:val="center"/>
          </w:tcPr>
          <w:p w14:paraId="35104609">
            <w:pPr>
              <w:spacing w:line="320" w:lineRule="exact"/>
              <w:jc w:val="center"/>
              <w:rPr>
                <w:rFonts w:hint="default" w:ascii="Times New Roman" w:hAnsi="Times New Roman" w:eastAsia="宋体" w:cs="Times New Roman"/>
                <w:bCs/>
                <w:sz w:val="28"/>
                <w:szCs w:val="21"/>
                <w:lang w:val="en-US" w:eastAsia="zh-CN"/>
              </w:rPr>
            </w:pPr>
            <w:r>
              <w:rPr>
                <w:rFonts w:hint="eastAsia" w:ascii="Times New Roman" w:hAnsi="Times New Roman" w:eastAsia="宋体" w:cs="Times New Roman"/>
                <w:bCs/>
                <w:sz w:val="28"/>
                <w:szCs w:val="21"/>
                <w:lang w:val="en-US" w:eastAsia="zh-CN"/>
              </w:rPr>
              <w:t>磁-气双效耦合加热的碳纤维复合材料固体发动机内固化原位成型技术</w:t>
            </w:r>
          </w:p>
        </w:tc>
      </w:tr>
      <w:tr w14:paraId="1D95C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6" w:hRule="exact"/>
          <w:jc w:val="center"/>
        </w:trPr>
        <w:tc>
          <w:tcPr>
            <w:tcW w:w="1709" w:type="dxa"/>
            <w:noWrap w:val="0"/>
            <w:vAlign w:val="center"/>
          </w:tcPr>
          <w:p w14:paraId="6BF7F235">
            <w:pPr>
              <w:spacing w:line="320" w:lineRule="exact"/>
              <w:jc w:val="center"/>
              <w:rPr>
                <w:rFonts w:hint="default" w:ascii="Times New Roman" w:hAnsi="Times New Roman" w:eastAsia="宋体" w:cs="Times New Roman"/>
                <w:bCs/>
                <w:sz w:val="28"/>
                <w:szCs w:val="21"/>
              </w:rPr>
            </w:pPr>
            <w:r>
              <w:rPr>
                <w:rFonts w:hint="default" w:ascii="Times New Roman" w:hAnsi="Times New Roman" w:eastAsia="宋体" w:cs="Times New Roman"/>
                <w:bCs/>
                <w:sz w:val="28"/>
                <w:szCs w:val="21"/>
              </w:rPr>
              <w:t>成果简介</w:t>
            </w:r>
          </w:p>
        </w:tc>
        <w:tc>
          <w:tcPr>
            <w:tcW w:w="7327" w:type="dxa"/>
            <w:gridSpan w:val="3"/>
            <w:noWrap w:val="0"/>
            <w:vAlign w:val="top"/>
          </w:tcPr>
          <w:p w14:paraId="7098CA6D">
            <w:pPr>
              <w:spacing w:line="320" w:lineRule="exact"/>
              <w:rPr>
                <w:rFonts w:hint="default" w:ascii="Times New Roman" w:hAnsi="Times New Roman" w:eastAsia="宋体" w:cs="Times New Roman"/>
                <w:bCs/>
                <w:sz w:val="28"/>
                <w:szCs w:val="21"/>
              </w:rPr>
            </w:pPr>
          </w:p>
          <w:p w14:paraId="6414FB7B">
            <w:pPr>
              <w:ind w:firstLine="560" w:firstLineChars="200"/>
              <w:rPr>
                <w:rFonts w:hint="eastAsia"/>
                <w:lang w:val="en-US" w:eastAsia="zh-CN"/>
              </w:rPr>
            </w:pPr>
            <w:r>
              <w:rPr>
                <w:rFonts w:hint="eastAsia" w:ascii="Times New Roman" w:hAnsi="Times New Roman" w:eastAsia="宋体" w:cs="Times New Roman"/>
                <w:bCs/>
                <w:sz w:val="28"/>
                <w:szCs w:val="21"/>
                <w:lang w:val="en-US" w:eastAsia="zh-CN"/>
              </w:rPr>
              <w:t>磁-气双效耦合加热的碳纤维复合材料固体发动机内固化原位成型技术属国内首创，此技术可使固体发动机在缠绕过程中直接完成加热固化成型，大幅缩短制造周期并提升材料性能均匀性。通过磁场与气流的协同调控，实现对复杂结构内部温度场的精准控制，可有效增加壳体内部纤维体积含量。目前，该技术已与航天科工六院 359 厂达成项目合作，主要应用在导弹固体火箭发动机的原位固化成型工艺中。同时，该技术也适用于火箭固体发动机以及大型回转体复合材料结构件的制造。</w:t>
            </w:r>
          </w:p>
          <w:p w14:paraId="2865161E">
            <w:pPr>
              <w:spacing w:line="320" w:lineRule="exact"/>
              <w:rPr>
                <w:rFonts w:hint="default" w:ascii="Times New Roman" w:hAnsi="Times New Roman" w:eastAsia="宋体" w:cs="Times New Roman"/>
                <w:bCs/>
                <w:sz w:val="28"/>
                <w:szCs w:val="21"/>
              </w:rPr>
            </w:pPr>
          </w:p>
          <w:p w14:paraId="70746FFB">
            <w:pPr>
              <w:spacing w:line="320" w:lineRule="exact"/>
              <w:rPr>
                <w:rFonts w:hint="default" w:ascii="Times New Roman" w:hAnsi="Times New Roman" w:eastAsia="宋体" w:cs="Times New Roman"/>
                <w:bCs/>
                <w:sz w:val="28"/>
                <w:szCs w:val="21"/>
              </w:rPr>
            </w:pPr>
          </w:p>
        </w:tc>
      </w:tr>
    </w:tbl>
    <w:p w14:paraId="468DF030">
      <w:pPr>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br w:type="page"/>
      </w:r>
    </w:p>
    <w:p w14:paraId="707463B3">
      <w:pPr>
        <w:spacing w:before="65" w:line="224" w:lineRule="auto"/>
        <w:ind w:left="39"/>
        <w:rPr>
          <w:rFonts w:hint="default"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31</w:t>
      </w:r>
    </w:p>
    <w:p w14:paraId="072A7159">
      <w:pPr>
        <w:pStyle w:val="5"/>
        <w:widowControl w:val="0"/>
        <w:overflowPunct w:val="0"/>
        <w:autoSpaceDE w:val="0"/>
        <w:autoSpaceDN w:val="0"/>
        <w:adjustRightInd w:val="0"/>
        <w:snapToGrid w:val="0"/>
        <w:spacing w:before="120" w:beforeAutospacing="0" w:after="240" w:afterAutospacing="0" w:line="570" w:lineRule="exact"/>
        <w:jc w:val="center"/>
        <w:rPr>
          <w:rFonts w:ascii="Times New Roman" w:hAnsi="Times New Roman" w:eastAsia="方正小标宋简体"/>
          <w:kern w:val="2"/>
          <w:sz w:val="44"/>
          <w:szCs w:val="44"/>
        </w:rPr>
      </w:pPr>
      <w:r>
        <w:rPr>
          <w:rFonts w:ascii="Times New Roman" w:hAnsi="Times New Roman" w:eastAsia="方正小标宋简体"/>
          <w:kern w:val="2"/>
          <w:sz w:val="44"/>
          <w:szCs w:val="44"/>
        </w:rPr>
        <w:t>202</w:t>
      </w:r>
      <w:r>
        <w:rPr>
          <w:rFonts w:hint="eastAsia" w:ascii="Times New Roman" w:hAnsi="Times New Roman" w:eastAsia="方正小标宋简体"/>
          <w:kern w:val="2"/>
          <w:sz w:val="44"/>
          <w:szCs w:val="44"/>
        </w:rPr>
        <w:t>5</w:t>
      </w:r>
      <w:r>
        <w:rPr>
          <w:rFonts w:ascii="Times New Roman" w:hAnsi="Times New Roman" w:eastAsia="方正小标宋简体"/>
          <w:kern w:val="2"/>
          <w:sz w:val="44"/>
          <w:szCs w:val="44"/>
        </w:rPr>
        <w:t>年钟楼区“揭榜挂帅”</w:t>
      </w:r>
      <w:r>
        <w:rPr>
          <w:rFonts w:hint="eastAsia" w:ascii="Times New Roman" w:hAnsi="Times New Roman" w:eastAsia="方正小标宋简体"/>
          <w:kern w:val="2"/>
          <w:sz w:val="44"/>
          <w:szCs w:val="44"/>
        </w:rPr>
        <w:t>应用场景</w:t>
      </w:r>
      <w:r>
        <w:rPr>
          <w:rFonts w:ascii="Times New Roman" w:hAnsi="Times New Roman" w:eastAsia="方正小标宋简体"/>
          <w:kern w:val="2"/>
          <w:sz w:val="44"/>
          <w:szCs w:val="44"/>
        </w:rPr>
        <w:t>成果征集表</w:t>
      </w:r>
    </w:p>
    <w:tbl>
      <w:tblPr>
        <w:tblStyle w:val="6"/>
        <w:tblW w:w="1043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701"/>
        <w:gridCol w:w="2380"/>
        <w:gridCol w:w="2921"/>
        <w:gridCol w:w="3434"/>
      </w:tblGrid>
      <w:tr w14:paraId="5E7312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1701" w:type="dxa"/>
            <w:vAlign w:val="center"/>
          </w:tcPr>
          <w:p w14:paraId="10E87E6D">
            <w:pPr>
              <w:spacing w:line="320" w:lineRule="exact"/>
              <w:jc w:val="center"/>
              <w:rPr>
                <w:rFonts w:ascii="Times New Roman" w:hAnsi="Times New Roman" w:eastAsia="宋体" w:cs="Times New Roman"/>
                <w:bCs/>
                <w:sz w:val="28"/>
                <w:szCs w:val="28"/>
              </w:rPr>
            </w:pPr>
            <w:r>
              <w:rPr>
                <w:rFonts w:ascii="Times New Roman" w:hAnsi="Times New Roman" w:eastAsia="宋体" w:cs="Times New Roman"/>
                <w:bCs/>
                <w:sz w:val="28"/>
                <w:szCs w:val="28"/>
              </w:rPr>
              <w:t>单位名称</w:t>
            </w:r>
          </w:p>
        </w:tc>
        <w:tc>
          <w:tcPr>
            <w:tcW w:w="2380" w:type="dxa"/>
            <w:vAlign w:val="center"/>
          </w:tcPr>
          <w:p w14:paraId="691B6027">
            <w:pPr>
              <w:spacing w:line="320" w:lineRule="exact"/>
              <w:jc w:val="center"/>
              <w:rPr>
                <w:rFonts w:ascii="Times New Roman" w:hAnsi="Times New Roman" w:eastAsia="宋体" w:cs="Times New Roman"/>
                <w:bCs/>
                <w:sz w:val="28"/>
                <w:szCs w:val="28"/>
              </w:rPr>
            </w:pPr>
            <w:r>
              <w:rPr>
                <w:rFonts w:hint="eastAsia" w:ascii="Times New Roman" w:hAnsi="Times New Roman" w:eastAsia="宋体" w:cs="Times New Roman"/>
                <w:bCs/>
                <w:sz w:val="28"/>
                <w:szCs w:val="28"/>
              </w:rPr>
              <w:t>常州信息职业技术学院</w:t>
            </w:r>
          </w:p>
        </w:tc>
        <w:tc>
          <w:tcPr>
            <w:tcW w:w="2921" w:type="dxa"/>
            <w:vAlign w:val="center"/>
          </w:tcPr>
          <w:p w14:paraId="036C50BC">
            <w:pPr>
              <w:spacing w:line="320" w:lineRule="exact"/>
              <w:jc w:val="center"/>
              <w:rPr>
                <w:rFonts w:ascii="Times New Roman" w:hAnsi="Times New Roman" w:eastAsia="宋体" w:cs="Times New Roman"/>
                <w:bCs/>
                <w:sz w:val="28"/>
                <w:szCs w:val="28"/>
              </w:rPr>
            </w:pPr>
            <w:r>
              <w:rPr>
                <w:rFonts w:ascii="Times New Roman" w:hAnsi="Times New Roman" w:eastAsia="宋体" w:cs="Times New Roman"/>
                <w:bCs/>
                <w:sz w:val="28"/>
                <w:szCs w:val="28"/>
              </w:rPr>
              <w:t>统一社会信用代码</w:t>
            </w:r>
          </w:p>
        </w:tc>
        <w:tc>
          <w:tcPr>
            <w:tcW w:w="3434" w:type="dxa"/>
            <w:vAlign w:val="center"/>
          </w:tcPr>
          <w:p w14:paraId="0F9EB12A">
            <w:pPr>
              <w:spacing w:line="320" w:lineRule="exact"/>
              <w:jc w:val="center"/>
              <w:rPr>
                <w:rFonts w:hint="default"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123200004660009699</w:t>
            </w:r>
          </w:p>
        </w:tc>
      </w:tr>
      <w:tr w14:paraId="189BEF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exact"/>
          <w:jc w:val="center"/>
        </w:trPr>
        <w:tc>
          <w:tcPr>
            <w:tcW w:w="1701" w:type="dxa"/>
            <w:vAlign w:val="center"/>
          </w:tcPr>
          <w:p w14:paraId="494BC164">
            <w:pPr>
              <w:spacing w:line="320" w:lineRule="exact"/>
              <w:jc w:val="center"/>
              <w:rPr>
                <w:rFonts w:ascii="Times New Roman" w:hAnsi="Times New Roman" w:eastAsia="宋体" w:cs="Times New Roman"/>
                <w:bCs/>
                <w:sz w:val="28"/>
                <w:szCs w:val="28"/>
              </w:rPr>
            </w:pPr>
            <w:r>
              <w:rPr>
                <w:rFonts w:ascii="Times New Roman" w:hAnsi="Times New Roman" w:eastAsia="宋体" w:cs="Times New Roman"/>
                <w:bCs/>
                <w:sz w:val="28"/>
                <w:szCs w:val="28"/>
              </w:rPr>
              <w:t>地    址</w:t>
            </w:r>
          </w:p>
        </w:tc>
        <w:tc>
          <w:tcPr>
            <w:tcW w:w="2380" w:type="dxa"/>
            <w:vAlign w:val="center"/>
          </w:tcPr>
          <w:p w14:paraId="771D6E97">
            <w:pPr>
              <w:spacing w:line="320" w:lineRule="exact"/>
              <w:jc w:val="center"/>
              <w:rPr>
                <w:rFonts w:hint="eastAsia" w:ascii="Times New Roman" w:hAnsi="Times New Roman" w:eastAsia="宋体" w:cs="Times New Roman"/>
                <w:bCs/>
                <w:sz w:val="28"/>
                <w:szCs w:val="28"/>
              </w:rPr>
            </w:pPr>
            <w:r>
              <w:rPr>
                <w:rFonts w:hint="eastAsia" w:ascii="Times New Roman" w:hAnsi="Times New Roman" w:eastAsia="宋体" w:cs="Times New Roman"/>
                <w:bCs/>
                <w:sz w:val="28"/>
                <w:szCs w:val="21"/>
              </w:rPr>
              <w:t>江苏省常州市武进区鸣新中路22号</w:t>
            </w:r>
          </w:p>
        </w:tc>
        <w:tc>
          <w:tcPr>
            <w:tcW w:w="2921" w:type="dxa"/>
            <w:vAlign w:val="center"/>
          </w:tcPr>
          <w:p w14:paraId="1A26FDA7">
            <w:pPr>
              <w:spacing w:line="320" w:lineRule="exact"/>
              <w:jc w:val="center"/>
              <w:rPr>
                <w:rFonts w:ascii="Times New Roman" w:hAnsi="Times New Roman" w:eastAsia="宋体" w:cs="Times New Roman"/>
                <w:bCs/>
                <w:sz w:val="28"/>
                <w:szCs w:val="28"/>
              </w:rPr>
            </w:pPr>
            <w:r>
              <w:rPr>
                <w:rFonts w:ascii="Times New Roman" w:hAnsi="Times New Roman" w:eastAsia="宋体" w:cs="Times New Roman"/>
                <w:bCs/>
                <w:sz w:val="28"/>
                <w:szCs w:val="28"/>
              </w:rPr>
              <w:t>联 系 人</w:t>
            </w:r>
          </w:p>
        </w:tc>
        <w:tc>
          <w:tcPr>
            <w:tcW w:w="3434" w:type="dxa"/>
            <w:vAlign w:val="center"/>
          </w:tcPr>
          <w:p w14:paraId="2815CCF6">
            <w:pPr>
              <w:spacing w:line="320" w:lineRule="exact"/>
              <w:jc w:val="center"/>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钱一凡</w:t>
            </w:r>
          </w:p>
        </w:tc>
      </w:tr>
      <w:tr w14:paraId="635B8F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exact"/>
          <w:jc w:val="center"/>
        </w:trPr>
        <w:tc>
          <w:tcPr>
            <w:tcW w:w="1701" w:type="dxa"/>
            <w:vAlign w:val="center"/>
          </w:tcPr>
          <w:p w14:paraId="4D061804">
            <w:pPr>
              <w:spacing w:line="320" w:lineRule="exact"/>
              <w:jc w:val="center"/>
              <w:rPr>
                <w:rFonts w:ascii="Times New Roman" w:hAnsi="Times New Roman" w:eastAsia="宋体" w:cs="Times New Roman"/>
                <w:bCs/>
                <w:sz w:val="28"/>
                <w:szCs w:val="28"/>
              </w:rPr>
            </w:pPr>
            <w:r>
              <w:rPr>
                <w:rFonts w:ascii="Times New Roman" w:hAnsi="Times New Roman" w:eastAsia="宋体" w:cs="Times New Roman"/>
                <w:bCs/>
                <w:sz w:val="28"/>
                <w:szCs w:val="28"/>
              </w:rPr>
              <w:t>联系电话</w:t>
            </w:r>
          </w:p>
        </w:tc>
        <w:tc>
          <w:tcPr>
            <w:tcW w:w="2380" w:type="dxa"/>
            <w:vAlign w:val="center"/>
          </w:tcPr>
          <w:p w14:paraId="2B271831">
            <w:pPr>
              <w:spacing w:line="320" w:lineRule="exact"/>
              <w:jc w:val="center"/>
              <w:rPr>
                <w:rFonts w:hint="eastAsia" w:ascii="Times New Roman" w:hAnsi="Times New Roman" w:eastAsia="宋体" w:cs="Times New Roman"/>
                <w:bCs/>
                <w:sz w:val="28"/>
                <w:szCs w:val="28"/>
              </w:rPr>
            </w:pPr>
            <w:r>
              <w:rPr>
                <w:rFonts w:hint="eastAsia" w:ascii="Times New Roman" w:hAnsi="Times New Roman" w:eastAsia="宋体" w:cs="Times New Roman"/>
                <w:bCs/>
                <w:sz w:val="28"/>
                <w:szCs w:val="28"/>
              </w:rPr>
              <w:t>13776567995</w:t>
            </w:r>
          </w:p>
        </w:tc>
        <w:tc>
          <w:tcPr>
            <w:tcW w:w="2921" w:type="dxa"/>
            <w:vAlign w:val="center"/>
          </w:tcPr>
          <w:p w14:paraId="72F53E13">
            <w:pPr>
              <w:spacing w:line="320" w:lineRule="exact"/>
              <w:jc w:val="center"/>
              <w:rPr>
                <w:rFonts w:ascii="Times New Roman" w:hAnsi="Times New Roman" w:eastAsia="宋体" w:cs="Times New Roman"/>
                <w:bCs/>
                <w:sz w:val="28"/>
                <w:szCs w:val="28"/>
              </w:rPr>
            </w:pPr>
            <w:r>
              <w:rPr>
                <w:rFonts w:ascii="Times New Roman" w:hAnsi="Times New Roman" w:eastAsia="宋体" w:cs="Times New Roman"/>
                <w:bCs/>
                <w:sz w:val="28"/>
                <w:szCs w:val="28"/>
              </w:rPr>
              <w:t>电子邮件</w:t>
            </w:r>
          </w:p>
        </w:tc>
        <w:tc>
          <w:tcPr>
            <w:tcW w:w="3434" w:type="dxa"/>
            <w:vAlign w:val="center"/>
          </w:tcPr>
          <w:p w14:paraId="3020446E">
            <w:pPr>
              <w:spacing w:line="320" w:lineRule="exact"/>
              <w:jc w:val="center"/>
              <w:rPr>
                <w:rFonts w:hint="eastAsia" w:ascii="Times New Roman" w:hAnsi="Times New Roman" w:eastAsia="宋体" w:cs="Times New Roman"/>
                <w:bCs/>
                <w:sz w:val="28"/>
                <w:szCs w:val="28"/>
              </w:rPr>
            </w:pPr>
            <w:r>
              <w:rPr>
                <w:rFonts w:hint="eastAsia" w:ascii="Times New Roman" w:hAnsi="Times New Roman" w:eastAsia="宋体" w:cs="Times New Roman"/>
                <w:bCs/>
                <w:sz w:val="28"/>
                <w:szCs w:val="28"/>
              </w:rPr>
              <w:t>qianyifan@czcit.edu.cn</w:t>
            </w:r>
          </w:p>
        </w:tc>
      </w:tr>
      <w:tr w14:paraId="20C6EF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01" w:hRule="exact"/>
          <w:jc w:val="center"/>
        </w:trPr>
        <w:tc>
          <w:tcPr>
            <w:tcW w:w="1701" w:type="dxa"/>
            <w:vAlign w:val="center"/>
          </w:tcPr>
          <w:p w14:paraId="5ECF14A3">
            <w:pPr>
              <w:spacing w:line="320" w:lineRule="exact"/>
              <w:jc w:val="center"/>
              <w:rPr>
                <w:rFonts w:ascii="Times New Roman" w:hAnsi="Times New Roman" w:eastAsia="宋体" w:cs="Times New Roman"/>
                <w:bCs/>
                <w:sz w:val="28"/>
                <w:szCs w:val="28"/>
              </w:rPr>
            </w:pPr>
            <w:r>
              <w:rPr>
                <w:rFonts w:ascii="Times New Roman" w:hAnsi="Times New Roman" w:eastAsia="宋体" w:cs="Times New Roman"/>
                <w:bCs/>
                <w:sz w:val="28"/>
                <w:szCs w:val="28"/>
              </w:rPr>
              <w:t>所属领域</w:t>
            </w:r>
          </w:p>
        </w:tc>
        <w:tc>
          <w:tcPr>
            <w:tcW w:w="8735" w:type="dxa"/>
            <w:gridSpan w:val="3"/>
            <w:vAlign w:val="center"/>
          </w:tcPr>
          <w:p w14:paraId="445F9D78">
            <w:pPr>
              <w:spacing w:line="320" w:lineRule="exact"/>
              <w:jc w:val="left"/>
              <w:rPr>
                <w:rFonts w:ascii="Times New Roman" w:hAnsi="Times New Roman" w:eastAsia="宋体" w:cs="Times New Roman"/>
                <w:bCs/>
                <w:sz w:val="28"/>
                <w:szCs w:val="28"/>
              </w:rPr>
            </w:pPr>
            <w:r>
              <w:rPr>
                <w:rFonts w:ascii="Times New Roman" w:hAnsi="Times New Roman" w:eastAsia="宋体" w:cs="Times New Roman"/>
                <w:bCs/>
                <w:sz w:val="28"/>
                <w:szCs w:val="28"/>
              </w:rPr>
              <w:t>□人工智能</w:t>
            </w:r>
            <w:r>
              <w:rPr>
                <w:rFonts w:hint="eastAsia" w:ascii="Times New Roman" w:hAnsi="Times New Roman" w:eastAsia="宋体" w:cs="Times New Roman"/>
                <w:b/>
                <w:sz w:val="28"/>
                <w:szCs w:val="28"/>
              </w:rPr>
              <w:t xml:space="preserve">     </w:t>
            </w:r>
            <w:r>
              <w:rPr>
                <w:rFonts w:ascii="Times New Roman" w:hAnsi="Times New Roman" w:eastAsia="宋体" w:cs="Times New Roman"/>
                <w:bCs/>
                <w:sz w:val="28"/>
                <w:szCs w:val="28"/>
              </w:rPr>
              <w:t>□</w:t>
            </w:r>
            <w:r>
              <w:rPr>
                <w:rFonts w:hint="eastAsia" w:ascii="Times New Roman" w:hAnsi="Times New Roman" w:eastAsia="宋体" w:cs="Times New Roman"/>
                <w:bCs/>
                <w:sz w:val="28"/>
                <w:szCs w:val="28"/>
              </w:rPr>
              <w:t xml:space="preserve">数字经济   </w:t>
            </w:r>
            <w:r>
              <w:rPr>
                <w:rFonts w:ascii="Times New Roman" w:hAnsi="Times New Roman" w:eastAsia="宋体" w:cs="Times New Roman"/>
                <w:bCs/>
                <w:sz w:val="28"/>
                <w:szCs w:val="28"/>
              </w:rPr>
              <w:t xml:space="preserve"> □</w:t>
            </w:r>
            <w:r>
              <w:rPr>
                <w:rFonts w:hint="eastAsia" w:ascii="Times New Roman" w:hAnsi="Times New Roman" w:eastAsia="宋体" w:cs="Times New Roman"/>
                <w:bCs/>
                <w:sz w:val="28"/>
                <w:szCs w:val="28"/>
              </w:rPr>
              <w:t xml:space="preserve">先进半导体   </w:t>
            </w:r>
            <w:r>
              <w:rPr>
                <w:rFonts w:ascii="Times New Roman" w:hAnsi="Times New Roman" w:eastAsia="宋体" w:cs="Times New Roman"/>
                <w:bCs/>
                <w:sz w:val="28"/>
                <w:szCs w:val="28"/>
              </w:rPr>
              <w:t>□新</w:t>
            </w:r>
            <w:r>
              <w:rPr>
                <w:rFonts w:hint="eastAsia" w:ascii="Times New Roman" w:hAnsi="Times New Roman" w:eastAsia="宋体" w:cs="Times New Roman"/>
                <w:bCs/>
                <w:sz w:val="28"/>
                <w:szCs w:val="28"/>
              </w:rPr>
              <w:t>材料</w:t>
            </w:r>
            <w:r>
              <w:rPr>
                <w:rFonts w:ascii="Times New Roman" w:hAnsi="Times New Roman" w:eastAsia="宋体" w:cs="Times New Roman"/>
                <w:bCs/>
                <w:sz w:val="28"/>
                <w:szCs w:val="28"/>
              </w:rPr>
              <w:t xml:space="preserve"> </w:t>
            </w:r>
          </w:p>
          <w:p w14:paraId="06691E87">
            <w:pPr>
              <w:spacing w:line="320" w:lineRule="exact"/>
              <w:jc w:val="left"/>
              <w:rPr>
                <w:rFonts w:ascii="Times New Roman" w:hAnsi="Times New Roman" w:eastAsia="宋体" w:cs="Times New Roman"/>
                <w:bCs/>
                <w:sz w:val="28"/>
                <w:szCs w:val="28"/>
              </w:rPr>
            </w:pPr>
            <w:r>
              <w:rPr>
                <w:rFonts w:ascii="Times New Roman" w:hAnsi="Times New Roman" w:eastAsia="宋体" w:cs="Times New Roman"/>
                <w:bCs/>
                <w:sz w:val="28"/>
                <w:szCs w:val="28"/>
              </w:rPr>
              <w:t>□</w:t>
            </w:r>
            <w:r>
              <w:rPr>
                <w:rFonts w:hint="eastAsia" w:ascii="Times New Roman" w:hAnsi="Times New Roman" w:eastAsia="宋体" w:cs="Times New Roman"/>
                <w:bCs/>
                <w:sz w:val="28"/>
                <w:szCs w:val="28"/>
              </w:rPr>
              <w:t>新型储能</w:t>
            </w:r>
            <w:r>
              <w:rPr>
                <w:rFonts w:ascii="Times New Roman" w:hAnsi="Times New Roman" w:eastAsia="宋体" w:cs="Times New Roman"/>
                <w:bCs/>
                <w:sz w:val="28"/>
                <w:szCs w:val="28"/>
              </w:rPr>
              <w:t xml:space="preserve">    </w:t>
            </w:r>
            <w:r>
              <w:rPr>
                <w:rFonts w:hint="eastAsia" w:ascii="Times New Roman" w:hAnsi="Times New Roman" w:eastAsia="宋体" w:cs="Times New Roman"/>
                <w:bCs/>
                <w:sz w:val="28"/>
                <w:szCs w:val="28"/>
              </w:rPr>
              <w:t xml:space="preserve"> </w:t>
            </w:r>
            <w:r>
              <w:rPr>
                <w:rFonts w:ascii="Times New Roman" w:hAnsi="Times New Roman" w:eastAsia="宋体" w:cs="Times New Roman"/>
                <w:bCs/>
                <w:sz w:val="28"/>
                <w:szCs w:val="28"/>
              </w:rPr>
              <w:t>□</w:t>
            </w:r>
            <w:r>
              <w:rPr>
                <w:rFonts w:hint="eastAsia" w:ascii="Times New Roman" w:hAnsi="Times New Roman" w:eastAsia="宋体" w:cs="Times New Roman"/>
                <w:bCs/>
                <w:sz w:val="28"/>
                <w:szCs w:val="28"/>
              </w:rPr>
              <w:t>合成生物</w:t>
            </w:r>
            <w:r>
              <w:rPr>
                <w:rFonts w:ascii="Times New Roman" w:hAnsi="Times New Roman" w:eastAsia="宋体" w:cs="Times New Roman"/>
                <w:bCs/>
                <w:sz w:val="28"/>
                <w:szCs w:val="28"/>
              </w:rPr>
              <w:t xml:space="preserve">    □</w:t>
            </w:r>
            <w:r>
              <w:rPr>
                <w:rFonts w:hint="eastAsia" w:ascii="Times New Roman" w:hAnsi="Times New Roman" w:eastAsia="宋体" w:cs="Times New Roman"/>
                <w:bCs/>
                <w:sz w:val="28"/>
                <w:szCs w:val="28"/>
              </w:rPr>
              <w:t xml:space="preserve">新能源汽车   </w:t>
            </w:r>
            <w:r>
              <w:rPr>
                <w:rFonts w:ascii="Times New Roman" w:hAnsi="Times New Roman" w:eastAsia="宋体" w:cs="Times New Roman"/>
                <w:bCs/>
                <w:sz w:val="28"/>
                <w:szCs w:val="28"/>
              </w:rPr>
              <w:t>□</w:t>
            </w:r>
            <w:r>
              <w:rPr>
                <w:rFonts w:hint="eastAsia" w:ascii="Times New Roman" w:hAnsi="Times New Roman" w:eastAsia="宋体" w:cs="Times New Roman"/>
                <w:bCs/>
                <w:sz w:val="28"/>
                <w:szCs w:val="28"/>
              </w:rPr>
              <w:t>循环制造</w:t>
            </w:r>
          </w:p>
          <w:p w14:paraId="5D7C6E09">
            <w:pPr>
              <w:spacing w:line="320" w:lineRule="exact"/>
              <w:rPr>
                <w:rFonts w:ascii="Times New Roman" w:hAnsi="Times New Roman" w:eastAsia="宋体" w:cs="Times New Roman"/>
                <w:bCs/>
                <w:sz w:val="28"/>
                <w:szCs w:val="28"/>
              </w:rPr>
            </w:pPr>
            <w:r>
              <w:rPr>
                <w:rFonts w:ascii="Segoe UI Symbol" w:hAnsi="Segoe UI Symbol" w:eastAsia="宋体" w:cs="Segoe UI Symbol"/>
                <w:bCs/>
                <w:sz w:val="28"/>
                <w:szCs w:val="28"/>
              </w:rPr>
              <w:t>☑</w:t>
            </w:r>
            <w:r>
              <w:rPr>
                <w:rFonts w:hint="eastAsia" w:ascii="Times New Roman" w:hAnsi="Times New Roman" w:eastAsia="宋体" w:cs="Times New Roman"/>
                <w:bCs/>
                <w:sz w:val="28"/>
                <w:szCs w:val="28"/>
              </w:rPr>
              <w:t xml:space="preserve">新一代信息技术     </w:t>
            </w:r>
            <w:r>
              <w:rPr>
                <w:rFonts w:ascii="Times New Roman" w:hAnsi="Times New Roman" w:eastAsia="宋体" w:cs="Times New Roman"/>
                <w:bCs/>
                <w:sz w:val="28"/>
                <w:szCs w:val="28"/>
              </w:rPr>
              <w:t>□</w:t>
            </w:r>
            <w:r>
              <w:rPr>
                <w:rFonts w:hint="eastAsia" w:ascii="Times New Roman" w:hAnsi="Times New Roman" w:eastAsia="宋体" w:cs="Times New Roman"/>
                <w:bCs/>
                <w:sz w:val="28"/>
                <w:szCs w:val="28"/>
              </w:rPr>
              <w:t>高端装备</w:t>
            </w:r>
          </w:p>
        </w:tc>
      </w:tr>
      <w:tr w14:paraId="7E4488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exact"/>
          <w:jc w:val="center"/>
        </w:trPr>
        <w:tc>
          <w:tcPr>
            <w:tcW w:w="1701" w:type="dxa"/>
            <w:vAlign w:val="center"/>
          </w:tcPr>
          <w:p w14:paraId="076F6508">
            <w:pPr>
              <w:spacing w:line="320" w:lineRule="exact"/>
              <w:jc w:val="center"/>
              <w:rPr>
                <w:rFonts w:ascii="Times New Roman" w:hAnsi="Times New Roman" w:eastAsia="宋体" w:cs="Times New Roman"/>
                <w:bCs/>
                <w:sz w:val="28"/>
                <w:szCs w:val="28"/>
              </w:rPr>
            </w:pPr>
            <w:r>
              <w:rPr>
                <w:rFonts w:ascii="Times New Roman" w:hAnsi="Times New Roman" w:eastAsia="宋体" w:cs="Times New Roman"/>
                <w:bCs/>
                <w:sz w:val="28"/>
                <w:szCs w:val="28"/>
              </w:rPr>
              <w:t>榜额</w:t>
            </w:r>
          </w:p>
        </w:tc>
        <w:tc>
          <w:tcPr>
            <w:tcW w:w="8735" w:type="dxa"/>
            <w:gridSpan w:val="3"/>
            <w:vAlign w:val="center"/>
          </w:tcPr>
          <w:p w14:paraId="40FD4099">
            <w:pPr>
              <w:spacing w:line="320" w:lineRule="exact"/>
              <w:ind w:left="160" w:leftChars="50"/>
              <w:jc w:val="center"/>
              <w:rPr>
                <w:rFonts w:hint="default"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50万</w:t>
            </w:r>
          </w:p>
        </w:tc>
      </w:tr>
      <w:tr w14:paraId="2B12D6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4" w:hRule="exact"/>
          <w:jc w:val="center"/>
        </w:trPr>
        <w:tc>
          <w:tcPr>
            <w:tcW w:w="1701" w:type="dxa"/>
            <w:vAlign w:val="center"/>
          </w:tcPr>
          <w:p w14:paraId="499998FF">
            <w:pPr>
              <w:spacing w:line="320" w:lineRule="exact"/>
              <w:jc w:val="center"/>
              <w:rPr>
                <w:rFonts w:ascii="Times New Roman" w:hAnsi="Times New Roman" w:eastAsia="宋体" w:cs="Times New Roman"/>
                <w:bCs/>
                <w:sz w:val="28"/>
                <w:szCs w:val="28"/>
              </w:rPr>
            </w:pPr>
            <w:r>
              <w:rPr>
                <w:rFonts w:hint="eastAsia" w:ascii="Times New Roman" w:hAnsi="Times New Roman" w:eastAsia="宋体" w:cs="Times New Roman"/>
                <w:bCs/>
                <w:sz w:val="28"/>
                <w:szCs w:val="28"/>
              </w:rPr>
              <w:t>场景</w:t>
            </w:r>
            <w:r>
              <w:rPr>
                <w:rFonts w:ascii="Times New Roman" w:hAnsi="Times New Roman" w:eastAsia="宋体" w:cs="Times New Roman"/>
                <w:bCs/>
                <w:sz w:val="28"/>
                <w:szCs w:val="28"/>
              </w:rPr>
              <w:t>成果名称</w:t>
            </w:r>
          </w:p>
        </w:tc>
        <w:tc>
          <w:tcPr>
            <w:tcW w:w="8735" w:type="dxa"/>
            <w:gridSpan w:val="3"/>
            <w:vAlign w:val="center"/>
          </w:tcPr>
          <w:p w14:paraId="2F67D6A7">
            <w:pPr>
              <w:spacing w:line="320" w:lineRule="exact"/>
              <w:ind w:left="160" w:leftChars="50"/>
              <w:jc w:val="center"/>
              <w:rPr>
                <w:rFonts w:ascii="Times New Roman" w:hAnsi="Times New Roman" w:eastAsia="宋体" w:cs="Times New Roman"/>
                <w:bCs/>
                <w:sz w:val="28"/>
                <w:szCs w:val="28"/>
              </w:rPr>
            </w:pPr>
            <w:r>
              <w:rPr>
                <w:rFonts w:hint="eastAsia" w:ascii="Times New Roman" w:hAnsi="Times New Roman" w:eastAsia="宋体" w:cs="Times New Roman"/>
                <w:bCs/>
                <w:sz w:val="28"/>
                <w:szCs w:val="28"/>
              </w:rPr>
              <w:t>毫米波元器件测试与校准夹具</w:t>
            </w:r>
          </w:p>
        </w:tc>
      </w:tr>
      <w:tr w14:paraId="744683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1701" w:type="dxa"/>
            <w:vAlign w:val="center"/>
          </w:tcPr>
          <w:p w14:paraId="65F66FDF">
            <w:pPr>
              <w:spacing w:line="320" w:lineRule="exact"/>
              <w:jc w:val="center"/>
              <w:rPr>
                <w:rFonts w:ascii="Times New Roman" w:hAnsi="Times New Roman" w:eastAsia="宋体" w:cs="Times New Roman"/>
                <w:bCs/>
                <w:sz w:val="28"/>
                <w:szCs w:val="28"/>
              </w:rPr>
            </w:pPr>
            <w:r>
              <w:rPr>
                <w:rFonts w:ascii="Times New Roman" w:hAnsi="Times New Roman" w:eastAsia="宋体" w:cs="Times New Roman"/>
                <w:bCs/>
                <w:sz w:val="28"/>
                <w:szCs w:val="28"/>
              </w:rPr>
              <w:t>成果简介</w:t>
            </w:r>
          </w:p>
        </w:tc>
        <w:tc>
          <w:tcPr>
            <w:tcW w:w="8735" w:type="dxa"/>
            <w:gridSpan w:val="3"/>
          </w:tcPr>
          <w:p w14:paraId="68173289">
            <w:pPr>
              <w:pStyle w:val="10"/>
              <w:numPr>
                <w:ilvl w:val="0"/>
                <w:numId w:val="2"/>
              </w:numPr>
              <w:spacing w:line="320" w:lineRule="exact"/>
              <w:ind w:firstLineChars="0"/>
              <w:rPr>
                <w:rFonts w:ascii="Times New Roman" w:hAnsi="Times New Roman" w:eastAsia="宋体" w:cs="Times New Roman"/>
                <w:bCs/>
                <w:sz w:val="28"/>
                <w:szCs w:val="28"/>
              </w:rPr>
            </w:pPr>
            <w:r>
              <w:rPr>
                <w:rFonts w:hint="eastAsia" w:ascii="Times New Roman" w:hAnsi="Times New Roman" w:eastAsia="宋体" w:cs="Times New Roman"/>
                <w:bCs/>
                <w:sz w:val="28"/>
                <w:szCs w:val="28"/>
              </w:rPr>
              <w:t>国内外研究现状</w:t>
            </w:r>
          </w:p>
          <w:p w14:paraId="59DEB79C">
            <w:pPr>
              <w:spacing w:line="320" w:lineRule="exact"/>
              <w:ind w:firstLine="400" w:firstLineChars="200"/>
              <w:rPr>
                <w:rFonts w:ascii="Times New Roman" w:hAnsi="Times New Roman" w:eastAsia="宋体" w:cs="Times New Roman"/>
                <w:sz w:val="20"/>
              </w:rPr>
            </w:pPr>
            <w:r>
              <w:rPr>
                <w:rFonts w:hint="eastAsia" w:ascii="Times New Roman" w:hAnsi="Times New Roman" w:eastAsia="宋体" w:cs="Times New Roman"/>
                <w:sz w:val="20"/>
              </w:rPr>
              <w:t>随着现代通信技术的飞速发展，无线通讯使用的信号频率越来越高，毫米波技术为无线通信领域带来翻天覆地的变化。新一代5G、卫星和车载雷达通信使用超大带宽，实现了更高的数据吞吐量和超精细的距离分辨率。用于天线发射、传播和接收的射频信号频率越高，可利用的频带宽度就越宽，信道容量就越大，而且可以减小或避免频道间的干扰。只有不断提高信号的频率才可以做到采用较小的信号功率，获得较大的穿透力，传播较远的距离，也可获得较高的接收灵敏度。毫米波技术作为一个至关重要的推动因素，它为性能提升提供了充足的裕量，但同时也带来了路径损耗、设计裕量小、调制复杂、标准严格等挑战。</w:t>
            </w:r>
          </w:p>
          <w:p w14:paraId="5DC07AE9">
            <w:pPr>
              <w:spacing w:line="320" w:lineRule="exact"/>
              <w:ind w:firstLine="400" w:firstLineChars="200"/>
              <w:rPr>
                <w:rFonts w:ascii="Times New Roman" w:hAnsi="Times New Roman" w:eastAsia="宋体" w:cs="Times New Roman"/>
                <w:sz w:val="20"/>
              </w:rPr>
            </w:pPr>
            <w:r>
              <w:rPr>
                <w:rFonts w:hint="eastAsia" w:ascii="Times New Roman" w:hAnsi="Times New Roman" w:eastAsia="宋体" w:cs="Times New Roman"/>
                <w:sz w:val="20"/>
              </w:rPr>
              <w:t>由于PCB迹线的加工较为成熟，如果不考虑成本，可以通过优化板面光洁度和镀金的方式将不确定误差限制得很小，所以校准过程可以将被测件以外的大多数传输线寄生效应去除。但被测件在PCB介质板上，而介质板不能和矢量网络分析仪直接相连。在测量时，</w:t>
            </w:r>
            <w:r>
              <w:rPr>
                <w:rFonts w:hint="eastAsia" w:ascii="Times New Roman" w:hAnsi="Times New Roman" w:eastAsia="宋体" w:cs="Times New Roman"/>
                <w:b/>
                <w:sz w:val="20"/>
              </w:rPr>
              <w:t>同轴线到PCB板的转换结构是产生寄生效应的主要因素，此类寄生效应大大影响着校准件的传输品质和各个子校准件之间的一致性</w:t>
            </w:r>
            <w:r>
              <w:rPr>
                <w:rFonts w:hint="eastAsia" w:ascii="Times New Roman" w:hAnsi="Times New Roman" w:eastAsia="宋体" w:cs="Times New Roman"/>
                <w:sz w:val="20"/>
              </w:rPr>
              <w:t>。目前，我国射频/毫米波测试技术相对于欧美等发达国家仍相对落后，高频测试仪器也严重依赖进口，这已经成为我国自主创新能力建设和创新国家建设的制约因素之一，因此对于毫米波校准、测试和建模技术的研究有着尤其重要的意义。总结国内外毫米波器件测试与建模的研究现状，如图1所示。</w:t>
            </w:r>
          </w:p>
          <w:p w14:paraId="3C381895">
            <w:pPr>
              <w:jc w:val="center"/>
              <w:rPr>
                <w:rFonts w:ascii="Times New Roman" w:hAnsi="Times New Roman" w:eastAsia="宋体" w:cs="Times New Roman"/>
                <w:sz w:val="20"/>
              </w:rPr>
            </w:pPr>
            <w:r>
              <w:rPr>
                <w:rFonts w:ascii="Times New Roman" w:hAnsi="Times New Roman" w:eastAsia="宋体" w:cs="Times New Roman"/>
                <w:sz w:val="20"/>
              </w:rPr>
              <w:object>
                <v:shape id="_x0000_i1025" o:spt="75" type="#_x0000_t75" style="height:188.6pt;width:411.7pt;" o:ole="t" filled="f" o:preferrelative="t" stroked="f" coordsize="21600,21600">
                  <v:path/>
                  <v:fill on="f" focussize="0,0"/>
                  <v:stroke on="f" joinstyle="miter"/>
                  <v:imagedata r:id="rId6" o:title=""/>
                  <o:lock v:ext="edit" aspectratio="t"/>
                  <w10:wrap type="none"/>
                  <w10:anchorlock/>
                </v:shape>
                <o:OLEObject Type="Embed" ProgID="Visio.Drawing.15" ShapeID="_x0000_i1025" DrawAspect="Content" ObjectID="_1468075725" r:id="rId5">
                  <o:LockedField>false</o:LockedField>
                </o:OLEObject>
              </w:object>
            </w:r>
          </w:p>
          <w:p w14:paraId="5B90E26E">
            <w:pPr>
              <w:spacing w:line="320" w:lineRule="exact"/>
              <w:jc w:val="center"/>
              <w:rPr>
                <w:rFonts w:hint="eastAsia" w:ascii="黑体" w:hAnsi="黑体" w:eastAsia="黑体" w:cs="Times New Roman"/>
                <w:sz w:val="20"/>
              </w:rPr>
            </w:pPr>
            <w:r>
              <w:rPr>
                <w:rFonts w:hint="eastAsia" w:ascii="黑体" w:hAnsi="黑体" w:eastAsia="黑体" w:cs="Times New Roman"/>
                <w:sz w:val="20"/>
              </w:rPr>
              <w:t>图1毫米波器件测试与建模国内外研究现状总结</w:t>
            </w:r>
          </w:p>
          <w:p w14:paraId="37E68E7B">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国立台北科技大学E</w:t>
            </w:r>
            <w:r>
              <w:rPr>
                <w:rFonts w:ascii="Times New Roman" w:hAnsi="Times New Roman" w:eastAsia="宋体" w:cs="Times New Roman"/>
                <w:sz w:val="20"/>
              </w:rPr>
              <w:t>ric S. Li</w:t>
            </w:r>
            <w:r>
              <w:rPr>
                <w:rFonts w:hint="eastAsia" w:ascii="Times New Roman" w:hAnsi="Times New Roman" w:eastAsia="宋体" w:cs="Times New Roman"/>
                <w:sz w:val="20"/>
              </w:rPr>
              <w:t>提出了一种新的设计来改善同轴到微带转换的传输特性，该方法将金属环添加到传统的同轴结构中以用作同轴线和微带线之间的缓冲器。金属环的引入减少了电磁场分布的突然变化引起的插入损耗，仿真和实测都证明，这种改进在高频应用下表现良好。随后，E</w:t>
            </w:r>
            <w:r>
              <w:rPr>
                <w:rFonts w:ascii="Times New Roman" w:hAnsi="Times New Roman" w:eastAsia="宋体" w:cs="Times New Roman"/>
                <w:sz w:val="20"/>
              </w:rPr>
              <w:t>ric S. Li</w:t>
            </w:r>
            <w:r>
              <w:rPr>
                <w:rFonts w:hint="eastAsia" w:ascii="Times New Roman" w:hAnsi="Times New Roman" w:eastAsia="宋体" w:cs="Times New Roman"/>
                <w:sz w:val="20"/>
              </w:rPr>
              <w:t>在引入金属环的基础上将金属环上下分离，使微带线基板嵌入其中，进一步优化了同轴到微带转换中引起不连续性，降低了插入损耗，扩展了1dB插损的频带适用范围，仿真和实测都证明了此方法在高频段的良好实用性。后来，E</w:t>
            </w:r>
            <w:r>
              <w:rPr>
                <w:rFonts w:ascii="Times New Roman" w:hAnsi="Times New Roman" w:eastAsia="宋体" w:cs="Times New Roman"/>
                <w:sz w:val="20"/>
              </w:rPr>
              <w:t>ric S. Li</w:t>
            </w:r>
            <w:r>
              <w:rPr>
                <w:rFonts w:hint="eastAsia" w:ascii="Times New Roman" w:hAnsi="Times New Roman" w:eastAsia="宋体" w:cs="Times New Roman"/>
                <w:sz w:val="20"/>
              </w:rPr>
              <w:t>继续对多种同轴到微带、同轴到共面波导的转换结构进行研究，总结了引入金属环、将基板嵌入到金属环、将金属环嵌入到基板、引入金属腔等各种结构的优化效果，为业内后续研究提供了参考。在寄生效应方面，主要有三点问题，（1）由于触脚、间隙的存在，在考虑成本的情况下，普通同轴到PCB的转接器会产生较强的寄生效应，</w:t>
            </w:r>
            <w:r>
              <w:rPr>
                <w:rFonts w:hint="eastAsia" w:ascii="Times New Roman" w:hAnsi="Times New Roman" w:eastAsia="宋体" w:cs="Times New Roman"/>
                <w:b/>
                <w:sz w:val="20"/>
              </w:rPr>
              <w:t>转换器结构的优化是消除寄生效应的可行方案</w:t>
            </w:r>
            <w:r>
              <w:rPr>
                <w:rFonts w:hint="eastAsia" w:ascii="Times New Roman" w:hAnsi="Times New Roman" w:eastAsia="宋体" w:cs="Times New Roman"/>
                <w:sz w:val="20"/>
              </w:rPr>
              <w:t>，值得尝试；（2）由于传播模式的转换，寄生效应是不可避免的，</w:t>
            </w:r>
            <w:r>
              <w:rPr>
                <w:rFonts w:hint="eastAsia" w:ascii="Times New Roman" w:hAnsi="Times New Roman" w:eastAsia="宋体" w:cs="Times New Roman"/>
                <w:b/>
                <w:sz w:val="20"/>
              </w:rPr>
              <w:t>如果能在转换处的PCB迹线上做出有效的优化措施，也是降低寄生效应的有效途径</w:t>
            </w:r>
            <w:r>
              <w:rPr>
                <w:rFonts w:hint="eastAsia" w:ascii="Times New Roman" w:hAnsi="Times New Roman" w:eastAsia="宋体" w:cs="Times New Roman"/>
                <w:sz w:val="20"/>
              </w:rPr>
              <w:t>；（3）结构优化效果往往会出现瓶颈，而且试错代价较高，如何通过</w:t>
            </w:r>
            <w:r>
              <w:rPr>
                <w:rFonts w:hint="eastAsia" w:ascii="Times New Roman" w:hAnsi="Times New Roman" w:eastAsia="宋体" w:cs="Times New Roman"/>
                <w:b/>
                <w:sz w:val="20"/>
              </w:rPr>
              <w:t>建立转换结构的等效电路模型来对传输特性进行优化</w:t>
            </w:r>
            <w:r>
              <w:rPr>
                <w:rFonts w:hint="eastAsia" w:ascii="Times New Roman" w:hAnsi="Times New Roman" w:eastAsia="宋体" w:cs="Times New Roman"/>
                <w:sz w:val="20"/>
              </w:rPr>
              <w:t>，是值得深入研究的。</w:t>
            </w:r>
          </w:p>
          <w:p w14:paraId="51A6FB01">
            <w:pPr>
              <w:spacing w:line="320" w:lineRule="exact"/>
              <w:ind w:firstLine="402" w:firstLineChars="200"/>
              <w:rPr>
                <w:rFonts w:ascii="Times New Roman" w:hAnsi="Times New Roman" w:eastAsia="宋体" w:cs="Times New Roman"/>
                <w:sz w:val="20"/>
              </w:rPr>
            </w:pPr>
            <w:r>
              <w:rPr>
                <w:rFonts w:hint="eastAsia" w:ascii="Times New Roman" w:hAnsi="Times New Roman" w:eastAsia="宋体" w:cs="Times New Roman"/>
                <w:b/>
                <w:sz w:val="20"/>
              </w:rPr>
              <w:t>校准是测量和消除射频和微波测试中误差和寄生效应的首选方式。</w:t>
            </w:r>
            <w:r>
              <w:rPr>
                <w:rFonts w:hint="eastAsia" w:ascii="Times New Roman" w:hAnsi="Times New Roman" w:eastAsia="宋体" w:cs="Times New Roman"/>
                <w:sz w:val="20"/>
              </w:rPr>
              <w:t>在高频测试中，在校准了由连接电缆、探针/适配器和矢量网络分析仪（VNA）引起的误差后，还必须对被测设备（DUT）接口处的测量数据进行二次校准。近年来短开路负载直通（SOLT）、直通反射延长（TRL）、线反射匹配（LRM）等校准方法被人们提出被应用于测试，同时可以通过多个方法相结合的方式，对测试夹具误差模型进行精确的表征和计算。</w:t>
            </w:r>
          </w:p>
          <w:p w14:paraId="66470290">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1997年，澳门科技大学L</w:t>
            </w:r>
            <w:r>
              <w:rPr>
                <w:rFonts w:ascii="Times New Roman" w:hAnsi="Times New Roman" w:eastAsia="宋体" w:cs="Times New Roman"/>
                <w:sz w:val="20"/>
              </w:rPr>
              <w:t>ei Zhu</w:t>
            </w:r>
            <w:r>
              <w:rPr>
                <w:rFonts w:hint="eastAsia" w:ascii="Times New Roman" w:hAnsi="Times New Roman" w:eastAsia="宋体" w:cs="Times New Roman"/>
                <w:sz w:val="20"/>
              </w:rPr>
              <w:t>首次提出一种短开路校准（Short</w:t>
            </w:r>
            <w:r>
              <w:rPr>
                <w:rFonts w:ascii="Times New Roman" w:hAnsi="Times New Roman" w:eastAsia="宋体" w:cs="Times New Roman"/>
                <w:sz w:val="20"/>
              </w:rPr>
              <w:t>-</w:t>
            </w:r>
            <w:r>
              <w:rPr>
                <w:rFonts w:hint="eastAsia" w:ascii="Times New Roman" w:hAnsi="Times New Roman" w:eastAsia="宋体" w:cs="Times New Roman"/>
                <w:sz w:val="20"/>
              </w:rPr>
              <w:t>Open</w:t>
            </w:r>
            <w:r>
              <w:rPr>
                <w:rFonts w:ascii="Times New Roman" w:hAnsi="Times New Roman" w:eastAsia="宋体" w:cs="Times New Roman"/>
                <w:sz w:val="20"/>
              </w:rPr>
              <w:t>-</w:t>
            </w:r>
            <w:r>
              <w:rPr>
                <w:rFonts w:hint="eastAsia" w:ascii="Times New Roman" w:hAnsi="Times New Roman" w:eastAsia="宋体" w:cs="Times New Roman"/>
                <w:sz w:val="20"/>
              </w:rPr>
              <w:t>Calibration，SOC）技术。该技术被应用到平面环形电路的矩量法（Method</w:t>
            </w:r>
            <w:r>
              <w:rPr>
                <w:rFonts w:ascii="Times New Roman" w:hAnsi="Times New Roman" w:eastAsia="宋体" w:cs="Times New Roman"/>
                <w:sz w:val="20"/>
              </w:rPr>
              <w:t xml:space="preserve"> </w:t>
            </w:r>
            <w:r>
              <w:rPr>
                <w:rFonts w:hint="eastAsia" w:ascii="Times New Roman" w:hAnsi="Times New Roman" w:eastAsia="宋体" w:cs="Times New Roman"/>
                <w:sz w:val="20"/>
              </w:rPr>
              <w:t>of</w:t>
            </w:r>
            <w:r>
              <w:rPr>
                <w:rFonts w:ascii="Times New Roman" w:hAnsi="Times New Roman" w:eastAsia="宋体" w:cs="Times New Roman"/>
                <w:sz w:val="20"/>
              </w:rPr>
              <w:t xml:space="preserve"> Moments</w:t>
            </w:r>
            <w:r>
              <w:rPr>
                <w:rFonts w:hint="eastAsia" w:ascii="Times New Roman" w:hAnsi="Times New Roman" w:eastAsia="宋体" w:cs="Times New Roman"/>
                <w:sz w:val="20"/>
              </w:rPr>
              <w:t>，MoM）中，完成了一种用于消除由于外加电压或电流源而导致的端口不连续性的数值校准方法的设计，适用于横向电磁TEM模式或准TEM模式，大大简化了数值校准的复杂性。随后Zhu</w:t>
            </w:r>
            <w:r>
              <w:rPr>
                <w:rFonts w:ascii="Times New Roman" w:hAnsi="Times New Roman" w:eastAsia="宋体" w:cs="Times New Roman"/>
                <w:sz w:val="20"/>
              </w:rPr>
              <w:t xml:space="preserve"> </w:t>
            </w:r>
            <w:r>
              <w:rPr>
                <w:rFonts w:hint="eastAsia" w:ascii="Times New Roman" w:hAnsi="Times New Roman" w:eastAsia="宋体" w:cs="Times New Roman"/>
                <w:sz w:val="20"/>
              </w:rPr>
              <w:t>Lei报道了后续的研究，针对平面集成电路等效模型，基于完全场论的去嵌入和集总元提取，发展了广义短开校准技术。目前业内大多数校准技术的去嵌入结果未深入考虑模型的应用场景，图2展示了测试的示意图，图中涵盖了高频介电常数、高频寄生效应等需要考虑的难题。同时如图中左下角校准件中心红圈部分所示，校准得到的模型，往往包含了校准件默认的应用场景（PCB板厚度、PCB介质材料、迹线宽度、焊盘规格）模型很难进一步灵活地为各种不同的、随机的实测场景所用。</w:t>
            </w:r>
            <w:r>
              <w:rPr>
                <w:rFonts w:hint="eastAsia" w:ascii="Times New Roman" w:hAnsi="Times New Roman" w:eastAsia="宋体" w:cs="Times New Roman"/>
                <w:b/>
                <w:sz w:val="20"/>
              </w:rPr>
              <w:t>如何进一步地提取元器件（“黑匣子”）通用的模型，使模型的可扩展性得到质的提升，是十分具有研究意义的</w:t>
            </w:r>
            <w:r>
              <w:rPr>
                <w:rFonts w:hint="eastAsia" w:ascii="Times New Roman" w:hAnsi="Times New Roman" w:eastAsia="宋体" w:cs="Times New Roman"/>
                <w:sz w:val="20"/>
              </w:rPr>
              <w:t>。</w:t>
            </w:r>
          </w:p>
          <w:p w14:paraId="3754DF59">
            <w:pPr>
              <w:snapToGrid w:val="0"/>
              <w:jc w:val="center"/>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4718050" cy="2283460"/>
                  <wp:effectExtent l="0" t="0" r="6350" b="2540"/>
                  <wp:docPr id="1270221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2175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t="1848" b="3946"/>
                          <a:stretch>
                            <a:fillRect/>
                          </a:stretch>
                        </pic:blipFill>
                        <pic:spPr>
                          <a:xfrm>
                            <a:off x="0" y="0"/>
                            <a:ext cx="4718050" cy="2283460"/>
                          </a:xfrm>
                          <a:prstGeom prst="rect">
                            <a:avLst/>
                          </a:prstGeom>
                          <a:noFill/>
                          <a:ln>
                            <a:noFill/>
                          </a:ln>
                        </pic:spPr>
                      </pic:pic>
                    </a:graphicData>
                  </a:graphic>
                </wp:inline>
              </w:drawing>
            </w:r>
          </w:p>
          <w:p w14:paraId="4E0922C3">
            <w:pPr>
              <w:spacing w:line="400" w:lineRule="exact"/>
              <w:jc w:val="center"/>
              <w:rPr>
                <w:rFonts w:hint="eastAsia" w:ascii="黑体" w:hAnsi="黑体" w:eastAsia="黑体" w:cs="Times New Roman"/>
                <w:sz w:val="20"/>
                <w:szCs w:val="21"/>
              </w:rPr>
            </w:pPr>
            <w:r>
              <w:rPr>
                <w:rFonts w:hint="eastAsia" w:ascii="黑体" w:hAnsi="黑体" w:eastAsia="黑体" w:cs="Times New Roman"/>
                <w:sz w:val="20"/>
                <w:szCs w:val="21"/>
              </w:rPr>
              <w:t>图2</w:t>
            </w:r>
            <w:r>
              <w:rPr>
                <w:rFonts w:ascii="黑体" w:hAnsi="黑体" w:eastAsia="黑体" w:cs="Times New Roman"/>
                <w:sz w:val="20"/>
                <w:szCs w:val="21"/>
              </w:rPr>
              <w:t xml:space="preserve"> </w:t>
            </w:r>
            <w:r>
              <w:rPr>
                <w:rFonts w:hint="eastAsia" w:ascii="黑体" w:hAnsi="黑体" w:eastAsia="黑体" w:cs="Times New Roman"/>
                <w:sz w:val="20"/>
                <w:szCs w:val="21"/>
              </w:rPr>
              <w:t>某微带线夹具高频测试寄生效应和难点</w:t>
            </w:r>
          </w:p>
          <w:p w14:paraId="727180B5">
            <w:pPr>
              <w:spacing w:line="320" w:lineRule="exact"/>
              <w:rPr>
                <w:rFonts w:ascii="Times New Roman" w:hAnsi="Times New Roman" w:eastAsia="宋体" w:cs="Times New Roman"/>
                <w:bCs/>
                <w:sz w:val="28"/>
                <w:szCs w:val="28"/>
              </w:rPr>
            </w:pPr>
          </w:p>
          <w:p w14:paraId="1252DEE5">
            <w:pPr>
              <w:pStyle w:val="10"/>
              <w:numPr>
                <w:ilvl w:val="0"/>
                <w:numId w:val="2"/>
              </w:numPr>
              <w:spacing w:line="320" w:lineRule="exact"/>
              <w:ind w:firstLineChars="0"/>
              <w:rPr>
                <w:rFonts w:ascii="Times New Roman" w:hAnsi="Times New Roman" w:eastAsia="宋体" w:cs="Times New Roman"/>
                <w:bCs/>
                <w:sz w:val="28"/>
                <w:szCs w:val="28"/>
              </w:rPr>
            </w:pPr>
            <w:r>
              <w:rPr>
                <w:rFonts w:hint="eastAsia" w:ascii="Times New Roman" w:hAnsi="Times New Roman" w:eastAsia="宋体" w:cs="Times New Roman"/>
                <w:bCs/>
                <w:sz w:val="28"/>
                <w:szCs w:val="28"/>
              </w:rPr>
              <w:t>成果的价值</w:t>
            </w:r>
          </w:p>
          <w:p w14:paraId="7C4D6DBD">
            <w:pPr>
              <w:snapToGrid w:val="0"/>
              <w:spacing w:line="400" w:lineRule="exact"/>
              <w:ind w:firstLine="400" w:firstLineChars="200"/>
              <w:rPr>
                <w:rFonts w:ascii="Times New Roman" w:hAnsi="Times New Roman" w:eastAsia="宋体" w:cs="Times New Roman"/>
                <w:sz w:val="20"/>
              </w:rPr>
            </w:pPr>
            <w:r>
              <w:rPr>
                <w:rFonts w:hint="eastAsia" w:ascii="Times New Roman" w:hAnsi="Times New Roman" w:eastAsia="宋体" w:cs="Times New Roman"/>
                <w:sz w:val="20"/>
              </w:rPr>
              <w:t>本成果围绕毫米波元器件测试与建模的要求、难点与问题，同时</w:t>
            </w:r>
            <w:r>
              <w:rPr>
                <w:rFonts w:ascii="Times New Roman" w:hAnsi="Times New Roman" w:eastAsia="宋体" w:cs="Times New Roman"/>
                <w:sz w:val="20"/>
              </w:rPr>
              <w:t>实现复杂性、效率和准确性之间的平衡</w:t>
            </w:r>
            <w:r>
              <w:rPr>
                <w:rFonts w:hint="eastAsia" w:ascii="Times New Roman" w:hAnsi="Times New Roman" w:eastAsia="宋体" w:cs="Times New Roman"/>
                <w:sz w:val="20"/>
              </w:rPr>
              <w:t>，依次从测试夹具参数获取、测试系统寄生效应去除、测试去嵌入技术应用等三个方面展开。成果内容逻辑关系如图3所示。</w:t>
            </w:r>
          </w:p>
          <w:p w14:paraId="4177DE13">
            <w:pPr>
              <w:snapToGrid w:val="0"/>
              <w:jc w:val="center"/>
            </w:pPr>
            <w:r>
              <w:object>
                <v:shape id="_x0000_i1026" o:spt="75" type="#_x0000_t75" style="height:231pt;width:269.45pt;" o:ole="t" filled="f" o:preferrelative="t" stroked="f" coordsize="21600,21600">
                  <v:path/>
                  <v:fill on="f" focussize="0,0"/>
                  <v:stroke on="f" joinstyle="miter"/>
                  <v:imagedata r:id="rId9" o:title=""/>
                  <o:lock v:ext="edit" aspectratio="t"/>
                  <w10:wrap type="none"/>
                  <w10:anchorlock/>
                </v:shape>
                <o:OLEObject Type="Embed" ProgID="Visio.Drawing.15" ShapeID="_x0000_i1026" DrawAspect="Content" ObjectID="_1468075726" r:id="rId8">
                  <o:LockedField>false</o:LockedField>
                </o:OLEObject>
              </w:object>
            </w:r>
          </w:p>
          <w:p w14:paraId="2E8F66D4">
            <w:pPr>
              <w:spacing w:line="400" w:lineRule="exact"/>
              <w:jc w:val="center"/>
              <w:rPr>
                <w:rFonts w:hint="eastAsia" w:ascii="黑体" w:hAnsi="黑体" w:eastAsia="黑体"/>
                <w:szCs w:val="20"/>
              </w:rPr>
            </w:pPr>
            <w:r>
              <w:rPr>
                <w:rFonts w:hint="eastAsia" w:ascii="黑体" w:hAnsi="黑体" w:eastAsia="黑体"/>
                <w:sz w:val="20"/>
                <w:szCs w:val="18"/>
              </w:rPr>
              <w:t>图3</w:t>
            </w:r>
            <w:r>
              <w:rPr>
                <w:rFonts w:ascii="黑体" w:hAnsi="黑体" w:eastAsia="黑体"/>
                <w:sz w:val="20"/>
                <w:szCs w:val="18"/>
              </w:rPr>
              <w:t xml:space="preserve"> </w:t>
            </w:r>
            <w:r>
              <w:rPr>
                <w:rFonts w:hint="eastAsia" w:ascii="黑体" w:hAnsi="黑体" w:eastAsia="黑体"/>
                <w:sz w:val="20"/>
                <w:szCs w:val="18"/>
              </w:rPr>
              <w:t>项目研究内容逻辑关系图</w:t>
            </w:r>
          </w:p>
          <w:p w14:paraId="4E68AA62">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成果的主要价值如下：</w:t>
            </w:r>
          </w:p>
          <w:p w14:paraId="205D4380">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（1）毫米波元器件测试夹具关键参数的获取：确保了夹具本体可靠性，兼顾IEEE Standard 370-2020 50GHz以下宽频带夹具品质标准适用、设计过程简便等需求。设计了一种以2xthru法为基础的校准夹具，相比于传统常规测试夹具以及品质认定，具有结构简便、等级量化清晰、依据更可靠的优点。校准得到的结果消除了大部分SMA接头带来的误差，基于得到的空载段直通线的散射参数，通过传输线法得到复介电常数。</w:t>
            </w:r>
          </w:p>
          <w:p w14:paraId="0C51971D">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2）毫米波元器件测试系统寄生效应去除：高频微型组件的制造和测试程序会为建模和测试引入物理寄生效应，对测试系统的寄生效应进行分析和改进。提出了一种以接地共面波导为转换过渡带的同轴-微带传输改进方案，可以大大降低转接处传输模式变换带来的寄生效应，进一步增强夹具的传输品质和仿真与测试的一致性。相对于传统同轴微带转换设计有通用性强、构造成本低的优点。</w:t>
            </w:r>
          </w:p>
          <w:p w14:paraId="5A4FB272">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（3） 毫米波元器件测试去嵌入技术应用：使用复杂的校准技术和上述已完成的高传输品质的夹具，可以将测量的参考平面移动到被测设备的相邻区域。但在最终的测量去嵌入结果中，焊盘到端口的不连续性、接地耦合等寄生效应并没有被消除。介于此，本成果应用了一种全波模拟辅助与实测相结合的数值去嵌求解方法，可以进一步消除去嵌入后的诸多寄生效应，使模型可适用于更多不同随机的应用环境，增加模型的可扩展性。</w:t>
            </w:r>
          </w:p>
          <w:p w14:paraId="181499A1">
            <w:pPr>
              <w:spacing w:line="320" w:lineRule="exact"/>
              <w:ind w:firstLine="400" w:firstLineChars="200"/>
              <w:rPr>
                <w:rFonts w:hint="eastAsia" w:ascii="Times New Roman" w:hAnsi="Times New Roman" w:eastAsia="宋体" w:cs="Times New Roman"/>
                <w:sz w:val="20"/>
              </w:rPr>
            </w:pPr>
          </w:p>
          <w:p w14:paraId="378C0949">
            <w:pPr>
              <w:spacing w:line="320" w:lineRule="exact"/>
              <w:ind w:firstLine="400" w:firstLineChars="200"/>
              <w:rPr>
                <w:rFonts w:hint="eastAsia" w:ascii="Times New Roman" w:hAnsi="Times New Roman" w:eastAsia="宋体" w:cs="Times New Roman"/>
                <w:sz w:val="20"/>
              </w:rPr>
            </w:pPr>
          </w:p>
          <w:p w14:paraId="2F958224">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特色和创新点</w:t>
            </w:r>
          </w:p>
          <w:p w14:paraId="0E0E1B56">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（1）提出一种毫米波测试夹具设计方案</w:t>
            </w:r>
          </w:p>
          <w:p w14:paraId="4E3B5FA6">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测试夹具是获取元器件高频参数的必备条件，由于它在射频乃至毫米波应用下呈现出的强非线性，人们对它提出了极其苛刻的精度要求，此外还要设计和实物制造成本等要求。本成果提出一种高频夹具设计方案。该方案中，夹具关键参数和直通件的传输性能都能得到保证。</w:t>
            </w:r>
          </w:p>
          <w:p w14:paraId="56D13FFD">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（2）提出接地共面波导与微带线相结合的夹具结构</w:t>
            </w:r>
          </w:p>
          <w:p w14:paraId="3490C133">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在高频测试应用中，校准直通件的传输品质是校准件等级和质量的重要衡量标准，由于测试中间段存在的同轴到印制板转换结构存在诸多不一致性，这些寄生效应会降低校准件的传输品质，同轴线到印制电路板的转换寄生一直是国内外高频测试中难以完全消除的难题。本成果利用接地共面波导结构作为同轴线到微带线的转换过渡带，能大大降低传输模式改变导致的寄生效应。</w:t>
            </w:r>
          </w:p>
          <w:p w14:paraId="305097C5">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（3）提出一种端口化参数的二次去嵌入方法</w:t>
            </w:r>
          </w:p>
          <w:p w14:paraId="1EDB3D08">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目前大多数校准技术的去嵌入结果未深入考虑模型的应用场景，校准得到的模型，往往包含了校准件默认的环境参数，模型很难进一步灵活地为各种不同的、随机的实测场景所用。本成果基于上述高精度测试夹具设计工作，结合高匹配度的仿真和试验结果，提出一种器件参数端口化的二次去嵌入方法。此方法可以扩大所提取模型的适用范围。</w:t>
            </w:r>
          </w:p>
          <w:p w14:paraId="15D3AFFF">
            <w:pPr>
              <w:spacing w:line="320" w:lineRule="exact"/>
              <w:ind w:firstLine="400" w:firstLineChars="200"/>
              <w:rPr>
                <w:rFonts w:hint="eastAsia" w:ascii="Times New Roman" w:hAnsi="Times New Roman" w:eastAsia="宋体" w:cs="Times New Roman"/>
                <w:sz w:val="20"/>
              </w:rPr>
            </w:pPr>
          </w:p>
          <w:p w14:paraId="25C640D8">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已有技术积累和应用条件</w:t>
            </w:r>
          </w:p>
          <w:p w14:paraId="5B8F0198">
            <w:pPr>
              <w:spacing w:line="320" w:lineRule="exact"/>
              <w:ind w:firstLine="400" w:firstLineChars="200"/>
              <w:rPr>
                <w:rFonts w:hint="eastAsia"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在技术层面上，如图4所示，同轴转接器连接接口首先转换到</w:t>
            </w:r>
            <w:r>
              <w:rPr>
                <w:rFonts w:hint="eastAsia" w:ascii="Times New Roman" w:hAnsi="Times New Roman" w:eastAsia="宋体" w:cs="Times New Roman"/>
                <w:sz w:val="20"/>
              </w:rPr>
              <w:t>接地共面波导（Coplanar Waveguide with Ground，CPWG）</w:t>
            </w:r>
            <w:r>
              <w:rPr>
                <w:rFonts w:hint="eastAsia" w:ascii="Times New Roman" w:hAnsi="Times New Roman" w:eastAsia="宋体" w:cs="Times New Roman"/>
                <w:sz w:val="20"/>
                <w:lang w:val="en-US" w:eastAsia="zh-CN"/>
              </w:rPr>
              <w:t>，然后分步转换到微带线</w:t>
            </w:r>
            <w:r>
              <w:rPr>
                <w:rFonts w:hint="eastAsia" w:ascii="Times New Roman" w:hAnsi="Times New Roman" w:eastAsia="宋体" w:cs="Times New Roman"/>
                <w:sz w:val="20"/>
              </w:rPr>
              <w:t>（Microstrip Line，ML）</w:t>
            </w:r>
            <w:r>
              <w:rPr>
                <w:rFonts w:hint="eastAsia" w:ascii="Times New Roman" w:hAnsi="Times New Roman" w:eastAsia="宋体" w:cs="Times New Roman"/>
                <w:sz w:val="20"/>
                <w:lang w:val="en-US" w:eastAsia="zh-CN"/>
              </w:rPr>
              <w:t>。本项目开展的前期工作已经对此类线型进行了初步的建模仿真和加工，尝试了三种设计版本，图4(a)版本的校准件实物如图</w:t>
            </w:r>
            <w:r>
              <w:rPr>
                <w:rFonts w:hint="eastAsia" w:ascii="Times New Roman" w:hAnsi="Times New Roman" w:eastAsia="宋体" w:cs="Times New Roman"/>
                <w:sz w:val="20"/>
                <w:lang w:val="en-US"/>
              </w:rPr>
              <w:t>5</w:t>
            </w:r>
            <w:r>
              <w:rPr>
                <w:rFonts w:hint="eastAsia" w:ascii="Times New Roman" w:hAnsi="Times New Roman" w:eastAsia="宋体" w:cs="Times New Roman"/>
                <w:sz w:val="20"/>
                <w:lang w:val="en-US" w:eastAsia="zh-CN"/>
              </w:rPr>
              <w:t>所示。在不断进行优化的同时，线型的复杂性也不断增加。在接地共面波导的过渡段，加入接地过孔提升夹具的传输品质。同轴到印制电路板的转接器拟考虑使用半焊接式转接器，既降低了焊接的用量，防止焊剂影响传输线的特征阻抗，又兼顾了成本。最复杂的图4(c)版本的结构被验证效果最佳，拟用作本项目的最终校准件线型。</w:t>
            </w:r>
          </w:p>
          <w:p w14:paraId="183D05AA">
            <w:pPr>
              <w:jc w:val="center"/>
              <w:rPr>
                <w:rFonts w:cs="Arial"/>
                <w:lang w:val="en-US" w:eastAsia="zh-CN"/>
              </w:rPr>
            </w:pPr>
            <w:r>
              <w:rPr>
                <w:rFonts w:cs="Arial"/>
                <w:lang w:val="en-US" w:eastAsia="zh-CN"/>
              </w:rPr>
              <w:drawing>
                <wp:inline distT="0" distB="0" distL="0" distR="0">
                  <wp:extent cx="2945130" cy="1626870"/>
                  <wp:effectExtent l="0" t="0" r="11430" b="3810"/>
                  <wp:docPr id="6586877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87792"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b="2917"/>
                          <a:stretch>
                            <a:fillRect/>
                          </a:stretch>
                        </pic:blipFill>
                        <pic:spPr>
                          <a:xfrm>
                            <a:off x="0" y="0"/>
                            <a:ext cx="2945130" cy="1626870"/>
                          </a:xfrm>
                          <a:prstGeom prst="rect">
                            <a:avLst/>
                          </a:prstGeom>
                          <a:noFill/>
                          <a:ln>
                            <a:noFill/>
                          </a:ln>
                        </pic:spPr>
                      </pic:pic>
                    </a:graphicData>
                  </a:graphic>
                </wp:inline>
              </w:drawing>
            </w:r>
          </w:p>
          <w:p w14:paraId="780F1A07">
            <w:pPr>
              <w:jc w:val="center"/>
              <w:rPr>
                <w:rFonts w:ascii="黑体" w:hAnsi="黑体" w:eastAsia="黑体" w:cs="Arial"/>
                <w:sz w:val="20"/>
                <w:szCs w:val="22"/>
                <w:lang w:val="en-US" w:eastAsia="zh-CN"/>
              </w:rPr>
            </w:pPr>
            <w:r>
              <w:rPr>
                <w:rFonts w:hint="eastAsia" w:ascii="黑体" w:hAnsi="黑体" w:eastAsia="黑体" w:cs="Arial"/>
                <w:sz w:val="20"/>
                <w:szCs w:val="22"/>
                <w:lang w:val="en-US" w:eastAsia="zh-CN"/>
              </w:rPr>
              <w:t>图4 三种CPWG</w:t>
            </w:r>
            <w:r>
              <w:rPr>
                <w:rFonts w:ascii="黑体" w:hAnsi="黑体" w:eastAsia="黑体" w:cs="Arial"/>
                <w:sz w:val="20"/>
                <w:szCs w:val="22"/>
                <w:lang w:val="en-US" w:eastAsia="zh-CN"/>
              </w:rPr>
              <w:t>-</w:t>
            </w:r>
            <w:r>
              <w:rPr>
                <w:rFonts w:hint="eastAsia" w:ascii="黑体" w:hAnsi="黑体" w:eastAsia="黑体" w:cs="Arial"/>
                <w:sz w:val="20"/>
                <w:szCs w:val="22"/>
                <w:lang w:val="en-US" w:eastAsia="zh-CN"/>
              </w:rPr>
              <w:t>ML优化线型</w:t>
            </w:r>
          </w:p>
          <w:p w14:paraId="7666857C">
            <w:pPr>
              <w:jc w:val="center"/>
              <w:rPr>
                <w:rFonts w:hint="eastAsia" w:cs="Arial"/>
                <w:lang w:val="en-US" w:eastAsia="zh-CN"/>
              </w:rPr>
            </w:pPr>
            <w:r>
              <w:rPr>
                <w:rFonts w:hint="eastAsia" w:ascii="黑体" w:hAnsi="黑体" w:eastAsia="黑体" w:cs="Arial"/>
                <w:sz w:val="20"/>
                <w:szCs w:val="22"/>
                <w:lang w:val="en-US" w:eastAsia="zh-CN"/>
              </w:rPr>
              <w:t>（</w:t>
            </w:r>
            <w:r>
              <w:rPr>
                <w:rFonts w:hint="eastAsia" w:ascii="黑体" w:hAnsi="黑体" w:eastAsia="黑体" w:cs="Arial"/>
                <w:i/>
                <w:sz w:val="20"/>
                <w:szCs w:val="22"/>
                <w:lang w:val="en-US" w:eastAsia="zh-CN"/>
              </w:rPr>
              <w:t>w</w:t>
            </w:r>
            <w:r>
              <w:rPr>
                <w:rFonts w:hint="eastAsia" w:ascii="黑体" w:hAnsi="黑体" w:eastAsia="黑体" w:cs="Arial"/>
                <w:sz w:val="20"/>
                <w:szCs w:val="22"/>
                <w:lang w:val="en-US" w:eastAsia="zh-CN"/>
              </w:rPr>
              <w:t>：CPWG过渡带宽度；</w:t>
            </w:r>
            <w:r>
              <w:rPr>
                <w:rFonts w:hint="eastAsia" w:ascii="黑体" w:hAnsi="黑体" w:eastAsia="黑体" w:cs="Arial"/>
                <w:i/>
                <w:sz w:val="20"/>
                <w:szCs w:val="22"/>
                <w:lang w:val="en-US" w:eastAsia="zh-CN"/>
              </w:rPr>
              <w:t>t</w:t>
            </w:r>
            <w:r>
              <w:rPr>
                <w:rFonts w:hint="eastAsia" w:ascii="黑体" w:hAnsi="黑体" w:eastAsia="黑体" w:cs="Arial"/>
                <w:sz w:val="20"/>
                <w:szCs w:val="22"/>
                <w:lang w:val="en-US" w:eastAsia="zh-CN"/>
              </w:rPr>
              <w:t>：CPWG过渡带子过渡区长度；</w:t>
            </w:r>
            <w:r>
              <w:rPr>
                <w:rFonts w:hint="eastAsia" w:ascii="黑体" w:hAnsi="黑体" w:eastAsia="黑体" w:cs="Arial"/>
                <w:i/>
                <w:sz w:val="20"/>
                <w:szCs w:val="22"/>
                <w:lang w:val="en-US" w:eastAsia="zh-CN"/>
              </w:rPr>
              <w:t>g</w:t>
            </w:r>
            <w:r>
              <w:rPr>
                <w:rFonts w:hint="eastAsia" w:ascii="黑体" w:hAnsi="黑体" w:eastAsia="黑体" w:cs="Arial"/>
                <w:sz w:val="20"/>
                <w:szCs w:val="22"/>
                <w:lang w:val="en-US" w:eastAsia="zh-CN"/>
              </w:rPr>
              <w:t>：CPWG槽距）</w:t>
            </w:r>
          </w:p>
          <w:p w14:paraId="561BEB7E">
            <w:pPr>
              <w:jc w:val="center"/>
              <w:rPr>
                <w:rFonts w:cs="Arial"/>
                <w:lang w:val="en-US" w:eastAsia="zh-CN"/>
              </w:rPr>
            </w:pPr>
            <w:r>
              <w:rPr>
                <w:rFonts w:cs="Arial"/>
                <w:lang w:val="en-US" w:eastAsia="zh-CN"/>
              </w:rPr>
              <w:drawing>
                <wp:inline distT="0" distB="0" distL="0" distR="0">
                  <wp:extent cx="3057525" cy="1054735"/>
                  <wp:effectExtent l="0" t="0" r="5715" b="12065"/>
                  <wp:docPr id="1672877316" name="图片 10" descr="E:\CSC-DAAD\Research Proposal\Publication\ConnectorA_stand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77316" name="图片 10" descr="E:\CSC-DAAD\Research Proposal\Publication\ConnectorA_standards.PNG"/>
                          <pic:cNvPicPr>
                            <a:picLocks noChangeAspect="1" noChangeArrowheads="1"/>
                          </pic:cNvPicPr>
                        </pic:nvPicPr>
                        <pic:blipFill>
                          <a:blip r:embed="rId11">
                            <a:extLst>
                              <a:ext uri="{28A0092B-C50C-407E-A947-70E740481C1C}">
                                <a14:useLocalDpi xmlns:a14="http://schemas.microsoft.com/office/drawing/2010/main" val="0"/>
                              </a:ext>
                            </a:extLst>
                          </a:blip>
                          <a:srcRect t="4611" b="36497"/>
                          <a:stretch>
                            <a:fillRect/>
                          </a:stretch>
                        </pic:blipFill>
                        <pic:spPr>
                          <a:xfrm>
                            <a:off x="0" y="0"/>
                            <a:ext cx="3057525" cy="1054735"/>
                          </a:xfrm>
                          <a:prstGeom prst="rect">
                            <a:avLst/>
                          </a:prstGeom>
                          <a:noFill/>
                          <a:ln>
                            <a:noFill/>
                          </a:ln>
                        </pic:spPr>
                      </pic:pic>
                    </a:graphicData>
                  </a:graphic>
                </wp:inline>
              </w:drawing>
            </w:r>
          </w:p>
          <w:p w14:paraId="08262DF3">
            <w:pPr>
              <w:jc w:val="center"/>
              <w:rPr>
                <w:rFonts w:ascii="黑体" w:hAnsi="黑体" w:eastAsia="黑体" w:cs="Arial"/>
                <w:sz w:val="20"/>
                <w:szCs w:val="22"/>
                <w:lang w:val="en-US" w:eastAsia="zh-CN"/>
              </w:rPr>
            </w:pPr>
            <w:r>
              <w:rPr>
                <w:rFonts w:hint="eastAsia" w:ascii="黑体" w:hAnsi="黑体" w:eastAsia="黑体" w:cs="Arial"/>
                <w:sz w:val="20"/>
                <w:szCs w:val="22"/>
                <w:lang w:val="en-US" w:eastAsia="zh-CN"/>
              </w:rPr>
              <w:t>图</w:t>
            </w:r>
            <w:r>
              <w:rPr>
                <w:rFonts w:hint="eastAsia" w:ascii="黑体" w:hAnsi="黑体" w:eastAsia="黑体" w:cs="Arial"/>
                <w:sz w:val="20"/>
                <w:szCs w:val="22"/>
                <w:lang w:val="en-US"/>
              </w:rPr>
              <w:t>5</w:t>
            </w:r>
            <w:r>
              <w:rPr>
                <w:rFonts w:ascii="黑体" w:hAnsi="黑体" w:eastAsia="黑体" w:cs="Arial"/>
                <w:sz w:val="20"/>
                <w:szCs w:val="22"/>
                <w:lang w:val="en-US" w:eastAsia="zh-CN"/>
              </w:rPr>
              <w:t xml:space="preserve"> </w:t>
            </w:r>
            <w:r>
              <w:rPr>
                <w:rFonts w:hint="eastAsia" w:ascii="黑体" w:hAnsi="黑体" w:eastAsia="黑体" w:cs="Arial"/>
                <w:sz w:val="20"/>
                <w:szCs w:val="22"/>
                <w:lang w:val="en-US" w:eastAsia="zh-CN"/>
              </w:rPr>
              <w:t>第一种优化线型的实物</w:t>
            </w:r>
          </w:p>
          <w:p w14:paraId="3BBD6957">
            <w:pPr>
              <w:jc w:val="center"/>
              <w:rPr>
                <w:rFonts w:cs="Arial"/>
                <w:lang w:val="en-US" w:eastAsia="zh-CN"/>
              </w:rPr>
            </w:pPr>
            <w:r>
              <w:rPr>
                <w:rFonts w:cs="Arial"/>
                <w:lang w:val="en-US" w:eastAsia="zh-CN"/>
              </w:rPr>
              <w:drawing>
                <wp:inline distT="0" distB="0" distL="0" distR="0">
                  <wp:extent cx="2799080" cy="2182495"/>
                  <wp:effectExtent l="0" t="0" r="5080" b="12065"/>
                  <wp:docPr id="4855623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6238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99080" cy="2182495"/>
                          </a:xfrm>
                          <a:prstGeom prst="rect">
                            <a:avLst/>
                          </a:prstGeom>
                          <a:noFill/>
                          <a:ln>
                            <a:noFill/>
                          </a:ln>
                        </pic:spPr>
                      </pic:pic>
                    </a:graphicData>
                  </a:graphic>
                </wp:inline>
              </w:drawing>
            </w:r>
          </w:p>
          <w:p w14:paraId="6C7F12EF">
            <w:pPr>
              <w:jc w:val="center"/>
              <w:rPr>
                <w:rFonts w:hint="eastAsia" w:ascii="黑体" w:hAnsi="黑体" w:eastAsia="黑体" w:cs="Arial"/>
                <w:sz w:val="20"/>
                <w:szCs w:val="22"/>
                <w:lang w:val="en-US" w:eastAsia="zh-CN"/>
              </w:rPr>
            </w:pPr>
            <w:r>
              <w:rPr>
                <w:rFonts w:hint="eastAsia" w:ascii="黑体" w:hAnsi="黑体" w:eastAsia="黑体" w:cs="Arial"/>
                <w:sz w:val="20"/>
                <w:szCs w:val="22"/>
                <w:lang w:val="en-US" w:eastAsia="zh-CN"/>
              </w:rPr>
              <w:t>图</w:t>
            </w:r>
            <w:r>
              <w:rPr>
                <w:rFonts w:hint="eastAsia" w:ascii="黑体" w:hAnsi="黑体" w:eastAsia="黑体" w:cs="Arial"/>
                <w:sz w:val="20"/>
                <w:szCs w:val="22"/>
                <w:lang w:val="en-US"/>
              </w:rPr>
              <w:t>6</w:t>
            </w:r>
            <w:r>
              <w:rPr>
                <w:rFonts w:ascii="黑体" w:hAnsi="黑体" w:eastAsia="黑体" w:cs="Arial"/>
                <w:sz w:val="20"/>
                <w:szCs w:val="22"/>
                <w:lang w:val="en-US" w:eastAsia="zh-CN"/>
              </w:rPr>
              <w:t xml:space="preserve"> </w:t>
            </w:r>
            <w:r>
              <w:rPr>
                <w:rFonts w:hint="eastAsia" w:ascii="黑体" w:hAnsi="黑体" w:eastAsia="黑体" w:cs="Arial"/>
                <w:sz w:val="20"/>
                <w:szCs w:val="22"/>
                <w:lang w:val="en-US" w:eastAsia="zh-CN"/>
              </w:rPr>
              <w:t>三种优化线型的时域反射仿真</w:t>
            </w:r>
          </w:p>
          <w:p w14:paraId="245E413A">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 xml:space="preserve">图6是三种线型的时域反射阻抗匹配仿真结果。仿真数据显示了上升时间为500ps的阶跃响应。可以看出，由于引入了更多的过渡带，c线型的阻抗变化更加平滑。图4中夹具c的设计最符合高品质夹具的设计要求。 </w:t>
            </w:r>
          </w:p>
          <w:p w14:paraId="4EF911F4">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在本成果提到的端口话二次去嵌入技术中，我们将使用包括仿真和实测在内的混合方法，进一步剥离TRL校准获得的被测件（DUT）参数中包含的焊盘、封装等干扰，并获得元件的固有参数，可以准确地推广到任何其他应用情况，即增强模型的可适用性。对于本文中实现的带有DUT的夹具，可以通过图进行分析，其中D表示元件的散射矩阵。具体来说，短传输线、焊盘、封装都包含在矩阵S中。</w:t>
            </w:r>
          </w:p>
          <w:p w14:paraId="4432AD35">
            <w:pPr>
              <w:jc w:val="center"/>
              <w:rPr>
                <w:rFonts w:eastAsia="等线"/>
                <w:lang w:val="en-US" w:eastAsia="zh-CN"/>
              </w:rPr>
            </w:pPr>
            <w:r>
              <w:rPr>
                <w:rFonts w:eastAsia="等线"/>
                <w:lang w:val="en-US" w:eastAsia="zh-CN"/>
              </w:rPr>
              <w:drawing>
                <wp:inline distT="0" distB="0" distL="0" distR="0">
                  <wp:extent cx="2816225" cy="1795145"/>
                  <wp:effectExtent l="0" t="0" r="3175" b="3175"/>
                  <wp:docPr id="179698456" name="图片 8" descr="E:\CSC-DAAD\Research Proposal\Publication\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8456" name="图片 8" descr="E:\CSC-DAAD\Research Proposal\Publication\20.png"/>
                          <pic:cNvPicPr>
                            <a:picLocks noChangeAspect="1" noChangeArrowheads="1"/>
                          </pic:cNvPicPr>
                        </pic:nvPicPr>
                        <pic:blipFill>
                          <a:blip r:embed="rId13">
                            <a:extLst>
                              <a:ext uri="{28A0092B-C50C-407E-A947-70E740481C1C}">
                                <a14:useLocalDpi xmlns:a14="http://schemas.microsoft.com/office/drawing/2010/main" val="0"/>
                              </a:ext>
                            </a:extLst>
                          </a:blip>
                          <a:srcRect b="4381"/>
                          <a:stretch>
                            <a:fillRect/>
                          </a:stretch>
                        </pic:blipFill>
                        <pic:spPr>
                          <a:xfrm>
                            <a:off x="0" y="0"/>
                            <a:ext cx="2816225" cy="1795145"/>
                          </a:xfrm>
                          <a:prstGeom prst="rect">
                            <a:avLst/>
                          </a:prstGeom>
                          <a:noFill/>
                          <a:ln>
                            <a:noFill/>
                          </a:ln>
                        </pic:spPr>
                      </pic:pic>
                    </a:graphicData>
                  </a:graphic>
                </wp:inline>
              </w:drawing>
            </w:r>
          </w:p>
          <w:p w14:paraId="672BB5D9">
            <w:pPr>
              <w:jc w:val="center"/>
              <w:rPr>
                <w:rFonts w:hint="eastAsia" w:ascii="黑体" w:hAnsi="黑体" w:eastAsia="黑体"/>
                <w:sz w:val="20"/>
                <w:szCs w:val="22"/>
              </w:rPr>
            </w:pPr>
            <w:r>
              <w:rPr>
                <w:rFonts w:hint="eastAsia" w:ascii="黑体" w:hAnsi="黑体" w:eastAsia="黑体"/>
                <w:sz w:val="20"/>
                <w:szCs w:val="22"/>
              </w:rPr>
              <w:t>图7</w:t>
            </w:r>
            <w:r>
              <w:rPr>
                <w:rFonts w:ascii="黑体" w:hAnsi="黑体" w:eastAsia="黑体"/>
                <w:sz w:val="20"/>
                <w:szCs w:val="22"/>
              </w:rPr>
              <w:t xml:space="preserve"> </w:t>
            </w:r>
            <w:r>
              <w:rPr>
                <w:rFonts w:hint="eastAsia" w:ascii="黑体" w:hAnsi="黑体" w:eastAsia="黑体"/>
                <w:sz w:val="20"/>
                <w:szCs w:val="22"/>
              </w:rPr>
              <w:t>夹具和被测件参数构成示意图</w:t>
            </w:r>
          </w:p>
          <w:p w14:paraId="12EC3FBE">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夹具由一个通用的3端口网络表示，不对其电气特性进行假设，网络的前两个端口是夹具的外部端口，连接到测量仪器，另一个端口是设备的端口。因此，S矩阵可以处理为：</w:t>
            </w:r>
          </w:p>
          <w:p w14:paraId="6B0EE17B">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object>
                <v:shape id="_x0000_i1027" o:spt="75" type="#_x0000_t75" style="height:31.8pt;width:70.25pt;" o:ole="t" filled="f" o:preferrelative="t" stroked="f" coordsize="21600,21600">
                  <v:path/>
                  <v:fill on="f" focussize="0,0"/>
                  <v:stroke on="f" joinstyle="miter"/>
                  <v:imagedata r:id="rId15" o:title=""/>
                  <o:lock v:ext="edit" aspectratio="t"/>
                  <w10:wrap type="none"/>
                  <w10:anchorlock/>
                </v:shape>
                <o:OLEObject Type="Embed" ProgID="Equation.DSMT4" ShapeID="_x0000_i1027" DrawAspect="Content" ObjectID="_1468075727" r:id="rId14">
                  <o:LockedField>false</o:LockedField>
                </o:OLEObject>
              </w:object>
            </w:r>
            <w:r>
              <w:rPr>
                <w:rFonts w:hint="eastAsia" w:ascii="Times New Roman" w:hAnsi="Times New Roman" w:eastAsia="宋体" w:cs="Times New Roman"/>
                <w:sz w:val="20"/>
              </w:rPr>
              <w:t xml:space="preserve">                                </w:t>
            </w:r>
          </w:p>
          <w:p w14:paraId="0C5623CF">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 xml:space="preserve"> （1）</w:t>
            </w:r>
          </w:p>
          <w:p w14:paraId="5FA8701F">
            <w:pPr>
              <w:spacing w:line="320" w:lineRule="exact"/>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当DUT嵌入夹具中时，总散射矩阵测量SM可以表示为：</w:t>
            </w:r>
          </w:p>
          <w:p w14:paraId="4682D5F6">
            <w:pPr>
              <w:wordWrap w:val="0"/>
              <w:jc w:val="right"/>
              <w:rPr>
                <w:rFonts w:eastAsia="等线"/>
              </w:rPr>
            </w:pPr>
            <w:r>
              <w:rPr>
                <w:rFonts w:eastAsia="等线"/>
                <w:position w:val="-10"/>
              </w:rPr>
              <w:object>
                <v:shape id="_x0000_i1028" o:spt="75" type="#_x0000_t75" style="height:16.8pt;width:132.95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6">
                  <o:LockedField>false</o:LockedField>
                </o:OLEObject>
              </w:object>
            </w:r>
            <w:r>
              <w:rPr>
                <w:rFonts w:eastAsia="等线"/>
              </w:rPr>
              <w:t xml:space="preserve">                        </w:t>
            </w:r>
          </w:p>
          <w:p w14:paraId="5BE250BE">
            <w:pPr>
              <w:wordWrap w:val="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p w14:paraId="1440700E">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求解该方程时，D矩阵表示为：</w:t>
            </w:r>
          </w:p>
          <w:p w14:paraId="07177333">
            <w:pPr>
              <w:wordWrap w:val="0"/>
              <w:jc w:val="righ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r>
              <w:rPr>
                <w:rFonts w:hint="eastAsia" w:asciiTheme="minorEastAsia" w:hAnsiTheme="minorEastAsia" w:eastAsiaTheme="minorEastAsia" w:cstheme="minorEastAsia"/>
                <w:position w:val="-20"/>
                <w:sz w:val="20"/>
                <w:szCs w:val="20"/>
              </w:rPr>
              <w:object>
                <v:shape id="_x0000_i1029" o:spt="75" type="#_x0000_t75" style="height:26.95pt;width:150.65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r>
              <w:rPr>
                <w:rFonts w:hint="eastAsia" w:asciiTheme="minorEastAsia" w:hAnsiTheme="minorEastAsia" w:eastAsiaTheme="minorEastAsia" w:cstheme="minorEastAsia"/>
                <w:sz w:val="20"/>
                <w:szCs w:val="20"/>
              </w:rPr>
              <w:t xml:space="preserve">                       （3）</w:t>
            </w:r>
          </w:p>
          <w:p w14:paraId="29AB2227">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其中†代表穆尔-彭罗斯Moore-Penrose广义逆。</w:t>
            </w:r>
          </w:p>
          <w:p w14:paraId="2549F59B">
            <w:pPr>
              <w:spacing w:line="400" w:lineRule="exact"/>
              <w:ind w:firstLine="400" w:firstLineChars="20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理论上，嵌入方程可以在没有TRL校准的情况下直接使用，但该方法的准确性在很大程度上取决于仿真和实测之间的一致性。通过TRL校准，至少可以消除同轴线到印制电路板之间的转换引起的失配，从而进一步保证实测和仿真之间的一致性。二次去嵌入的流程图如图8所示。</w:t>
            </w:r>
          </w:p>
          <w:p w14:paraId="50015F13">
            <w:pPr>
              <w:jc w:val="center"/>
            </w:pPr>
            <w:r>
              <w:object>
                <v:shape id="_x0000_i1030" o:spt="75" type="#_x0000_t75" style="height:211.15pt;width:299.05pt;" o:ole="t" filled="f" o:preferrelative="t" stroked="f" coordsize="21600,21600">
                  <v:path/>
                  <v:fill on="f" focussize="0,0"/>
                  <v:stroke on="f" joinstyle="miter"/>
                  <v:imagedata r:id="rId21" o:title=""/>
                  <o:lock v:ext="edit" aspectratio="t"/>
                  <w10:wrap type="none"/>
                  <w10:anchorlock/>
                </v:shape>
                <o:OLEObject Type="Embed" ProgID="Visio.Drawing.15" ShapeID="_x0000_i1030" DrawAspect="Content" ObjectID="_1468075730" r:id="rId20">
                  <o:LockedField>false</o:LockedField>
                </o:OLEObject>
              </w:object>
            </w:r>
          </w:p>
          <w:p w14:paraId="5FA945B3">
            <w:pPr>
              <w:jc w:val="center"/>
              <w:rPr>
                <w:rFonts w:ascii="黑体" w:hAnsi="黑体" w:eastAsia="黑体"/>
                <w:sz w:val="20"/>
                <w:szCs w:val="20"/>
              </w:rPr>
            </w:pPr>
            <w:r>
              <w:rPr>
                <w:rFonts w:hint="eastAsia" w:ascii="黑体" w:hAnsi="黑体" w:eastAsia="黑体"/>
                <w:sz w:val="20"/>
                <w:szCs w:val="20"/>
              </w:rPr>
              <w:t>图8</w:t>
            </w:r>
            <w:r>
              <w:rPr>
                <w:rFonts w:ascii="黑体" w:hAnsi="黑体" w:eastAsia="黑体"/>
                <w:sz w:val="20"/>
                <w:szCs w:val="20"/>
              </w:rPr>
              <w:t xml:space="preserve"> </w:t>
            </w:r>
            <w:r>
              <w:rPr>
                <w:rFonts w:hint="eastAsia" w:ascii="黑体" w:hAnsi="黑体" w:eastAsia="黑体"/>
                <w:sz w:val="20"/>
                <w:szCs w:val="20"/>
              </w:rPr>
              <w:t>二次去嵌入技术流程图</w:t>
            </w:r>
          </w:p>
          <w:p w14:paraId="7BE3D025">
            <w:pPr>
              <w:ind w:firstLine="400" w:firstLineChars="20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为了验证二次去嵌入的有效性，在18GHz的频率下，用额外的一次仿真数据，代替实测数据，器件采用非标S型焊盘，封装采用0805，器件是4.7pF的电容，仿真模型如图9所示。</w:t>
            </w:r>
          </w:p>
          <w:tbl>
            <w:tblPr>
              <w:tblStyle w:val="6"/>
              <w:tblW w:w="7938" w:type="dxa"/>
              <w:jc w:val="center"/>
              <w:tblLayout w:type="fixed"/>
              <w:tblCellMar>
                <w:top w:w="0" w:type="dxa"/>
                <w:left w:w="108" w:type="dxa"/>
                <w:bottom w:w="0" w:type="dxa"/>
                <w:right w:w="108" w:type="dxa"/>
              </w:tblCellMar>
            </w:tblPr>
            <w:tblGrid>
              <w:gridCol w:w="3969"/>
              <w:gridCol w:w="3969"/>
            </w:tblGrid>
            <w:tr w14:paraId="38B1923A">
              <w:tblPrEx>
                <w:tblCellMar>
                  <w:top w:w="0" w:type="dxa"/>
                  <w:left w:w="108" w:type="dxa"/>
                  <w:bottom w:w="0" w:type="dxa"/>
                  <w:right w:w="108" w:type="dxa"/>
                </w:tblCellMar>
              </w:tblPrEx>
              <w:trPr>
                <w:jc w:val="center"/>
              </w:trPr>
              <w:tc>
                <w:tcPr>
                  <w:tcW w:w="3969" w:type="dxa"/>
                  <w:vAlign w:val="center"/>
                </w:tcPr>
                <w:p w14:paraId="6DB51FC3">
                  <w:pPr>
                    <w:jc w:val="center"/>
                    <w:rPr>
                      <w:rFonts w:eastAsia="等线"/>
                      <w:szCs w:val="20"/>
                    </w:rPr>
                  </w:pPr>
                  <w:r>
                    <w:rPr>
                      <w:rFonts w:eastAsia="等线"/>
                      <w:szCs w:val="20"/>
                      <w:lang w:val="en-US" w:eastAsia="zh-CN"/>
                    </w:rPr>
                    <w:drawing>
                      <wp:inline distT="0" distB="0" distL="0" distR="0">
                        <wp:extent cx="1621155" cy="1021080"/>
                        <wp:effectExtent l="0" t="0" r="9525" b="0"/>
                        <wp:docPr id="167570172" name="图片 7" descr="E:\CSC-DAAD\Research Proposal\Publication\28(b)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0172" name="图片 7" descr="E:\CSC-DAAD\Research Proposal\Publication\28(b)_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21155" cy="1021080"/>
                                </a:xfrm>
                                <a:prstGeom prst="rect">
                                  <a:avLst/>
                                </a:prstGeom>
                                <a:noFill/>
                                <a:ln>
                                  <a:noFill/>
                                </a:ln>
                              </pic:spPr>
                            </pic:pic>
                          </a:graphicData>
                        </a:graphic>
                      </wp:inline>
                    </w:drawing>
                  </w:r>
                </w:p>
              </w:tc>
              <w:tc>
                <w:tcPr>
                  <w:tcW w:w="3969" w:type="dxa"/>
                  <w:vAlign w:val="center"/>
                </w:tcPr>
                <w:p w14:paraId="589073A6">
                  <w:pPr>
                    <w:jc w:val="center"/>
                    <w:rPr>
                      <w:rFonts w:eastAsia="等线"/>
                      <w:szCs w:val="20"/>
                    </w:rPr>
                  </w:pPr>
                  <w:r>
                    <w:rPr>
                      <w:rFonts w:eastAsia="等线"/>
                      <w:szCs w:val="20"/>
                      <w:lang w:val="en-US" w:eastAsia="zh-CN"/>
                    </w:rPr>
                    <w:drawing>
                      <wp:inline distT="0" distB="0" distL="0" distR="0">
                        <wp:extent cx="2159635" cy="970280"/>
                        <wp:effectExtent l="0" t="0" r="4445" b="5080"/>
                        <wp:docPr id="602946809" name="图片 6" descr="E:\CSC-DAAD\Research Proposal\Publication\28(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6809" name="图片 6" descr="E:\CSC-DAAD\Research Proposal\Publication\28(a)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59635" cy="970280"/>
                                </a:xfrm>
                                <a:prstGeom prst="rect">
                                  <a:avLst/>
                                </a:prstGeom>
                                <a:noFill/>
                                <a:ln>
                                  <a:noFill/>
                                </a:ln>
                              </pic:spPr>
                            </pic:pic>
                          </a:graphicData>
                        </a:graphic>
                      </wp:inline>
                    </w:drawing>
                  </w:r>
                </w:p>
              </w:tc>
            </w:tr>
            <w:tr w14:paraId="3C00178E">
              <w:tblPrEx>
                <w:tblCellMar>
                  <w:top w:w="0" w:type="dxa"/>
                  <w:left w:w="108" w:type="dxa"/>
                  <w:bottom w:w="0" w:type="dxa"/>
                  <w:right w:w="108" w:type="dxa"/>
                </w:tblCellMar>
              </w:tblPrEx>
              <w:trPr>
                <w:jc w:val="center"/>
              </w:trPr>
              <w:tc>
                <w:tcPr>
                  <w:tcW w:w="3969" w:type="dxa"/>
                  <w:vAlign w:val="center"/>
                </w:tcPr>
                <w:p w14:paraId="0F439CA1">
                  <w:pPr>
                    <w:jc w:val="center"/>
                    <w:rPr>
                      <w:rFonts w:ascii="黑体" w:hAnsi="黑体" w:eastAsia="黑体"/>
                      <w:sz w:val="20"/>
                      <w:szCs w:val="20"/>
                    </w:rPr>
                  </w:pPr>
                  <w:r>
                    <w:rPr>
                      <w:rFonts w:ascii="黑体" w:hAnsi="黑体" w:eastAsia="黑体"/>
                      <w:sz w:val="20"/>
                      <w:szCs w:val="20"/>
                    </w:rPr>
                    <w:t>(a)标准0805封装和焊盘</w:t>
                  </w:r>
                </w:p>
              </w:tc>
              <w:tc>
                <w:tcPr>
                  <w:tcW w:w="3969" w:type="dxa"/>
                  <w:vAlign w:val="center"/>
                </w:tcPr>
                <w:p w14:paraId="2FDC92FF">
                  <w:pPr>
                    <w:keepNext/>
                    <w:jc w:val="center"/>
                    <w:rPr>
                      <w:rFonts w:ascii="黑体" w:hAnsi="黑体" w:eastAsia="黑体"/>
                      <w:sz w:val="20"/>
                      <w:szCs w:val="20"/>
                    </w:rPr>
                  </w:pPr>
                  <w:r>
                    <w:rPr>
                      <w:rFonts w:ascii="黑体" w:hAnsi="黑体" w:eastAsia="黑体"/>
                      <w:sz w:val="20"/>
                      <w:szCs w:val="20"/>
                    </w:rPr>
                    <w:t>(b)非标S型焊盘</w:t>
                  </w:r>
                </w:p>
              </w:tc>
            </w:tr>
          </w:tbl>
          <w:p w14:paraId="6A947109">
            <w:pPr>
              <w:pStyle w:val="11"/>
              <w:spacing w:before="0" w:beforeLines="0"/>
              <w:rPr>
                <w:rFonts w:ascii="黑体" w:hAnsi="黑体"/>
                <w:szCs w:val="20"/>
              </w:rPr>
            </w:pPr>
            <w:r>
              <w:rPr>
                <w:rFonts w:ascii="黑体" w:hAnsi="黑体"/>
                <w:szCs w:val="20"/>
              </w:rPr>
              <w:t>图</w:t>
            </w:r>
            <w:r>
              <w:rPr>
                <w:rFonts w:hint="eastAsia" w:ascii="黑体" w:hAnsi="黑体"/>
                <w:szCs w:val="20"/>
              </w:rPr>
              <w:t>9</w:t>
            </w:r>
            <w:r>
              <w:rPr>
                <w:rFonts w:ascii="黑体" w:hAnsi="黑体"/>
                <w:szCs w:val="20"/>
              </w:rPr>
              <w:t xml:space="preserve"> CST仿真软件中0805封装4.7pF电容3D模型</w:t>
            </w:r>
          </w:p>
          <w:p w14:paraId="5BC146ED">
            <w:pPr>
              <w:pStyle w:val="11"/>
              <w:spacing w:before="0" w:beforeLines="0" w:line="300" w:lineRule="exact"/>
              <w:ind w:firstLine="400" w:firstLineChars="200"/>
              <w:jc w:val="both"/>
              <w:rPr>
                <w:rFonts w:eastAsia="宋体"/>
              </w:rPr>
            </w:pPr>
            <w:r>
              <w:rPr>
                <w:rFonts w:hint="eastAsia" w:eastAsia="宋体"/>
              </w:rPr>
              <w:t>从图10中的结果可以看出，两个S参数结果完全匹配，这意味着获得了DUT的准确散射S参数。嵌入方程的求解是合理的。</w:t>
            </w:r>
          </w:p>
          <w:tbl>
            <w:tblPr>
              <w:tblStyle w:val="6"/>
              <w:tblW w:w="7938" w:type="dxa"/>
              <w:jc w:val="center"/>
              <w:tblLayout w:type="fixed"/>
              <w:tblCellMar>
                <w:top w:w="0" w:type="dxa"/>
                <w:left w:w="108" w:type="dxa"/>
                <w:bottom w:w="0" w:type="dxa"/>
                <w:right w:w="108" w:type="dxa"/>
              </w:tblCellMar>
            </w:tblPr>
            <w:tblGrid>
              <w:gridCol w:w="3969"/>
              <w:gridCol w:w="3969"/>
            </w:tblGrid>
            <w:tr w14:paraId="6E3DDE99">
              <w:tblPrEx>
                <w:tblCellMar>
                  <w:top w:w="0" w:type="dxa"/>
                  <w:left w:w="108" w:type="dxa"/>
                  <w:bottom w:w="0" w:type="dxa"/>
                  <w:right w:w="108" w:type="dxa"/>
                </w:tblCellMar>
              </w:tblPrEx>
              <w:trPr>
                <w:jc w:val="center"/>
              </w:trPr>
              <w:tc>
                <w:tcPr>
                  <w:tcW w:w="2520" w:type="dxa"/>
                  <w:vAlign w:val="center"/>
                </w:tcPr>
                <w:p w14:paraId="20CAD814">
                  <w:pPr>
                    <w:jc w:val="center"/>
                  </w:pPr>
                  <w:r>
                    <w:rPr>
                      <w:lang w:val="en-US" w:eastAsia="zh-CN"/>
                    </w:rPr>
                    <w:drawing>
                      <wp:inline distT="0" distB="0" distL="0" distR="0">
                        <wp:extent cx="2159635" cy="1946910"/>
                        <wp:effectExtent l="0" t="0" r="4445" b="3810"/>
                        <wp:docPr id="5374919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91921" name="图片 5"/>
                                <pic:cNvPicPr>
                                  <a:picLocks noChangeAspect="1" noChangeArrowheads="1"/>
                                </pic:cNvPicPr>
                              </pic:nvPicPr>
                              <pic:blipFill>
                                <a:blip r:embed="rId24">
                                  <a:extLst>
                                    <a:ext uri="{28A0092B-C50C-407E-A947-70E740481C1C}">
                                      <a14:useLocalDpi xmlns:a14="http://schemas.microsoft.com/office/drawing/2010/main" val="0"/>
                                    </a:ext>
                                  </a:extLst>
                                </a:blip>
                                <a:srcRect r="6924"/>
                                <a:stretch>
                                  <a:fillRect/>
                                </a:stretch>
                              </pic:blipFill>
                              <pic:spPr>
                                <a:xfrm>
                                  <a:off x="0" y="0"/>
                                  <a:ext cx="2159635" cy="1946910"/>
                                </a:xfrm>
                                <a:prstGeom prst="rect">
                                  <a:avLst/>
                                </a:prstGeom>
                                <a:noFill/>
                                <a:ln>
                                  <a:noFill/>
                                </a:ln>
                              </pic:spPr>
                            </pic:pic>
                          </a:graphicData>
                        </a:graphic>
                      </wp:inline>
                    </w:drawing>
                  </w:r>
                </w:p>
              </w:tc>
              <w:tc>
                <w:tcPr>
                  <w:tcW w:w="2520" w:type="dxa"/>
                  <w:vAlign w:val="center"/>
                </w:tcPr>
                <w:p w14:paraId="20D032E9">
                  <w:pPr>
                    <w:jc w:val="center"/>
                  </w:pPr>
                  <w:r>
                    <w:rPr>
                      <w:lang w:val="en-US" w:eastAsia="zh-CN"/>
                    </w:rPr>
                    <w:drawing>
                      <wp:inline distT="0" distB="0" distL="0" distR="0">
                        <wp:extent cx="2159635" cy="1884680"/>
                        <wp:effectExtent l="0" t="0" r="4445" b="5080"/>
                        <wp:docPr id="5139692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69255" name="图片 4"/>
                                <pic:cNvPicPr>
                                  <a:picLocks noChangeAspect="1" noChangeArrowheads="1"/>
                                </pic:cNvPicPr>
                              </pic:nvPicPr>
                              <pic:blipFill>
                                <a:blip r:embed="rId25">
                                  <a:extLst>
                                    <a:ext uri="{28A0092B-C50C-407E-A947-70E740481C1C}">
                                      <a14:useLocalDpi xmlns:a14="http://schemas.microsoft.com/office/drawing/2010/main" val="0"/>
                                    </a:ext>
                                  </a:extLst>
                                </a:blip>
                                <a:srcRect r="6483"/>
                                <a:stretch>
                                  <a:fillRect/>
                                </a:stretch>
                              </pic:blipFill>
                              <pic:spPr>
                                <a:xfrm>
                                  <a:off x="0" y="0"/>
                                  <a:ext cx="2159635" cy="1884680"/>
                                </a:xfrm>
                                <a:prstGeom prst="rect">
                                  <a:avLst/>
                                </a:prstGeom>
                                <a:noFill/>
                                <a:ln>
                                  <a:noFill/>
                                </a:ln>
                              </pic:spPr>
                            </pic:pic>
                          </a:graphicData>
                        </a:graphic>
                      </wp:inline>
                    </w:drawing>
                  </w:r>
                </w:p>
              </w:tc>
            </w:tr>
            <w:tr w14:paraId="04BB18C8">
              <w:tblPrEx>
                <w:tblCellMar>
                  <w:top w:w="0" w:type="dxa"/>
                  <w:left w:w="108" w:type="dxa"/>
                  <w:bottom w:w="0" w:type="dxa"/>
                  <w:right w:w="108" w:type="dxa"/>
                </w:tblCellMar>
              </w:tblPrEx>
              <w:trPr>
                <w:jc w:val="center"/>
              </w:trPr>
              <w:tc>
                <w:tcPr>
                  <w:tcW w:w="2520" w:type="dxa"/>
                  <w:vAlign w:val="center"/>
                </w:tcPr>
                <w:p w14:paraId="56917822">
                  <w:pPr>
                    <w:jc w:val="center"/>
                    <w:rPr>
                      <w:rFonts w:ascii="黑体" w:hAnsi="黑体" w:eastAsia="黑体"/>
                      <w:sz w:val="20"/>
                      <w:szCs w:val="22"/>
                    </w:rPr>
                  </w:pPr>
                  <w:r>
                    <w:rPr>
                      <w:rFonts w:ascii="黑体" w:hAnsi="黑体" w:eastAsia="黑体"/>
                      <w:sz w:val="20"/>
                      <w:szCs w:val="22"/>
                    </w:rPr>
                    <w:t>(a)S(1,1)回波损耗曲线对比</w:t>
                  </w:r>
                </w:p>
              </w:tc>
              <w:tc>
                <w:tcPr>
                  <w:tcW w:w="2520" w:type="dxa"/>
                  <w:vAlign w:val="center"/>
                </w:tcPr>
                <w:p w14:paraId="25BAA790">
                  <w:pPr>
                    <w:jc w:val="center"/>
                    <w:rPr>
                      <w:rFonts w:ascii="黑体" w:hAnsi="黑体" w:eastAsia="黑体"/>
                      <w:sz w:val="20"/>
                      <w:szCs w:val="22"/>
                    </w:rPr>
                  </w:pPr>
                  <w:r>
                    <w:rPr>
                      <w:rFonts w:ascii="黑体" w:hAnsi="黑体" w:eastAsia="黑体"/>
                      <w:sz w:val="20"/>
                      <w:szCs w:val="22"/>
                    </w:rPr>
                    <w:t>(b)S(2,1)插入损耗曲线对比</w:t>
                  </w:r>
                </w:p>
              </w:tc>
            </w:tr>
          </w:tbl>
          <w:p w14:paraId="30E6C865">
            <w:pPr>
              <w:snapToGrid w:val="0"/>
              <w:jc w:val="center"/>
              <w:rPr>
                <w:rFonts w:ascii="黑体" w:hAnsi="黑体" w:eastAsia="黑体"/>
                <w:sz w:val="20"/>
                <w:szCs w:val="22"/>
              </w:rPr>
            </w:pPr>
            <w:r>
              <w:rPr>
                <w:rFonts w:ascii="黑体" w:hAnsi="黑体" w:eastAsia="黑体"/>
                <w:sz w:val="20"/>
                <w:szCs w:val="22"/>
              </w:rPr>
              <w:t>图</w:t>
            </w:r>
            <w:r>
              <w:rPr>
                <w:rFonts w:hint="eastAsia" w:ascii="黑体" w:hAnsi="黑体" w:eastAsia="黑体"/>
                <w:sz w:val="20"/>
                <w:szCs w:val="22"/>
              </w:rPr>
              <w:t>10</w:t>
            </w:r>
            <w:r>
              <w:rPr>
                <w:rFonts w:ascii="黑体" w:hAnsi="黑体" w:eastAsia="黑体"/>
                <w:sz w:val="20"/>
                <w:szCs w:val="22"/>
              </w:rPr>
              <w:t xml:space="preserve"> 将求解嵌入方程得到的</w:t>
            </w:r>
            <w:r>
              <w:rPr>
                <w:rFonts w:ascii="黑体" w:hAnsi="黑体" w:eastAsia="黑体"/>
                <w:b/>
                <w:i/>
                <w:sz w:val="20"/>
                <w:szCs w:val="22"/>
              </w:rPr>
              <w:t>D</w:t>
            </w:r>
            <w:r>
              <w:rPr>
                <w:rFonts w:ascii="黑体" w:hAnsi="黑体" w:eastAsia="黑体"/>
                <w:sz w:val="20"/>
                <w:szCs w:val="22"/>
              </w:rPr>
              <w:t>矩阵带入非标S型焊盘中进行验证</w:t>
            </w:r>
          </w:p>
          <w:p w14:paraId="4F444522">
            <w:pPr>
              <w:snapToGrid w:val="0"/>
              <w:spacing w:line="400" w:lineRule="exact"/>
              <w:ind w:firstLine="400" w:firstLineChars="20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在硬件条件上，本成果依托于常州信息职业技术学院，申请人所在电子工程学院拥有电子信息工程技术、计算机应用技术等国家骨干专业。学院与常州检验检测标准认证研究院共建电磁兼容EMC实验室，拥有3m法半电波暗室、传导发射测试系统、射频电磁场辐射抗扰度测试系统、低频辐射发射系统、射频场感应传导骚扰抗扰度系统、静电放电测试系统、脉冲群&amp;浪涌抗扰度测试系统、谐波&amp;波动抗扰度等测试系统及相关辅助设备，可满足GB17626、IEC61000-4、GB9254、GB4824等相关标准对测试场地的要求。</w:t>
            </w:r>
          </w:p>
          <w:p w14:paraId="15533B24">
            <w:pPr>
              <w:snapToGrid w:val="0"/>
              <w:spacing w:line="400" w:lineRule="exact"/>
              <w:ind w:firstLine="400" w:firstLineChars="200"/>
              <w:rPr>
                <w:rFonts w:hint="eastAsia" w:ascii="Times New Roman" w:hAnsi="Times New Roman" w:eastAsia="宋体" w:cs="Times New Roman"/>
                <w:sz w:val="20"/>
              </w:rPr>
            </w:pPr>
            <w:r>
              <w:rPr>
                <w:rFonts w:hint="eastAsia" w:asciiTheme="minorEastAsia" w:hAnsiTheme="minorEastAsia" w:eastAsiaTheme="minorEastAsia" w:cstheme="minorEastAsia"/>
                <w:sz w:val="20"/>
                <w:szCs w:val="20"/>
              </w:rPr>
              <w:t>课题组主要人员长期在一起从事科学研究和技术开发，已在本项目相关的学科具备较完善的知识储备和实践经验。在与本项目研究领域相关的复杂装备电磁兼容、电控、电动等方面完成数个省部级项目，在微波、射频、检测、电控、电动、传感器等方面申请并授权多项发明专利，在多电装备、最优化计算、电路、模电等方面主编多部教材并获奖，合作发表论文、出版专著、申请专利等。研究工作有一定的人力条件和连续性。因此，本成果的后续工作开展是有保障的。</w:t>
            </w:r>
          </w:p>
        </w:tc>
      </w:tr>
    </w:tbl>
    <w:p w14:paraId="3149501E">
      <w:pPr>
        <w:rPr>
          <w:rFonts w:hint="default" w:asciiTheme="minorEastAsia" w:hAnsiTheme="minorEastAsia" w:eastAsiaTheme="minorEastAsia" w:cstheme="minorEastAsia"/>
          <w:spacing w:val="-11"/>
          <w:sz w:val="28"/>
          <w:szCs w:val="28"/>
          <w:lang w:val="en-US" w:eastAsia="zh-CN"/>
        </w:rPr>
      </w:pPr>
      <w:r>
        <w:rPr>
          <w:rFonts w:hint="default" w:asciiTheme="minorEastAsia" w:hAnsiTheme="minorEastAsia" w:eastAsiaTheme="minorEastAsia" w:cstheme="minorEastAsia"/>
          <w:spacing w:val="-11"/>
          <w:sz w:val="28"/>
          <w:szCs w:val="28"/>
          <w:lang w:val="en-US" w:eastAsia="zh-CN"/>
        </w:rPr>
        <w:br w:type="page"/>
      </w:r>
    </w:p>
    <w:p w14:paraId="53B88AA7">
      <w:pPr>
        <w:spacing w:before="65" w:line="224" w:lineRule="auto"/>
        <w:ind w:left="39"/>
        <w:rPr>
          <w:rFonts w:hint="default" w:ascii="黑体" w:hAnsi="黑体" w:eastAsia="黑体" w:cs="黑体"/>
          <w:sz w:val="32"/>
          <w:szCs w:val="32"/>
          <w:lang w:val="en-US" w:eastAsia="zh-CN"/>
        </w:rPr>
      </w:pPr>
      <w:r>
        <w:rPr>
          <w:rFonts w:hint="eastAsia" w:ascii="黑体" w:hAnsi="黑体" w:eastAsia="黑体" w:cs="黑体"/>
          <w:sz w:val="32"/>
          <w:szCs w:val="32"/>
          <w:lang w:eastAsia="zh-CN"/>
        </w:rPr>
        <w:t>编号</w:t>
      </w:r>
      <w:r>
        <w:rPr>
          <w:rFonts w:hint="eastAsia" w:ascii="黑体" w:hAnsi="黑体" w:eastAsia="黑体" w:cs="黑体"/>
          <w:sz w:val="32"/>
          <w:szCs w:val="32"/>
          <w:lang w:val="en-US" w:eastAsia="zh-CN"/>
        </w:rPr>
        <w:t>32</w:t>
      </w:r>
    </w:p>
    <w:p w14:paraId="6E8612F7">
      <w:pPr>
        <w:pStyle w:val="5"/>
        <w:widowControl w:val="0"/>
        <w:overflowPunct w:val="0"/>
        <w:autoSpaceDE w:val="0"/>
        <w:autoSpaceDN w:val="0"/>
        <w:adjustRightInd w:val="0"/>
        <w:snapToGrid w:val="0"/>
        <w:spacing w:before="120" w:beforeAutospacing="0" w:after="240" w:afterAutospacing="0" w:line="570" w:lineRule="exact"/>
        <w:jc w:val="center"/>
        <w:rPr>
          <w:rFonts w:hint="default" w:ascii="Times New Roman" w:hAnsi="Times New Roman" w:eastAsia="方正小标宋简体" w:cs="Times New Roman"/>
          <w:kern w:val="2"/>
          <w:sz w:val="44"/>
          <w:szCs w:val="44"/>
        </w:rPr>
      </w:pPr>
      <w:r>
        <w:rPr>
          <w:rFonts w:hint="default" w:ascii="Times New Roman" w:hAnsi="Times New Roman" w:eastAsia="方正小标宋简体" w:cs="Times New Roman"/>
          <w:kern w:val="2"/>
          <w:sz w:val="44"/>
          <w:szCs w:val="44"/>
          <w:lang w:val="en-US" w:eastAsia="zh-CN"/>
        </w:rPr>
        <w:t>202</w:t>
      </w:r>
      <w:r>
        <w:rPr>
          <w:rFonts w:hint="eastAsia" w:ascii="Times New Roman" w:hAnsi="Times New Roman" w:eastAsia="方正小标宋简体" w:cs="Times New Roman"/>
          <w:kern w:val="2"/>
          <w:sz w:val="44"/>
          <w:szCs w:val="44"/>
          <w:lang w:val="en-US" w:eastAsia="zh-CN"/>
        </w:rPr>
        <w:t>5</w:t>
      </w:r>
      <w:r>
        <w:rPr>
          <w:rFonts w:hint="default" w:ascii="Times New Roman" w:hAnsi="Times New Roman" w:eastAsia="方正小标宋简体" w:cs="Times New Roman"/>
          <w:kern w:val="2"/>
          <w:sz w:val="44"/>
          <w:szCs w:val="44"/>
          <w:lang w:val="en-US" w:eastAsia="zh-CN"/>
        </w:rPr>
        <w:t>年钟楼区“揭榜挂帅”</w:t>
      </w:r>
      <w:r>
        <w:rPr>
          <w:rFonts w:hint="eastAsia" w:ascii="Times New Roman" w:hAnsi="Times New Roman" w:eastAsia="方正小标宋简体" w:cs="Times New Roman"/>
          <w:kern w:val="2"/>
          <w:sz w:val="44"/>
          <w:szCs w:val="44"/>
          <w:lang w:val="en-US" w:eastAsia="zh-CN"/>
        </w:rPr>
        <w:t>应用场景</w:t>
      </w:r>
      <w:r>
        <w:rPr>
          <w:rFonts w:hint="default" w:ascii="Times New Roman" w:hAnsi="Times New Roman" w:eastAsia="方正小标宋简体" w:cs="Times New Roman"/>
          <w:kern w:val="2"/>
          <w:sz w:val="44"/>
          <w:szCs w:val="44"/>
          <w:lang w:val="en-US" w:eastAsia="zh-CN"/>
        </w:rPr>
        <w:t>成果征集表</w:t>
      </w:r>
    </w:p>
    <w:tbl>
      <w:tblPr>
        <w:tblStyle w:val="6"/>
        <w:tblW w:w="563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815"/>
        <w:gridCol w:w="3400"/>
        <w:gridCol w:w="1791"/>
        <w:gridCol w:w="2969"/>
      </w:tblGrid>
      <w:tr w14:paraId="5BF92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97" w:hRule="exact"/>
          <w:jc w:val="center"/>
        </w:trPr>
        <w:tc>
          <w:tcPr>
            <w:tcW w:w="1812" w:type="dxa"/>
            <w:noWrap w:val="0"/>
            <w:vAlign w:val="center"/>
          </w:tcPr>
          <w:p w14:paraId="4504224B">
            <w:pPr>
              <w:spacing w:line="32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单位名称</w:t>
            </w:r>
          </w:p>
        </w:tc>
        <w:tc>
          <w:tcPr>
            <w:tcW w:w="3394" w:type="dxa"/>
            <w:noWrap w:val="0"/>
            <w:vAlign w:val="center"/>
          </w:tcPr>
          <w:p w14:paraId="28B3C9B7">
            <w:pPr>
              <w:spacing w:line="320" w:lineRule="exact"/>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常州信息职业技术学院</w:t>
            </w:r>
          </w:p>
        </w:tc>
        <w:tc>
          <w:tcPr>
            <w:tcW w:w="1788" w:type="dxa"/>
            <w:noWrap w:val="0"/>
            <w:vAlign w:val="center"/>
          </w:tcPr>
          <w:p w14:paraId="45DD18FC">
            <w:pPr>
              <w:spacing w:line="32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统一社会信用代码</w:t>
            </w:r>
          </w:p>
        </w:tc>
        <w:tc>
          <w:tcPr>
            <w:tcW w:w="2964" w:type="dxa"/>
            <w:noWrap w:val="0"/>
            <w:vAlign w:val="center"/>
          </w:tcPr>
          <w:p w14:paraId="7C7702D1">
            <w:pPr>
              <w:spacing w:line="320" w:lineRule="exact"/>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123200004660009699</w:t>
            </w:r>
          </w:p>
        </w:tc>
      </w:tr>
      <w:tr w14:paraId="2680E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55" w:hRule="exact"/>
          <w:jc w:val="center"/>
        </w:trPr>
        <w:tc>
          <w:tcPr>
            <w:tcW w:w="1812" w:type="dxa"/>
            <w:noWrap w:val="0"/>
            <w:vAlign w:val="center"/>
          </w:tcPr>
          <w:p w14:paraId="60A50052">
            <w:pPr>
              <w:spacing w:line="32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地    址</w:t>
            </w:r>
          </w:p>
        </w:tc>
        <w:tc>
          <w:tcPr>
            <w:tcW w:w="3394" w:type="dxa"/>
            <w:noWrap w:val="0"/>
            <w:vAlign w:val="center"/>
          </w:tcPr>
          <w:p w14:paraId="1413C122">
            <w:pPr>
              <w:spacing w:line="320" w:lineRule="exact"/>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常州市武进区鸣新中路2号</w:t>
            </w:r>
          </w:p>
        </w:tc>
        <w:tc>
          <w:tcPr>
            <w:tcW w:w="1788" w:type="dxa"/>
            <w:noWrap w:val="0"/>
            <w:vAlign w:val="center"/>
          </w:tcPr>
          <w:p w14:paraId="3AA4D60B">
            <w:pPr>
              <w:spacing w:line="32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联 系 人</w:t>
            </w:r>
          </w:p>
        </w:tc>
        <w:tc>
          <w:tcPr>
            <w:tcW w:w="2964" w:type="dxa"/>
            <w:noWrap w:val="0"/>
            <w:vAlign w:val="center"/>
          </w:tcPr>
          <w:p w14:paraId="1F023C90">
            <w:pPr>
              <w:spacing w:line="320" w:lineRule="exact"/>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韩龙祥</w:t>
            </w:r>
          </w:p>
        </w:tc>
      </w:tr>
      <w:tr w14:paraId="44F1B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04" w:hRule="exact"/>
          <w:jc w:val="center"/>
        </w:trPr>
        <w:tc>
          <w:tcPr>
            <w:tcW w:w="1812" w:type="dxa"/>
            <w:noWrap w:val="0"/>
            <w:vAlign w:val="center"/>
          </w:tcPr>
          <w:p w14:paraId="09D16E1A">
            <w:pPr>
              <w:spacing w:line="32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联系电话</w:t>
            </w:r>
          </w:p>
        </w:tc>
        <w:tc>
          <w:tcPr>
            <w:tcW w:w="3394" w:type="dxa"/>
            <w:noWrap w:val="0"/>
            <w:vAlign w:val="center"/>
          </w:tcPr>
          <w:p w14:paraId="4815154B">
            <w:pPr>
              <w:spacing w:line="320" w:lineRule="exact"/>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13182582205</w:t>
            </w:r>
          </w:p>
        </w:tc>
        <w:tc>
          <w:tcPr>
            <w:tcW w:w="1788" w:type="dxa"/>
            <w:noWrap w:val="0"/>
            <w:vAlign w:val="center"/>
          </w:tcPr>
          <w:p w14:paraId="3F1D29A8">
            <w:pPr>
              <w:spacing w:line="32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电子邮件</w:t>
            </w:r>
          </w:p>
        </w:tc>
        <w:tc>
          <w:tcPr>
            <w:tcW w:w="2964" w:type="dxa"/>
            <w:noWrap w:val="0"/>
            <w:vAlign w:val="center"/>
          </w:tcPr>
          <w:p w14:paraId="7FFE0147">
            <w:pPr>
              <w:spacing w:line="320" w:lineRule="exact"/>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hanlongxiang87@163.com</w:t>
            </w:r>
          </w:p>
        </w:tc>
      </w:tr>
      <w:tr w14:paraId="15163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171" w:hRule="exact"/>
          <w:jc w:val="center"/>
        </w:trPr>
        <w:tc>
          <w:tcPr>
            <w:tcW w:w="1812" w:type="dxa"/>
            <w:noWrap w:val="0"/>
            <w:vAlign w:val="center"/>
          </w:tcPr>
          <w:p w14:paraId="74FF51D5">
            <w:pPr>
              <w:spacing w:line="32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所属领域</w:t>
            </w:r>
          </w:p>
        </w:tc>
        <w:tc>
          <w:tcPr>
            <w:tcW w:w="8146" w:type="dxa"/>
            <w:gridSpan w:val="3"/>
            <w:noWrap w:val="0"/>
            <w:vAlign w:val="center"/>
          </w:tcPr>
          <w:p w14:paraId="4B2AAF9E">
            <w:pPr>
              <w:spacing w:line="320" w:lineRule="exact"/>
              <w:jc w:val="left"/>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eastAsia="zh-CN"/>
              </w:rPr>
              <w:t>□人工智能</w:t>
            </w:r>
            <w:r>
              <w:rPr>
                <w:rFonts w:hint="eastAsia" w:ascii="Times New Roman" w:hAnsi="Times New Roman" w:eastAsia="宋体" w:cs="Times New Roman"/>
                <w:b/>
                <w:bCs w:val="0"/>
                <w:sz w:val="24"/>
                <w:szCs w:val="24"/>
                <w:lang w:val="en-US" w:eastAsia="zh-CN"/>
              </w:rPr>
              <w:t xml:space="preserve">     </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数字经济</w:t>
            </w:r>
            <w:r>
              <w:rPr>
                <w:rFonts w:hint="eastAsia" w:ascii="Times New Roman" w:hAnsi="Times New Roman" w:eastAsia="宋体" w:cs="Times New Roman"/>
                <w:bCs/>
                <w:sz w:val="24"/>
                <w:szCs w:val="24"/>
                <w:lang w:val="en-US" w:eastAsia="zh-CN"/>
              </w:rPr>
              <w:t xml:space="preserve">   </w:t>
            </w:r>
            <w:r>
              <w:rPr>
                <w:rFonts w:hint="default" w:ascii="Times New Roman" w:hAnsi="Times New Roman" w:eastAsia="宋体" w:cs="Times New Roman"/>
                <w:bCs/>
                <w:sz w:val="24"/>
                <w:szCs w:val="24"/>
              </w:rPr>
              <w:t xml:space="preserve"> □</w:t>
            </w:r>
            <w:r>
              <w:rPr>
                <w:rFonts w:hint="eastAsia" w:ascii="Times New Roman" w:hAnsi="Times New Roman" w:eastAsia="宋体" w:cs="Times New Roman"/>
                <w:bCs/>
                <w:sz w:val="24"/>
                <w:szCs w:val="24"/>
                <w:lang w:eastAsia="zh-CN"/>
              </w:rPr>
              <w:t>先进半导体</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新</w:t>
            </w:r>
            <w:r>
              <w:rPr>
                <w:rFonts w:hint="eastAsia" w:ascii="Times New Roman" w:hAnsi="Times New Roman" w:eastAsia="宋体" w:cs="Times New Roman"/>
                <w:bCs/>
                <w:sz w:val="24"/>
                <w:szCs w:val="24"/>
                <w:lang w:eastAsia="zh-CN"/>
              </w:rPr>
              <w:t>材料</w:t>
            </w:r>
            <w:r>
              <w:rPr>
                <w:rFonts w:hint="default" w:ascii="Times New Roman" w:hAnsi="Times New Roman" w:eastAsia="宋体" w:cs="Times New Roman"/>
                <w:bCs/>
                <w:sz w:val="24"/>
                <w:szCs w:val="24"/>
              </w:rPr>
              <w:t xml:space="preserve"> </w:t>
            </w:r>
          </w:p>
          <w:p w14:paraId="23E4A2EC">
            <w:pPr>
              <w:spacing w:line="320" w:lineRule="exact"/>
              <w:jc w:val="left"/>
              <w:rPr>
                <w:rFonts w:hint="default" w:ascii="Times New Roman" w:hAnsi="Times New Roman" w:eastAsia="宋体" w:cs="Times New Roman"/>
                <w:bCs/>
                <w:sz w:val="24"/>
                <w:szCs w:val="24"/>
                <w:lang w:val="en-US"/>
              </w:rPr>
            </w:pP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新型储能</w:t>
            </w:r>
            <w:r>
              <w:rPr>
                <w:rFonts w:hint="default" w:ascii="Times New Roman" w:hAnsi="Times New Roman" w:eastAsia="宋体" w:cs="Times New Roman"/>
                <w:bCs/>
                <w:sz w:val="24"/>
                <w:szCs w:val="24"/>
              </w:rPr>
              <w:t xml:space="preserve"> </w:t>
            </w:r>
            <w:r>
              <w:rPr>
                <w:rFonts w:hint="default"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 xml:space="preserve"> </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合成生物</w:t>
            </w:r>
            <w:r>
              <w:rPr>
                <w:rFonts w:hint="default" w:ascii="Times New Roman" w:hAnsi="Times New Roman" w:eastAsia="宋体" w:cs="Times New Roman"/>
                <w:bCs/>
                <w:sz w:val="24"/>
                <w:szCs w:val="24"/>
              </w:rPr>
              <w:t xml:space="preserve">    </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新能源汽车</w:t>
            </w:r>
            <w:r>
              <w:rPr>
                <w:rFonts w:hint="eastAsia" w:ascii="Times New Roman" w:hAnsi="Times New Roman" w:eastAsia="宋体" w:cs="Times New Roman"/>
                <w:bCs/>
                <w:sz w:val="24"/>
                <w:szCs w:val="24"/>
                <w:lang w:val="en-US" w:eastAsia="zh-CN"/>
              </w:rPr>
              <w:t xml:space="preserve">   </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循环制造</w:t>
            </w:r>
          </w:p>
          <w:p w14:paraId="62003750">
            <w:pPr>
              <w:spacing w:line="320" w:lineRule="exac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新一代信息技术</w:t>
            </w:r>
            <w:r>
              <w:rPr>
                <w:rFonts w:hint="eastAsia" w:ascii="Times New Roman" w:hAnsi="Times New Roman" w:eastAsia="宋体" w:cs="Times New Roman"/>
                <w:bCs/>
                <w:sz w:val="24"/>
                <w:szCs w:val="24"/>
                <w:lang w:val="en-US" w:eastAsia="zh-CN"/>
              </w:rPr>
              <w:t xml:space="preserve">     </w:t>
            </w: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eastAsia="zh-CN"/>
              </w:rPr>
              <w:t>高端装备</w:t>
            </w:r>
          </w:p>
        </w:tc>
      </w:tr>
      <w:tr w14:paraId="7EE6D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8" w:hRule="exact"/>
          <w:jc w:val="center"/>
        </w:trPr>
        <w:tc>
          <w:tcPr>
            <w:tcW w:w="1812" w:type="dxa"/>
            <w:noWrap w:val="0"/>
            <w:vAlign w:val="center"/>
          </w:tcPr>
          <w:p w14:paraId="298ED79B">
            <w:pPr>
              <w:spacing w:line="32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榜额</w:t>
            </w:r>
          </w:p>
        </w:tc>
        <w:tc>
          <w:tcPr>
            <w:tcW w:w="8146" w:type="dxa"/>
            <w:gridSpan w:val="3"/>
            <w:noWrap w:val="0"/>
            <w:vAlign w:val="center"/>
          </w:tcPr>
          <w:p w14:paraId="6944B662">
            <w:pPr>
              <w:spacing w:line="320" w:lineRule="exact"/>
              <w:ind w:left="160" w:leftChars="50"/>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30万</w:t>
            </w:r>
          </w:p>
        </w:tc>
      </w:tr>
      <w:tr w14:paraId="08A91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exact"/>
          <w:jc w:val="center"/>
        </w:trPr>
        <w:tc>
          <w:tcPr>
            <w:tcW w:w="1812" w:type="dxa"/>
            <w:noWrap w:val="0"/>
            <w:vAlign w:val="center"/>
          </w:tcPr>
          <w:p w14:paraId="0BC00D67">
            <w:pPr>
              <w:spacing w:line="320" w:lineRule="exact"/>
              <w:jc w:val="center"/>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eastAsia="zh-CN"/>
              </w:rPr>
              <w:t>场景</w:t>
            </w:r>
            <w:r>
              <w:rPr>
                <w:rFonts w:hint="default" w:ascii="Times New Roman" w:hAnsi="Times New Roman" w:eastAsia="宋体" w:cs="Times New Roman"/>
                <w:bCs/>
                <w:sz w:val="24"/>
                <w:szCs w:val="24"/>
              </w:rPr>
              <w:t>成果名称</w:t>
            </w:r>
          </w:p>
        </w:tc>
        <w:tc>
          <w:tcPr>
            <w:tcW w:w="8146" w:type="dxa"/>
            <w:gridSpan w:val="3"/>
            <w:noWrap w:val="0"/>
            <w:vAlign w:val="center"/>
          </w:tcPr>
          <w:p w14:paraId="6EE053B8">
            <w:pPr>
              <w:spacing w:line="320" w:lineRule="exact"/>
              <w:ind w:left="160" w:leftChars="5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柔性氢气传感及在线检测系统的研发</w:t>
            </w:r>
          </w:p>
        </w:tc>
      </w:tr>
      <w:tr w14:paraId="20A6A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429" w:hRule="exact"/>
          <w:jc w:val="center"/>
        </w:trPr>
        <w:tc>
          <w:tcPr>
            <w:tcW w:w="1812" w:type="dxa"/>
            <w:noWrap w:val="0"/>
            <w:vAlign w:val="center"/>
          </w:tcPr>
          <w:p w14:paraId="41F1FF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成果简介</w:t>
            </w:r>
          </w:p>
        </w:tc>
        <w:tc>
          <w:tcPr>
            <w:tcW w:w="8146" w:type="dxa"/>
            <w:gridSpan w:val="3"/>
            <w:noWrap w:val="0"/>
            <w:vAlign w:val="top"/>
          </w:tcPr>
          <w:p w14:paraId="70229C4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一、国内外研究现状</w:t>
            </w:r>
          </w:p>
          <w:p w14:paraId="4D422CAC">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氢能产业快速发展，氢气安全监测需求迫切。目前氢气传感器以电化学型为主，存在灵敏度低、响应慢、环境适应性差等问题。光学型传感器虽具本征安全、抗干扰等优势，但多限于刚性结构，难以满足柔性应用需求。</w:t>
            </w:r>
          </w:p>
          <w:p w14:paraId="3D441706">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国际上柔性氢气传感器研究集中于新材料（如石墨烯、导电聚合物）、结构优化与系统集成；国内研究尚处起步阶段，以材料创新与初步应用探索为主，成熟柔性传感系统尚未形成。</w:t>
            </w:r>
          </w:p>
          <w:p w14:paraId="0C4E923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二、成果价值</w:t>
            </w:r>
          </w:p>
          <w:p w14:paraId="63BA6B38">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理论价值：深化气致变色传感机理，建立多因素耦合传感模型，推动柔性传感、纳米材料与光学检测技术的交叉融合。</w:t>
            </w:r>
          </w:p>
          <w:p w14:paraId="5E44206F">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应用价值：实现氢气泄漏实时高灵敏度监测，提升氢能安全性；适用于智能家居、可穿戴设备、工业监测等多场景，支持氢能产业发展与国家能源战略。</w:t>
            </w:r>
          </w:p>
          <w:p w14:paraId="0A2A229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三、特色与创新点</w:t>
            </w:r>
          </w:p>
          <w:p w14:paraId="52DACFA0">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柔性传感器设计：采用柔性基底与气致变色材料，提升可弯曲性与环境适应性；</w:t>
            </w:r>
          </w:p>
          <w:p w14:paraId="2220E833">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高灵敏度检测：纳米金属颗粒修饰氧化钨，增强气致变色效应，检测下限达10 ppm；</w:t>
            </w:r>
          </w:p>
          <w:p w14:paraId="5CA57D10">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自适应湿度调节：智能涂层材料抑制湿度干扰，提升稳定性；</w:t>
            </w:r>
          </w:p>
          <w:p w14:paraId="7C9AC3CD">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智能数据处理：结合机器学习算法，实现信号去噪与浓度识别；</w:t>
            </w:r>
          </w:p>
          <w:p w14:paraId="5F7A43F3">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集成化在线系统：支持实时数据采集、无线传输与远程监控，具备高频率与多接口能力。</w:t>
            </w:r>
          </w:p>
          <w:p w14:paraId="4CD754C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四、技术积累与应用条件</w:t>
            </w:r>
          </w:p>
          <w:p w14:paraId="1847D5BF">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技术积累：负责人具有丰富柔性传感器与微纳材料研究经验，发表多篇SCI一区论文；团队在柔性传感、环境检测等领域有成熟成果；具备纳米材料制备、涂布、光学检测等实验条件。</w:t>
            </w:r>
          </w:p>
          <w:p w14:paraId="181FF952">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宋体" w:cs="Times New Roman"/>
                <w:bCs/>
                <w:sz w:val="24"/>
                <w:szCs w:val="24"/>
              </w:rPr>
            </w:pPr>
            <w:r>
              <w:rPr>
                <w:rFonts w:hint="eastAsia" w:asciiTheme="minorEastAsia" w:hAnsiTheme="minorEastAsia" w:eastAsiaTheme="minorEastAsia" w:cstheme="minorEastAsia"/>
                <w:b w:val="0"/>
                <w:sz w:val="24"/>
                <w:szCs w:val="24"/>
                <w:lang w:eastAsia="zh-CN"/>
              </w:rPr>
              <w:t>应用条件：依托学院实验平台，具备传感器制备与测试能力；与南大、东大、江南石墨烯研究院等单位合作；具备</w:t>
            </w:r>
            <w:bookmarkStart w:id="1" w:name="_GoBack"/>
            <w:bookmarkEnd w:id="1"/>
            <w:r>
              <w:rPr>
                <w:rFonts w:hint="eastAsia" w:asciiTheme="minorEastAsia" w:hAnsiTheme="minorEastAsia" w:eastAsiaTheme="minorEastAsia" w:cstheme="minorEastAsia"/>
                <w:b w:val="0"/>
                <w:sz w:val="24"/>
                <w:szCs w:val="24"/>
                <w:lang w:eastAsia="zh-CN"/>
              </w:rPr>
              <w:t>产业化应用潜力。</w:t>
            </w:r>
          </w:p>
        </w:tc>
      </w:tr>
    </w:tbl>
    <w:p w14:paraId="335537E6">
      <w:pPr>
        <w:spacing w:line="540" w:lineRule="exact"/>
        <w:rPr>
          <w:rFonts w:hint="default" w:asciiTheme="minorEastAsia" w:hAnsiTheme="minorEastAsia" w:eastAsiaTheme="minorEastAsia" w:cstheme="minorEastAsia"/>
          <w:spacing w:val="-11"/>
          <w:sz w:val="28"/>
          <w:szCs w:val="28"/>
          <w:lang w:val="en-US" w:eastAsia="zh-CN"/>
        </w:rPr>
      </w:pPr>
    </w:p>
    <w:sectPr>
      <w:pgSz w:w="11905" w:h="16838"/>
      <w:pgMar w:top="1417" w:right="1531" w:bottom="1417" w:left="1531" w:header="0" w:footer="0" w:gutter="0"/>
      <w:paperSrc/>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 w:name="Segoe UI Symbol">
    <w:panose1 w:val="020B0502040204020203"/>
    <w:charset w:val="00"/>
    <w:family w:val="swiss"/>
    <w:pitch w:val="default"/>
    <w:sig w:usb0="8000006F" w:usb1="1200FBEF" w:usb2="0064C000" w:usb3="00000002" w:csb0="00000001" w:csb1="40000000"/>
  </w:font>
  <w:font w:name="等线">
    <w:altName w:val="Arial Unicode MS"/>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5C708">
    <w:pPr>
      <w:spacing w:line="173" w:lineRule="auto"/>
      <w:ind w:left="4154"/>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ADB86A"/>
    <w:multiLevelType w:val="singleLevel"/>
    <w:tmpl w:val="1FADB86A"/>
    <w:lvl w:ilvl="0" w:tentative="0">
      <w:start w:val="1"/>
      <w:numFmt w:val="decimal"/>
      <w:suff w:val="nothing"/>
      <w:lvlText w:val="%1、"/>
      <w:lvlJc w:val="left"/>
    </w:lvl>
  </w:abstractNum>
  <w:abstractNum w:abstractNumId="1">
    <w:nsid w:val="5EAC3455"/>
    <w:multiLevelType w:val="multilevel"/>
    <w:tmpl w:val="5EAC345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1"/>
  <w:bordersDoNotSurroundFooter w:val="1"/>
  <w:documentProtection w:enforcement="0"/>
  <w:defaultTabStop w:val="420"/>
  <w:drawingGridHorizontalSpacing w:val="320"/>
  <w:drawingGridVerticalSpacing w:val="99999990"/>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wMzZiMTdiOTcxZDIxMGU0MGE0NTlhZjM4ZThhZjUifQ=="/>
  </w:docVars>
  <w:rsids>
    <w:rsidRoot w:val="4ED628DE"/>
    <w:rsid w:val="07AD09E7"/>
    <w:rsid w:val="0AF16C83"/>
    <w:rsid w:val="231A3B5A"/>
    <w:rsid w:val="4ED628DE"/>
    <w:rsid w:val="532A2059"/>
    <w:rsid w:val="534E6E1E"/>
    <w:rsid w:val="5A2E21BB"/>
    <w:rsid w:val="5BFF0632"/>
    <w:rsid w:val="6F9C37BB"/>
    <w:rsid w:val="706102EE"/>
    <w:rsid w:val="757EB8F6"/>
    <w:rsid w:val="7C486DF9"/>
    <w:rsid w:val="7C7F1FE3"/>
    <w:rsid w:val="F1B5B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方正仿宋_GBK" w:cs="Times New Roman"/>
      <w:kern w:val="2"/>
      <w:sz w:val="32"/>
      <w:szCs w:val="22"/>
      <w:lang w:val="en-US" w:eastAsia="zh-CN" w:bidi="ar-SA"/>
    </w:rPr>
  </w:style>
  <w:style w:type="paragraph" w:styleId="2">
    <w:name w:val="heading 4"/>
    <w:basedOn w:val="1"/>
    <w:next w:val="1"/>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8">
    <w:name w:val="Table Text"/>
    <w:basedOn w:val="1"/>
    <w:semiHidden/>
    <w:qFormat/>
    <w:uiPriority w:val="0"/>
    <w:rPr>
      <w:rFonts w:ascii="宋体" w:hAnsi="宋体" w:eastAsia="宋体" w:cs="宋体"/>
      <w:sz w:val="24"/>
      <w:szCs w:val="24"/>
      <w:lang w:val="en-US" w:eastAsia="en-US" w:bidi="ar-SA"/>
    </w:rPr>
  </w:style>
  <w:style w:type="table" w:customStyle="1" w:styleId="9">
    <w:name w:val="Table Normal"/>
    <w:semiHidden/>
    <w:unhideWhenUsed/>
    <w:qFormat/>
    <w:uiPriority w:val="0"/>
    <w:tblPr>
      <w:tblCellMar>
        <w:top w:w="0" w:type="dxa"/>
        <w:left w:w="0" w:type="dxa"/>
        <w:bottom w:w="0" w:type="dxa"/>
        <w:right w:w="0" w:type="dxa"/>
      </w:tblCellMar>
    </w:tblPr>
  </w:style>
  <w:style w:type="paragraph" w:styleId="10">
    <w:name w:val="List Paragraph"/>
    <w:basedOn w:val="1"/>
    <w:unhideWhenUsed/>
    <w:qFormat/>
    <w:uiPriority w:val="99"/>
    <w:pPr>
      <w:ind w:firstLine="420" w:firstLineChars="200"/>
    </w:pPr>
  </w:style>
  <w:style w:type="paragraph" w:customStyle="1" w:styleId="11">
    <w:name w:val="Fig的说明"/>
    <w:basedOn w:val="1"/>
    <w:qFormat/>
    <w:uiPriority w:val="0"/>
    <w:pPr>
      <w:spacing w:before="50" w:beforeLines="50"/>
      <w:jc w:val="center"/>
    </w:pPr>
    <w:rPr>
      <w:rFonts w:ascii="Times New Roman" w:hAnsi="Times New Roman" w:eastAsia="黑体" w:cs="Times New Roman"/>
      <w:sz w:val="2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package" Target="embeddings/Microsoft_Visio___2.vsdx"/><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package" Target="embeddings/Microsoft_Visio___1.vsdx"/><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5.emf"/><Relationship Id="rId24" Type="http://schemas.openxmlformats.org/officeDocument/2006/relationships/image" Target="media/image14.emf"/><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emf"/><Relationship Id="rId20" Type="http://schemas.openxmlformats.org/officeDocument/2006/relationships/package" Target="embeddings/Microsoft_Visio___3.vsdx"/><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3.bin"/><Relationship Id="rId17" Type="http://schemas.openxmlformats.org/officeDocument/2006/relationships/image" Target="media/image9.wmf"/><Relationship Id="rId16" Type="http://schemas.openxmlformats.org/officeDocument/2006/relationships/oleObject" Target="embeddings/oleObject2.bin"/><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61</Pages>
  <Words>1366</Words>
  <Characters>2269</Characters>
  <Lines>0</Lines>
  <Paragraphs>0</Paragraphs>
  <TotalTime>4</TotalTime>
  <ScaleCrop>false</ScaleCrop>
  <LinksUpToDate>false</LinksUpToDate>
  <CharactersWithSpaces>2275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2024-09-12T16:10:00Z</dcterms:created>
  <dc:creator>小蒋小蒋</dc:creator>
  <cp:lastModifiedBy>Yala</cp:lastModifiedBy>
  <cp:lastPrinted>2025-10-10T08:21:00Z</cp:lastPrinted>
  <dcterms:modified xsi:type="dcterms:W3CDTF">2025-10-11T08:43:17Z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203E812A334748409F5F7741E022AC95_13</vt:lpwstr>
  </property>
  <property fmtid="{D5CDD505-2E9C-101B-9397-08002B2CF9AE}" pid="4" name="KSOTemplateDocerSaveRecord">
    <vt:lpwstr>eyJoZGlkIjoiMzcwMzZiMTdiOTcxZDIxMGU0MGE0NTlhZjM4ZThhZjUiLCJ1c2VySWQiOiI0NTY0MjUzMDQifQ==</vt:lpwstr>
  </property>
</Properties>
</file>