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865"/>
        <w:jc w:val="center"/>
        <w:rPr>
          <w:rFonts w:hint="eastAsia" w:ascii="方正小标宋简体" w:hAnsi="黑体" w:eastAsia="方正小标宋简体"/>
          <w:b/>
          <w:spacing w:val="-4"/>
          <w:sz w:val="44"/>
          <w:szCs w:val="44"/>
        </w:rPr>
      </w:pPr>
      <w:r>
        <w:rPr>
          <w:rFonts w:hint="eastAsia" w:ascii="方正小标宋简体" w:hAnsi="黑体" w:eastAsia="方正小标宋简体"/>
          <w:b/>
          <w:spacing w:val="-4"/>
          <w:sz w:val="44"/>
          <w:szCs w:val="44"/>
        </w:rPr>
        <w:t>钟楼区建设局概况</w:t>
      </w:r>
    </w:p>
    <w:p>
      <w:pPr>
        <w:spacing w:line="570" w:lineRule="exact"/>
        <w:ind w:firstLine="625"/>
        <w:rPr>
          <w:rFonts w:hint="eastAsia" w:ascii="仿宋_GB2312"/>
          <w:b/>
          <w:spacing w:val="-4"/>
          <w:szCs w:val="32"/>
        </w:rPr>
      </w:pPr>
      <w:r>
        <w:rPr>
          <w:rFonts w:hint="eastAsia" w:ascii="仿宋_GB2312"/>
          <w:b/>
          <w:spacing w:val="-4"/>
          <w:szCs w:val="32"/>
        </w:rPr>
        <w:t>一、钟楼区建设局部门主要职责、内设机构及下属基层预算单位组成情况。</w:t>
      </w:r>
    </w:p>
    <w:p>
      <w:pPr>
        <w:spacing w:line="570" w:lineRule="exact"/>
        <w:ind w:firstLine="624"/>
        <w:rPr>
          <w:rFonts w:hint="eastAsia" w:ascii="仿宋_GB2312"/>
          <w:spacing w:val="-4"/>
          <w:szCs w:val="32"/>
        </w:rPr>
      </w:pPr>
      <w:r>
        <w:rPr>
          <w:rFonts w:hint="eastAsia" w:ascii="仿宋_GB2312"/>
          <w:spacing w:val="-4"/>
          <w:szCs w:val="32"/>
        </w:rPr>
        <w:t>（一）主要职责</w:t>
      </w:r>
    </w:p>
    <w:p>
      <w:pPr>
        <w:spacing w:line="570" w:lineRule="exact"/>
        <w:ind w:firstLine="624"/>
        <w:rPr>
          <w:rFonts w:hint="eastAsia" w:ascii="仿宋_GB2312"/>
          <w:spacing w:val="-4"/>
          <w:szCs w:val="32"/>
        </w:rPr>
      </w:pPr>
      <w:r>
        <w:rPr>
          <w:rFonts w:hint="eastAsia" w:ascii="仿宋_GB2312"/>
          <w:spacing w:val="-4"/>
          <w:szCs w:val="32"/>
        </w:rPr>
        <w:t>1.贯彻执行国家、省、市有关城乡建设、防震减灾工作的方针政策、法律法规，加强行业管理。</w:t>
      </w:r>
    </w:p>
    <w:p>
      <w:pPr>
        <w:spacing w:line="570" w:lineRule="exact"/>
        <w:ind w:firstLine="624"/>
        <w:rPr>
          <w:rFonts w:hint="eastAsia" w:ascii="仿宋_GB2312"/>
          <w:spacing w:val="-4"/>
          <w:szCs w:val="32"/>
        </w:rPr>
      </w:pPr>
      <w:r>
        <w:rPr>
          <w:rFonts w:hint="eastAsia" w:ascii="仿宋_GB2312"/>
          <w:spacing w:val="-4"/>
          <w:szCs w:val="32"/>
        </w:rPr>
        <w:t>2.主动与市城乡建设局沟通衔接城乡建设规划；参照市城乡建设局规划制定辖区建设工作计划。</w:t>
      </w:r>
    </w:p>
    <w:p>
      <w:pPr>
        <w:spacing w:line="570" w:lineRule="exact"/>
        <w:ind w:firstLine="624"/>
        <w:rPr>
          <w:rFonts w:hint="eastAsia" w:ascii="仿宋_GB2312"/>
          <w:spacing w:val="-4"/>
          <w:szCs w:val="32"/>
        </w:rPr>
      </w:pPr>
      <w:r>
        <w:rPr>
          <w:rFonts w:hint="eastAsia" w:ascii="仿宋_GB2312"/>
          <w:spacing w:val="-4"/>
          <w:szCs w:val="32"/>
        </w:rPr>
        <w:t>3.配合协调市、区有关重点项目的实施和市政公用基础设施的建设、维修、保养等工作。</w:t>
      </w:r>
    </w:p>
    <w:p>
      <w:pPr>
        <w:spacing w:line="570" w:lineRule="exact"/>
        <w:ind w:firstLine="624"/>
        <w:rPr>
          <w:rFonts w:hint="eastAsia" w:ascii="仿宋_GB2312"/>
          <w:spacing w:val="-4"/>
          <w:szCs w:val="32"/>
        </w:rPr>
      </w:pPr>
      <w:r>
        <w:rPr>
          <w:rFonts w:hint="eastAsia" w:ascii="仿宋_GB2312"/>
          <w:spacing w:val="-4"/>
          <w:szCs w:val="32"/>
        </w:rPr>
        <w:t>4.负责辖区建筑行业的监督和管理，规范建筑市场秩序。受市城乡建设局委托，负责有关工程建设项目质量、安全、文明施工和合同的监督管理工作。</w:t>
      </w:r>
    </w:p>
    <w:p>
      <w:pPr>
        <w:spacing w:line="570" w:lineRule="exact"/>
        <w:ind w:firstLine="624"/>
        <w:rPr>
          <w:rFonts w:hint="eastAsia" w:ascii="仿宋_GB2312"/>
          <w:spacing w:val="-4"/>
          <w:szCs w:val="32"/>
        </w:rPr>
      </w:pPr>
      <w:r>
        <w:rPr>
          <w:rFonts w:hint="eastAsia" w:ascii="仿宋_GB2312"/>
          <w:spacing w:val="-4"/>
          <w:szCs w:val="32"/>
        </w:rPr>
        <w:t>5.负责辖区房屋征收与补偿管理工作。</w:t>
      </w:r>
    </w:p>
    <w:p>
      <w:pPr>
        <w:spacing w:line="570" w:lineRule="exact"/>
        <w:ind w:firstLine="624"/>
        <w:rPr>
          <w:rFonts w:hint="eastAsia" w:ascii="仿宋_GB2312"/>
          <w:spacing w:val="-4"/>
          <w:szCs w:val="32"/>
        </w:rPr>
      </w:pPr>
      <w:r>
        <w:rPr>
          <w:rFonts w:hint="eastAsia" w:ascii="仿宋_GB2312"/>
          <w:spacing w:val="-4"/>
          <w:szCs w:val="32"/>
        </w:rPr>
        <w:t>6.负责城市绿化管理与养护工作及防震抗震工作。</w:t>
      </w:r>
    </w:p>
    <w:p>
      <w:pPr>
        <w:spacing w:line="570" w:lineRule="exact"/>
        <w:ind w:firstLine="624"/>
        <w:rPr>
          <w:rFonts w:hint="eastAsia" w:ascii="仿宋_GB2312"/>
          <w:spacing w:val="-4"/>
          <w:szCs w:val="32"/>
        </w:rPr>
      </w:pPr>
      <w:r>
        <w:rPr>
          <w:rFonts w:hint="eastAsia" w:ascii="仿宋_GB2312"/>
          <w:spacing w:val="-4"/>
          <w:szCs w:val="32"/>
        </w:rPr>
        <w:t>7.承办区委、区政府和市城乡建设局交办的其他事项。</w:t>
      </w:r>
    </w:p>
    <w:p>
      <w:pPr>
        <w:spacing w:line="570" w:lineRule="exact"/>
        <w:ind w:firstLine="624"/>
        <w:rPr>
          <w:rFonts w:hint="eastAsia" w:ascii="仿宋_GB2312"/>
          <w:spacing w:val="-4"/>
          <w:szCs w:val="32"/>
        </w:rPr>
      </w:pPr>
      <w:r>
        <w:rPr>
          <w:rFonts w:hint="eastAsia" w:ascii="仿宋_GB2312"/>
          <w:spacing w:val="-4"/>
          <w:szCs w:val="32"/>
        </w:rPr>
        <w:t>（二）内设机构</w:t>
      </w:r>
    </w:p>
    <w:p>
      <w:pPr>
        <w:spacing w:line="570" w:lineRule="exact"/>
        <w:ind w:left="624" w:firstLine="0" w:firstLineChars="0"/>
        <w:rPr>
          <w:rFonts w:hint="eastAsia" w:ascii="仿宋_GB2312"/>
          <w:spacing w:val="-4"/>
          <w:szCs w:val="32"/>
        </w:rPr>
      </w:pPr>
      <w:r>
        <w:rPr>
          <w:rFonts w:hint="eastAsia" w:ascii="仿宋_GB2312"/>
          <w:spacing w:val="-4"/>
          <w:szCs w:val="32"/>
        </w:rPr>
        <w:t>根据上述职责，钟楼区建设局主要有市政、绿化、质量监督和征收四个方面工作。</w:t>
      </w:r>
    </w:p>
    <w:p>
      <w:pPr>
        <w:spacing w:line="570" w:lineRule="exact"/>
        <w:ind w:firstLine="624"/>
        <w:rPr>
          <w:rFonts w:hint="eastAsia" w:ascii="仿宋_GB2312"/>
          <w:spacing w:val="-4"/>
          <w:szCs w:val="32"/>
        </w:rPr>
      </w:pPr>
      <w:r>
        <w:rPr>
          <w:rFonts w:hint="eastAsia" w:ascii="仿宋_GB2312"/>
          <w:spacing w:val="-4"/>
          <w:szCs w:val="32"/>
        </w:rPr>
        <w:t>内设机构：综合科，建设管理科，绿化科；</w:t>
      </w:r>
    </w:p>
    <w:p>
      <w:pPr>
        <w:spacing w:line="570" w:lineRule="exact"/>
        <w:ind w:firstLine="624"/>
        <w:rPr>
          <w:rFonts w:hint="eastAsia" w:ascii="仿宋_GB2312"/>
          <w:spacing w:val="-4"/>
          <w:szCs w:val="32"/>
        </w:rPr>
      </w:pPr>
      <w:r>
        <w:rPr>
          <w:rFonts w:hint="eastAsia" w:ascii="仿宋_GB2312"/>
          <w:spacing w:val="-4"/>
          <w:szCs w:val="32"/>
        </w:rPr>
        <w:t>基层单位：钟楼区建设管理服务中心，钟楼区房屋征收与补偿办公室，钟楼区建设管理质量监督站</w:t>
      </w:r>
    </w:p>
    <w:p>
      <w:pPr>
        <w:spacing w:line="570" w:lineRule="exact"/>
        <w:ind w:firstLine="625"/>
        <w:rPr>
          <w:rFonts w:hint="eastAsia" w:ascii="仿宋_GB2312"/>
          <w:b/>
          <w:spacing w:val="-4"/>
          <w:szCs w:val="32"/>
        </w:rPr>
      </w:pPr>
      <w:r>
        <w:rPr>
          <w:rFonts w:hint="eastAsia" w:ascii="仿宋_GB2312"/>
          <w:b/>
          <w:spacing w:val="-4"/>
          <w:szCs w:val="32"/>
        </w:rPr>
        <w:t>二、钟楼区建设局部门2015年度主要工作任务及目标。</w:t>
      </w:r>
    </w:p>
    <w:p>
      <w:pPr>
        <w:spacing w:line="570" w:lineRule="exact"/>
        <w:ind w:left="352" w:leftChars="110" w:firstLine="624"/>
        <w:rPr>
          <w:rFonts w:hint="eastAsia" w:ascii="仿宋_GB2312"/>
          <w:spacing w:val="-4"/>
          <w:szCs w:val="32"/>
        </w:rPr>
      </w:pPr>
      <w:r>
        <w:rPr>
          <w:rFonts w:hint="eastAsia" w:ascii="仿宋_GB2312"/>
          <w:spacing w:val="-4"/>
          <w:szCs w:val="32"/>
        </w:rPr>
        <w:t>2015年要以继续钟楼新城建设为核心，继续抓好拆迁安置、地块上市、招商引资、项目建设等重点工作，以五项举措为抓手，全面推进全区城市建设工作。</w:t>
      </w:r>
    </w:p>
    <w:p>
      <w:pPr>
        <w:spacing w:line="570" w:lineRule="exact"/>
        <w:ind w:left="352" w:leftChars="110" w:firstLine="624"/>
        <w:rPr>
          <w:rFonts w:hint="eastAsia" w:ascii="仿宋_GB2312"/>
          <w:spacing w:val="-4"/>
          <w:szCs w:val="32"/>
        </w:rPr>
      </w:pPr>
      <w:r>
        <w:rPr>
          <w:rFonts w:hint="eastAsia" w:ascii="仿宋_GB2312"/>
          <w:spacing w:val="-4"/>
          <w:szCs w:val="32"/>
        </w:rPr>
        <w:t>1、加快开发项目的建设进度。重点围绕“三个三百万项目”优服务、促进度，即针对300万平方米的在建项目、300万平方米的分期建设还未开工项目、300万平方米的地块整体未开工项目，要进一步做好服务工作，为开发企业协调解决在征收节点突破、历史遗留问题解决、前期手续办理、现场施工、周边配套、竣工交付等方面的矛盾，促进我区房地产市场的健康稳定发展。</w:t>
      </w:r>
    </w:p>
    <w:p>
      <w:pPr>
        <w:spacing w:line="570" w:lineRule="exact"/>
        <w:ind w:left="352" w:leftChars="110" w:firstLine="624"/>
        <w:rPr>
          <w:rFonts w:hint="eastAsia" w:ascii="仿宋_GB2312"/>
          <w:spacing w:val="-4"/>
          <w:szCs w:val="32"/>
        </w:rPr>
      </w:pPr>
      <w:r>
        <w:rPr>
          <w:rFonts w:hint="eastAsia" w:ascii="仿宋_GB2312"/>
          <w:spacing w:val="-4"/>
          <w:szCs w:val="32"/>
        </w:rPr>
        <w:t>2、加快功能项目的推进。一是继续加快环境建设，使道路更畅通、绿化更美丽，重点推进劳动西路、白云南路、慢行系统、轨道二号线、皇粮浜公园、童子河湿地公园等项目的建设，创造宜居的居住环境；二是继续围绕“医疗、教育、商业、体育”等公共服务设施抓配套，重点推进一院分院、五中、觅小分校、北郊初中分校等项目的建设，不断完善我区，特别是钟楼新城的配套功能，营造良好的发展环境。</w:t>
      </w:r>
    </w:p>
    <w:p>
      <w:pPr>
        <w:spacing w:line="570" w:lineRule="exact"/>
        <w:ind w:left="352" w:leftChars="110" w:firstLine="624"/>
        <w:rPr>
          <w:rFonts w:hint="eastAsia" w:ascii="仿宋_GB2312"/>
          <w:spacing w:val="-4"/>
          <w:szCs w:val="32"/>
        </w:rPr>
      </w:pPr>
      <w:r>
        <w:rPr>
          <w:rFonts w:hint="eastAsia" w:ascii="仿宋_GB2312"/>
          <w:spacing w:val="-4"/>
          <w:szCs w:val="32"/>
        </w:rPr>
        <w:t>3、抓好重点地块的推介。把茶花路松涛路西南侧地块、教科院附中地块、金狮BC地块、龙江路中吴大道东北侧地块、机床厂地块等10个地块作为推荐的重点，特别是对已拆成净地的地块，要强化招商和上市工作，争取前期投入资金的早日回笼，以解决发展过程中资金困难的问题，为后续地块的启动、配套项目的建设提供资金保障。</w:t>
      </w:r>
    </w:p>
    <w:p>
      <w:pPr>
        <w:spacing w:line="570" w:lineRule="exact"/>
        <w:ind w:left="352" w:leftChars="110" w:firstLine="624"/>
        <w:rPr>
          <w:rFonts w:hint="eastAsia" w:ascii="仿宋_GB2312"/>
          <w:spacing w:val="-4"/>
          <w:szCs w:val="32"/>
        </w:rPr>
      </w:pPr>
      <w:r>
        <w:rPr>
          <w:rFonts w:hint="eastAsia" w:ascii="仿宋_GB2312"/>
          <w:spacing w:val="-4"/>
          <w:szCs w:val="32"/>
        </w:rPr>
        <w:t>4、重点研究地块拆迁的把控工作。一是要算好经济账，对每个拟拆地块的拆迁面积、安置面积、安置人口、安置方式等基本情况要摸清，算清算准“居民账、政府账、企业账”三本账，科学合理制定拆迁政策，努力做到三方共赢；二是做到按需拆迁，尤其是开发类项目，务必要等项目落地后、拆迁资金到位后才能启动拆迁，真正把有限的资金用足、用好。</w:t>
      </w:r>
    </w:p>
    <w:p>
      <w:pPr>
        <w:spacing w:line="570" w:lineRule="exact"/>
        <w:ind w:firstLine="625"/>
        <w:rPr>
          <w:rFonts w:hint="eastAsia" w:ascii="仿宋_GB2312"/>
          <w:b/>
          <w:spacing w:val="-4"/>
          <w:szCs w:val="32"/>
        </w:rPr>
      </w:pPr>
      <w:r>
        <w:rPr>
          <w:rFonts w:hint="eastAsia" w:ascii="仿宋_GB2312"/>
          <w:b/>
          <w:spacing w:val="-4"/>
          <w:szCs w:val="32"/>
        </w:rPr>
        <w:t>三、2015年钟楼区建设局部门预算收支编制的相关说明及基本情况</w:t>
      </w:r>
    </w:p>
    <w:p>
      <w:pPr>
        <w:spacing w:line="570" w:lineRule="exact"/>
        <w:ind w:firstLine="624"/>
        <w:rPr>
          <w:rFonts w:hint="eastAsia" w:ascii="仿宋_GB2312"/>
          <w:spacing w:val="-4"/>
          <w:szCs w:val="32"/>
        </w:rPr>
      </w:pPr>
      <w:r>
        <w:rPr>
          <w:rFonts w:hint="eastAsia" w:ascii="仿宋_GB2312"/>
          <w:spacing w:val="-4"/>
          <w:szCs w:val="32"/>
        </w:rPr>
        <w:t>钟楼区建设局部门所属基层预算单位钟楼区建设管理质量监督站，该单位性质属自收自支，2008年江苏省已取消质量监督项目收费，现由区财政局纳入部门预算，按照部门预算进行全额拨款。钟楼区服务中心和钟楼区房屋征收办公室纳入钟楼区建设局部门预算。</w:t>
      </w:r>
    </w:p>
    <w:p>
      <w:pPr>
        <w:spacing w:line="570" w:lineRule="exact"/>
        <w:ind w:left="630" w:firstLine="0" w:firstLineChars="0"/>
        <w:rPr>
          <w:rFonts w:hint="eastAsia" w:ascii="仿宋_GB2312"/>
          <w:spacing w:val="-4"/>
          <w:szCs w:val="32"/>
        </w:rPr>
      </w:pPr>
      <w:r>
        <w:rPr>
          <w:rFonts w:hint="eastAsia" w:ascii="仿宋_GB2312"/>
          <w:spacing w:val="-4"/>
          <w:szCs w:val="32"/>
        </w:rPr>
        <w:t>1、本部门预算编制涵盖预算单位范围：区建设局涵盖钟楼区质量监督站人员经费和改制企业退休职工补贴。</w:t>
      </w:r>
    </w:p>
    <w:p>
      <w:pPr>
        <w:spacing w:line="570" w:lineRule="exact"/>
        <w:ind w:firstLine="624"/>
        <w:rPr>
          <w:rFonts w:hint="eastAsia" w:ascii="仿宋_GB2312"/>
          <w:spacing w:val="-4"/>
          <w:szCs w:val="32"/>
        </w:rPr>
      </w:pPr>
      <w:r>
        <w:rPr>
          <w:rFonts w:hint="eastAsia" w:ascii="仿宋_GB2312"/>
          <w:spacing w:val="-4"/>
          <w:szCs w:val="32"/>
        </w:rPr>
        <w:t>2、区建设局预算资金来源：3599.03万元。</w:t>
      </w:r>
    </w:p>
    <w:p>
      <w:pPr>
        <w:spacing w:line="570" w:lineRule="exact"/>
        <w:ind w:firstLine="624"/>
        <w:rPr>
          <w:rFonts w:hint="eastAsia" w:ascii="仿宋_GB2312"/>
          <w:spacing w:val="-4"/>
          <w:szCs w:val="32"/>
        </w:rPr>
      </w:pPr>
      <w:r>
        <w:rPr>
          <w:rFonts w:hint="eastAsia" w:ascii="仿宋_GB2312"/>
          <w:spacing w:val="-4"/>
          <w:szCs w:val="32"/>
        </w:rPr>
        <w:t>（1）财政拨款</w:t>
      </w:r>
      <w:r>
        <w:rPr>
          <w:rFonts w:hint="eastAsia" w:ascii="仿宋_GB2312"/>
          <w:spacing w:val="-4"/>
          <w:szCs w:val="32"/>
          <w:lang w:val="en-US" w:eastAsia="zh-CN"/>
        </w:rPr>
        <w:t>3599.03</w:t>
      </w:r>
      <w:r>
        <w:rPr>
          <w:rFonts w:hint="eastAsia" w:ascii="仿宋_GB2312"/>
          <w:spacing w:val="-4"/>
          <w:szCs w:val="32"/>
        </w:rPr>
        <w:t>万元；</w:t>
      </w:r>
    </w:p>
    <w:p>
      <w:pPr>
        <w:spacing w:line="570" w:lineRule="exact"/>
        <w:ind w:left="630" w:firstLine="0" w:firstLineChars="0"/>
        <w:rPr>
          <w:rFonts w:hint="eastAsia" w:ascii="仿宋_GB2312"/>
          <w:spacing w:val="-4"/>
          <w:szCs w:val="32"/>
        </w:rPr>
      </w:pPr>
      <w:r>
        <w:rPr>
          <w:rFonts w:hint="eastAsia" w:ascii="仿宋_GB2312"/>
          <w:spacing w:val="-4"/>
          <w:szCs w:val="32"/>
        </w:rPr>
        <w:t>3、支出</w:t>
      </w:r>
      <w:r>
        <w:rPr>
          <w:rFonts w:hint="eastAsia" w:ascii="仿宋_GB2312"/>
          <w:kern w:val="0"/>
          <w:szCs w:val="32"/>
        </w:rPr>
        <w:t>功能科目：3599.03万元</w:t>
      </w:r>
    </w:p>
    <w:p>
      <w:pPr>
        <w:spacing w:line="570" w:lineRule="exact"/>
        <w:ind w:firstLine="624"/>
        <w:rPr>
          <w:rFonts w:hint="eastAsia" w:ascii="仿宋_GB2312"/>
          <w:spacing w:val="-4"/>
          <w:szCs w:val="32"/>
        </w:rPr>
      </w:pPr>
      <w:r>
        <w:rPr>
          <w:rFonts w:hint="eastAsia" w:ascii="仿宋_GB2312"/>
          <w:spacing w:val="-4"/>
          <w:szCs w:val="32"/>
        </w:rPr>
        <w:t>（1）社会保障和就业支出</w:t>
      </w:r>
      <w:r>
        <w:rPr>
          <w:rFonts w:hint="eastAsia" w:ascii="仿宋_GB2312"/>
          <w:spacing w:val="-4"/>
          <w:szCs w:val="32"/>
          <w:lang w:val="en-US" w:eastAsia="zh-CN"/>
        </w:rPr>
        <w:t>704.33</w:t>
      </w:r>
      <w:r>
        <w:rPr>
          <w:rFonts w:hint="eastAsia" w:ascii="仿宋_GB2312"/>
          <w:spacing w:val="-4"/>
          <w:szCs w:val="32"/>
        </w:rPr>
        <w:t>万元；</w:t>
      </w:r>
    </w:p>
    <w:p>
      <w:pPr>
        <w:spacing w:line="570" w:lineRule="exact"/>
        <w:ind w:firstLine="624"/>
        <w:rPr>
          <w:rFonts w:hint="eastAsia" w:ascii="仿宋_GB2312"/>
          <w:spacing w:val="-4"/>
          <w:szCs w:val="32"/>
        </w:rPr>
      </w:pPr>
      <w:r>
        <w:rPr>
          <w:rFonts w:hint="eastAsia" w:ascii="仿宋_GB2312"/>
          <w:spacing w:val="-4"/>
          <w:szCs w:val="32"/>
        </w:rPr>
        <w:t>（2）医疗卫生与计划生育支出7.61万元：；</w:t>
      </w:r>
    </w:p>
    <w:p>
      <w:pPr>
        <w:spacing w:line="570" w:lineRule="exact"/>
        <w:ind w:firstLine="624"/>
        <w:rPr>
          <w:rFonts w:hint="eastAsia" w:ascii="仿宋_GB2312"/>
          <w:spacing w:val="-4"/>
          <w:szCs w:val="32"/>
        </w:rPr>
      </w:pPr>
      <w:r>
        <w:rPr>
          <w:rFonts w:hint="eastAsia" w:ascii="仿宋_GB2312"/>
          <w:spacing w:val="-4"/>
          <w:szCs w:val="32"/>
        </w:rPr>
        <w:t>（3）城乡社区支出</w:t>
      </w:r>
      <w:r>
        <w:rPr>
          <w:rFonts w:hint="eastAsia" w:ascii="仿宋_GB2312"/>
          <w:spacing w:val="-4"/>
          <w:szCs w:val="32"/>
          <w:lang w:val="en-US" w:eastAsia="zh-CN"/>
        </w:rPr>
        <w:t>2855.52</w:t>
      </w:r>
      <w:r>
        <w:rPr>
          <w:rFonts w:hint="eastAsia" w:ascii="仿宋_GB2312"/>
          <w:spacing w:val="-4"/>
          <w:szCs w:val="32"/>
        </w:rPr>
        <w:t>万元；</w:t>
      </w:r>
    </w:p>
    <w:p>
      <w:pPr>
        <w:spacing w:line="570" w:lineRule="exact"/>
        <w:ind w:firstLine="624"/>
        <w:rPr>
          <w:rFonts w:hint="eastAsia" w:ascii="仿宋_GB2312"/>
          <w:spacing w:val="-4"/>
          <w:szCs w:val="32"/>
        </w:rPr>
      </w:pPr>
      <w:r>
        <w:rPr>
          <w:rFonts w:hint="eastAsia" w:ascii="仿宋_GB2312"/>
          <w:spacing w:val="-4"/>
          <w:szCs w:val="32"/>
        </w:rPr>
        <w:t>（4）住房保障支出</w:t>
      </w:r>
      <w:r>
        <w:rPr>
          <w:rFonts w:hint="eastAsia" w:ascii="仿宋_GB2312"/>
          <w:spacing w:val="-4"/>
          <w:szCs w:val="32"/>
          <w:lang w:val="en-US" w:eastAsia="zh-CN"/>
        </w:rPr>
        <w:t>31.57</w:t>
      </w:r>
      <w:r>
        <w:rPr>
          <w:rFonts w:hint="eastAsia" w:ascii="仿宋_GB2312"/>
          <w:spacing w:val="-4"/>
          <w:szCs w:val="32"/>
        </w:rPr>
        <w:t>万元。</w:t>
      </w:r>
    </w:p>
    <w:p>
      <w:pPr>
        <w:spacing w:line="570" w:lineRule="exact"/>
        <w:ind w:firstLine="624"/>
        <w:rPr>
          <w:rFonts w:hint="eastAsia" w:ascii="仿宋_GB2312"/>
          <w:spacing w:val="-4"/>
          <w:szCs w:val="32"/>
        </w:rPr>
      </w:pPr>
      <w:r>
        <w:rPr>
          <w:rFonts w:hint="eastAsia" w:ascii="仿宋_GB2312"/>
          <w:spacing w:val="-4"/>
          <w:szCs w:val="32"/>
        </w:rPr>
        <w:t>4、主要收支内容</w:t>
      </w:r>
    </w:p>
    <w:p>
      <w:pPr>
        <w:spacing w:line="570" w:lineRule="exact"/>
        <w:ind w:firstLine="624"/>
        <w:rPr>
          <w:rFonts w:hint="eastAsia" w:ascii="仿宋_GB2312"/>
          <w:spacing w:val="-4"/>
          <w:szCs w:val="32"/>
        </w:rPr>
      </w:pPr>
      <w:r>
        <w:rPr>
          <w:rFonts w:hint="eastAsia" w:ascii="仿宋_GB2312"/>
          <w:spacing w:val="-4"/>
          <w:szCs w:val="32"/>
        </w:rPr>
        <w:t>（1）基本支出</w:t>
      </w:r>
      <w:r>
        <w:rPr>
          <w:rFonts w:hint="eastAsia" w:ascii="仿宋_GB2312"/>
          <w:spacing w:val="-4"/>
          <w:szCs w:val="32"/>
          <w:lang w:val="en-US" w:eastAsia="zh-CN"/>
        </w:rPr>
        <w:t>1037.32</w:t>
      </w:r>
      <w:r>
        <w:rPr>
          <w:rFonts w:hint="eastAsia" w:ascii="仿宋_GB2312"/>
          <w:spacing w:val="-4"/>
          <w:szCs w:val="32"/>
        </w:rPr>
        <w:t>万元；</w:t>
      </w:r>
    </w:p>
    <w:p>
      <w:pPr>
        <w:spacing w:line="570" w:lineRule="exact"/>
        <w:ind w:firstLine="624"/>
        <w:rPr>
          <w:rFonts w:hint="eastAsia" w:ascii="仿宋_GB2312"/>
          <w:spacing w:val="-4"/>
          <w:szCs w:val="32"/>
        </w:rPr>
      </w:pPr>
      <w:r>
        <w:rPr>
          <w:rFonts w:hint="eastAsia" w:ascii="仿宋_GB2312"/>
          <w:spacing w:val="-4"/>
          <w:szCs w:val="32"/>
        </w:rPr>
        <w:t>（2）项目支出</w:t>
      </w:r>
      <w:r>
        <w:rPr>
          <w:rFonts w:hint="eastAsia" w:ascii="仿宋_GB2312"/>
          <w:spacing w:val="-4"/>
          <w:szCs w:val="32"/>
          <w:lang w:val="en-US" w:eastAsia="zh-CN"/>
        </w:rPr>
        <w:t>2561.71</w:t>
      </w:r>
      <w:bookmarkStart w:id="0" w:name="_GoBack"/>
      <w:bookmarkEnd w:id="0"/>
      <w:r>
        <w:rPr>
          <w:rFonts w:hint="eastAsia" w:ascii="仿宋_GB2312"/>
          <w:spacing w:val="-4"/>
          <w:szCs w:val="32"/>
        </w:rPr>
        <w:t>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162C8"/>
    <w:rsid w:val="7C0F6A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2016-12-19T13:45:11Z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