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07E" w:rsidRPr="00BB0D89" w:rsidRDefault="0036307E" w:rsidP="0036307E">
      <w:pPr>
        <w:rPr>
          <w:rFonts w:eastAsia="黑体"/>
        </w:rPr>
      </w:pPr>
      <w:r w:rsidRPr="00BB0D89">
        <w:rPr>
          <w:rFonts w:eastAsia="黑体"/>
        </w:rPr>
        <w:t>附件</w:t>
      </w:r>
      <w:r w:rsidRPr="00BB0D89">
        <w:rPr>
          <w:rFonts w:eastAsia="黑体"/>
        </w:rPr>
        <w:t>3</w:t>
      </w:r>
    </w:p>
    <w:p w:rsidR="0036307E" w:rsidRPr="00BB0D89" w:rsidRDefault="0036307E" w:rsidP="0036307E">
      <w:pPr>
        <w:rPr>
          <w:rFonts w:eastAsia="黑体"/>
        </w:rPr>
      </w:pPr>
    </w:p>
    <w:p w:rsidR="0036307E" w:rsidRPr="00BB0D89" w:rsidRDefault="0036307E" w:rsidP="0036307E">
      <w:pPr>
        <w:autoSpaceDE w:val="0"/>
        <w:autoSpaceDN w:val="0"/>
        <w:spacing w:line="590" w:lineRule="atLeast"/>
        <w:jc w:val="center"/>
        <w:rPr>
          <w:rFonts w:eastAsia="方正小标宋简体"/>
          <w:snapToGrid w:val="0"/>
          <w:spacing w:val="-4"/>
          <w:sz w:val="44"/>
          <w:szCs w:val="44"/>
        </w:rPr>
      </w:pPr>
      <w:r w:rsidRPr="00BB0D89">
        <w:rPr>
          <w:rFonts w:eastAsia="方正小标宋简体"/>
          <w:snapToGrid w:val="0"/>
          <w:spacing w:val="-4"/>
          <w:sz w:val="44"/>
          <w:szCs w:val="44"/>
        </w:rPr>
        <w:t>专项资金公开说明</w:t>
      </w:r>
    </w:p>
    <w:p w:rsidR="0036307E" w:rsidRPr="00BB0D89" w:rsidRDefault="0036307E" w:rsidP="0036307E">
      <w:pPr>
        <w:autoSpaceDE w:val="0"/>
        <w:autoSpaceDN w:val="0"/>
        <w:spacing w:line="560" w:lineRule="exact"/>
        <w:ind w:firstLine="624"/>
        <w:rPr>
          <w:snapToGrid w:val="0"/>
          <w:spacing w:val="-4"/>
          <w:szCs w:val="32"/>
        </w:rPr>
      </w:pPr>
    </w:p>
    <w:p w:rsidR="0036307E" w:rsidRPr="00BB0D89" w:rsidRDefault="0036307E" w:rsidP="0036307E">
      <w:pPr>
        <w:autoSpaceDE w:val="0"/>
        <w:autoSpaceDN w:val="0"/>
        <w:spacing w:line="560" w:lineRule="exact"/>
        <w:ind w:firstLine="624"/>
        <w:rPr>
          <w:snapToGrid w:val="0"/>
          <w:spacing w:val="-4"/>
          <w:szCs w:val="32"/>
        </w:rPr>
      </w:pPr>
      <w:r w:rsidRPr="00BB0D89">
        <w:rPr>
          <w:snapToGrid w:val="0"/>
          <w:spacing w:val="-4"/>
          <w:szCs w:val="32"/>
        </w:rPr>
        <w:t>一、实行因素法分配的项目。每个项目都应公开分配因素权重及分配结果。</w:t>
      </w:r>
    </w:p>
    <w:p w:rsidR="0036307E" w:rsidRPr="00BB0D89" w:rsidRDefault="0036307E" w:rsidP="0036307E">
      <w:pPr>
        <w:autoSpaceDE w:val="0"/>
        <w:autoSpaceDN w:val="0"/>
        <w:spacing w:line="560" w:lineRule="exact"/>
        <w:ind w:firstLine="624"/>
        <w:rPr>
          <w:snapToGrid w:val="0"/>
          <w:spacing w:val="-4"/>
          <w:szCs w:val="32"/>
        </w:rPr>
      </w:pPr>
      <w:r w:rsidRPr="00BB0D89">
        <w:rPr>
          <w:snapToGrid w:val="0"/>
          <w:spacing w:val="-4"/>
          <w:szCs w:val="32"/>
        </w:rPr>
        <w:t>二、实行申报制的项目。每个项目都应公开项目申报指南、审核程序及分配结果。申报指南或其他与资金申报有关文件，应当及时发布，确保申报对象有充足的时间申报资金。审核程序可以通过流程图或文字说明的形式公开。对实行竞争性分配的专项转移支付资金，应当明确评审规则，加强实地核查，并公示评审结果。</w:t>
      </w:r>
    </w:p>
    <w:p w:rsidR="0036307E" w:rsidRPr="00BB0D89" w:rsidRDefault="0036307E" w:rsidP="0036307E">
      <w:pPr>
        <w:autoSpaceDE w:val="0"/>
        <w:autoSpaceDN w:val="0"/>
        <w:spacing w:line="560" w:lineRule="exact"/>
        <w:ind w:firstLine="624"/>
        <w:rPr>
          <w:snapToGrid w:val="0"/>
          <w:spacing w:val="-4"/>
          <w:szCs w:val="32"/>
        </w:rPr>
      </w:pPr>
      <w:r w:rsidRPr="00BB0D89">
        <w:rPr>
          <w:snapToGrid w:val="0"/>
          <w:spacing w:val="-4"/>
          <w:szCs w:val="32"/>
        </w:rPr>
        <w:t>三、其他项目。也应按要求及时公开分配结果具体公开表式和格式可以由部门和单位自行设计。</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110" w:rsidRDefault="00161110" w:rsidP="0036307E">
      <w:pPr>
        <w:spacing w:after="0"/>
      </w:pPr>
      <w:r>
        <w:separator/>
      </w:r>
    </w:p>
  </w:endnote>
  <w:endnote w:type="continuationSeparator" w:id="0">
    <w:p w:rsidR="00161110" w:rsidRDefault="00161110" w:rsidP="0036307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110" w:rsidRDefault="00161110" w:rsidP="0036307E">
      <w:pPr>
        <w:spacing w:after="0"/>
      </w:pPr>
      <w:r>
        <w:separator/>
      </w:r>
    </w:p>
  </w:footnote>
  <w:footnote w:type="continuationSeparator" w:id="0">
    <w:p w:rsidR="00161110" w:rsidRDefault="00161110" w:rsidP="0036307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61110"/>
    <w:rsid w:val="002B6355"/>
    <w:rsid w:val="00323B43"/>
    <w:rsid w:val="0036307E"/>
    <w:rsid w:val="003D37D8"/>
    <w:rsid w:val="00426133"/>
    <w:rsid w:val="004358AB"/>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307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6307E"/>
    <w:rPr>
      <w:rFonts w:ascii="Tahoma" w:hAnsi="Tahoma"/>
      <w:sz w:val="18"/>
      <w:szCs w:val="18"/>
    </w:rPr>
  </w:style>
  <w:style w:type="paragraph" w:styleId="a4">
    <w:name w:val="footer"/>
    <w:basedOn w:val="a"/>
    <w:link w:val="Char0"/>
    <w:uiPriority w:val="99"/>
    <w:semiHidden/>
    <w:unhideWhenUsed/>
    <w:rsid w:val="0036307E"/>
    <w:pPr>
      <w:tabs>
        <w:tab w:val="center" w:pos="4153"/>
        <w:tab w:val="right" w:pos="8306"/>
      </w:tabs>
    </w:pPr>
    <w:rPr>
      <w:sz w:val="18"/>
      <w:szCs w:val="18"/>
    </w:rPr>
  </w:style>
  <w:style w:type="character" w:customStyle="1" w:styleId="Char0">
    <w:name w:val="页脚 Char"/>
    <w:basedOn w:val="a0"/>
    <w:link w:val="a4"/>
    <w:uiPriority w:val="99"/>
    <w:semiHidden/>
    <w:rsid w:val="0036307E"/>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200</Characters>
  <Application>Microsoft Office Word</Application>
  <DocSecurity>0</DocSecurity>
  <Lines>1</Lines>
  <Paragraphs>1</Paragraphs>
  <ScaleCrop>false</ScaleCrop>
  <Company/>
  <LinksUpToDate>false</LinksUpToDate>
  <CharactersWithSpaces>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2017-02-09T09:01:00Z</dcterms:modified>
</cp:coreProperties>
</file>