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left="0" w:leftChars="0" w:firstLine="0" w:firstLineChars="0"/>
        <w:jc w:val="center"/>
        <w:rPr>
          <w:rFonts w:hint="eastAsia" w:ascii="方正小标宋_GBK" w:eastAsia="方正小标宋_GBK"/>
          <w:sz w:val="44"/>
          <w:szCs w:val="44"/>
        </w:rPr>
      </w:pPr>
      <w:bookmarkStart w:id="0" w:name="_GoBack"/>
      <w:r>
        <w:rPr>
          <w:rFonts w:hint="eastAsia" w:ascii="方正小标宋简体" w:hAnsi="Arial" w:eastAsia="方正小标宋简体" w:cs="Arial"/>
          <w:kern w:val="0"/>
          <w:sz w:val="44"/>
          <w:szCs w:val="44"/>
        </w:rPr>
        <w:t>201</w:t>
      </w:r>
      <w:r>
        <w:rPr>
          <w:rFonts w:hint="eastAsia" w:ascii="方正小标宋简体" w:hAnsi="Arial" w:eastAsia="方正小标宋简体" w:cs="Arial"/>
          <w:kern w:val="0"/>
          <w:sz w:val="44"/>
          <w:szCs w:val="44"/>
          <w:lang w:val="en-US" w:eastAsia="zh-CN"/>
        </w:rPr>
        <w:t>6</w:t>
      </w:r>
      <w:r>
        <w:rPr>
          <w:rFonts w:hint="eastAsia" w:ascii="方正小标宋简体" w:hAnsi="Arial" w:eastAsia="方正小标宋简体" w:cs="Arial"/>
          <w:kern w:val="0"/>
          <w:sz w:val="44"/>
          <w:szCs w:val="44"/>
        </w:rPr>
        <w:t>年度</w:t>
      </w:r>
      <w:r>
        <w:rPr>
          <w:rFonts w:hint="eastAsia" w:ascii="方正小标宋简体" w:hAnsi="Arial" w:eastAsia="方正小标宋简体" w:cs="Arial"/>
          <w:kern w:val="0"/>
          <w:sz w:val="44"/>
          <w:szCs w:val="44"/>
          <w:lang w:eastAsia="zh-CN"/>
        </w:rPr>
        <w:t>钟楼区安监局决算信息公开</w:t>
      </w:r>
    </w:p>
    <w:bookmarkEnd w:id="0"/>
    <w:p>
      <w:pPr>
        <w:autoSpaceDE w:val="0"/>
        <w:autoSpaceDN w:val="0"/>
        <w:snapToGrid w:val="0"/>
        <w:spacing w:line="590" w:lineRule="atLeast"/>
        <w:ind w:firstLine="0" w:firstLineChars="0"/>
        <w:jc w:val="center"/>
        <w:rPr>
          <w:rFonts w:hint="eastAsia" w:ascii="黑体" w:hAnsi="宋体" w:eastAsia="黑体"/>
          <w:snapToGrid w:val="0"/>
          <w:spacing w:val="-4"/>
          <w:kern w:val="0"/>
          <w:sz w:val="36"/>
          <w:szCs w:val="36"/>
        </w:rPr>
      </w:pPr>
      <w:r>
        <w:rPr>
          <w:rFonts w:hint="eastAsia" w:ascii="黑体" w:hAnsi="宋体" w:eastAsia="黑体"/>
          <w:snapToGrid w:val="0"/>
          <w:spacing w:val="-4"/>
          <w:kern w:val="0"/>
          <w:sz w:val="36"/>
          <w:szCs w:val="36"/>
        </w:rPr>
        <w:t>目  录</w:t>
      </w:r>
    </w:p>
    <w:p>
      <w:pPr>
        <w:autoSpaceDE w:val="0"/>
        <w:autoSpaceDN w:val="0"/>
        <w:snapToGrid w:val="0"/>
        <w:spacing w:line="590" w:lineRule="atLeast"/>
        <w:ind w:firstLine="780" w:firstLineChars="250"/>
        <w:rPr>
          <w:rFonts w:hint="eastAsia" w:ascii="仿宋_GB2312" w:hAnsi="宋体"/>
          <w:snapToGrid w:val="0"/>
          <w:spacing w:val="-4"/>
          <w:kern w:val="0"/>
          <w:szCs w:val="32"/>
        </w:rPr>
      </w:pPr>
    </w:p>
    <w:p>
      <w:pPr>
        <w:autoSpaceDE w:val="0"/>
        <w:autoSpaceDN w:val="0"/>
        <w:adjustRightInd w:val="0"/>
        <w:snapToGrid w:val="0"/>
        <w:spacing w:line="570" w:lineRule="exact"/>
        <w:ind w:firstLine="641" w:firstLineChars="0"/>
        <w:jc w:val="left"/>
        <w:rPr>
          <w:b/>
          <w:snapToGrid w:val="0"/>
          <w:spacing w:val="-4"/>
          <w:kern w:val="0"/>
          <w:szCs w:val="32"/>
        </w:rPr>
      </w:pPr>
      <w:r>
        <w:rPr>
          <w:b/>
          <w:snapToGrid w:val="0"/>
          <w:spacing w:val="-4"/>
          <w:kern w:val="0"/>
          <w:szCs w:val="32"/>
        </w:rPr>
        <w:t>第一部分  部门概况</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主要职能</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部门决算单位构成情况</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201</w:t>
      </w:r>
      <w:r>
        <w:rPr>
          <w:rFonts w:hint="eastAsia"/>
          <w:snapToGrid w:val="0"/>
          <w:spacing w:val="-4"/>
          <w:kern w:val="0"/>
          <w:szCs w:val="32"/>
          <w:lang w:val="en-US" w:eastAsia="zh-CN"/>
        </w:rPr>
        <w:t>6</w:t>
      </w:r>
      <w:r>
        <w:rPr>
          <w:snapToGrid w:val="0"/>
          <w:spacing w:val="-4"/>
          <w:kern w:val="0"/>
          <w:szCs w:val="32"/>
        </w:rPr>
        <w:t>年度主要工作完成情况</w:t>
      </w:r>
    </w:p>
    <w:p>
      <w:pPr>
        <w:autoSpaceDE w:val="0"/>
        <w:autoSpaceDN w:val="0"/>
        <w:adjustRightInd w:val="0"/>
        <w:snapToGrid w:val="0"/>
        <w:spacing w:line="570" w:lineRule="exact"/>
        <w:ind w:firstLine="641" w:firstLineChars="0"/>
        <w:rPr>
          <w:b/>
          <w:snapToGrid w:val="0"/>
          <w:spacing w:val="-4"/>
          <w:kern w:val="0"/>
          <w:szCs w:val="32"/>
        </w:rPr>
      </w:pPr>
      <w:r>
        <w:rPr>
          <w:b/>
          <w:snapToGrid w:val="0"/>
          <w:spacing w:val="-4"/>
          <w:kern w:val="0"/>
          <w:szCs w:val="32"/>
        </w:rPr>
        <w:t xml:space="preserve">第二部分  </w:t>
      </w:r>
      <w:r>
        <w:rPr>
          <w:rFonts w:hint="eastAsia"/>
          <w:b/>
          <w:snapToGrid w:val="0"/>
          <w:spacing w:val="-4"/>
          <w:kern w:val="0"/>
          <w:szCs w:val="32"/>
          <w:lang w:eastAsia="zh-CN"/>
        </w:rPr>
        <w:t>钟楼区安监局</w:t>
      </w:r>
      <w:r>
        <w:rPr>
          <w:b/>
          <w:snapToGrid w:val="0"/>
          <w:spacing w:val="-4"/>
          <w:kern w:val="0"/>
          <w:szCs w:val="32"/>
        </w:rPr>
        <w:t>201</w:t>
      </w:r>
      <w:r>
        <w:rPr>
          <w:rFonts w:hint="eastAsia"/>
          <w:b/>
          <w:snapToGrid w:val="0"/>
          <w:spacing w:val="-4"/>
          <w:kern w:val="0"/>
          <w:szCs w:val="32"/>
          <w:lang w:val="en-US" w:eastAsia="zh-CN"/>
        </w:rPr>
        <w:t>6</w:t>
      </w:r>
      <w:r>
        <w:rPr>
          <w:b/>
          <w:snapToGrid w:val="0"/>
          <w:spacing w:val="-4"/>
          <w:kern w:val="0"/>
          <w:szCs w:val="32"/>
        </w:rPr>
        <w:t>年度部门决算表</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收入支出决算总表</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收入决算表</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支出决算表</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财政拨款收入支出决算总表</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财政拨款支出决算表</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财政拨款基本支出决算表</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一般公共预算财政拨款支出决算表</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一般公共预算财政拨款基本支出决算表</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财政拨款“三公”经费、会议费、培训费支出决算表</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政府性基金预算财政拨款收入支出决算表</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机关运行经费支出决算表</w:t>
      </w:r>
    </w:p>
    <w:p>
      <w:pPr>
        <w:autoSpaceDE w:val="0"/>
        <w:autoSpaceDN w:val="0"/>
        <w:adjustRightInd w:val="0"/>
        <w:snapToGrid w:val="0"/>
        <w:spacing w:line="570" w:lineRule="exact"/>
        <w:ind w:firstLine="641" w:firstLineChars="0"/>
        <w:rPr>
          <w:rFonts w:hint="eastAsia"/>
          <w:b/>
          <w:snapToGrid w:val="0"/>
          <w:color w:val="000000"/>
          <w:spacing w:val="-4"/>
          <w:kern w:val="0"/>
          <w:szCs w:val="32"/>
        </w:rPr>
      </w:pPr>
      <w:r>
        <w:rPr>
          <w:snapToGrid w:val="0"/>
          <w:spacing w:val="-4"/>
          <w:kern w:val="0"/>
          <w:szCs w:val="32"/>
        </w:rPr>
        <w:t>政府采购支出决算表</w:t>
      </w:r>
    </w:p>
    <w:p>
      <w:pPr>
        <w:autoSpaceDE w:val="0"/>
        <w:autoSpaceDN w:val="0"/>
        <w:adjustRightInd w:val="0"/>
        <w:snapToGrid w:val="0"/>
        <w:spacing w:line="570" w:lineRule="exact"/>
        <w:ind w:firstLine="625"/>
        <w:rPr>
          <w:b/>
          <w:snapToGrid w:val="0"/>
          <w:color w:val="000000"/>
          <w:spacing w:val="-4"/>
          <w:kern w:val="0"/>
          <w:szCs w:val="32"/>
        </w:rPr>
      </w:pPr>
      <w:r>
        <w:rPr>
          <w:b/>
          <w:snapToGrid w:val="0"/>
          <w:color w:val="000000"/>
          <w:spacing w:val="-4"/>
          <w:kern w:val="0"/>
          <w:szCs w:val="32"/>
        </w:rPr>
        <w:t xml:space="preserve">第三部分  </w:t>
      </w:r>
      <w:r>
        <w:rPr>
          <w:rFonts w:hint="eastAsia"/>
          <w:b/>
          <w:snapToGrid w:val="0"/>
          <w:spacing w:val="-4"/>
          <w:kern w:val="0"/>
          <w:szCs w:val="32"/>
          <w:lang w:eastAsia="zh-CN"/>
        </w:rPr>
        <w:t>钟楼</w:t>
      </w:r>
      <w:r>
        <w:rPr>
          <w:rFonts w:hint="eastAsia"/>
          <w:b/>
          <w:snapToGrid w:val="0"/>
          <w:color w:val="000000"/>
          <w:spacing w:val="-4"/>
          <w:kern w:val="0"/>
          <w:szCs w:val="32"/>
          <w:lang w:eastAsia="zh-CN"/>
        </w:rPr>
        <w:t>区安监局</w:t>
      </w:r>
      <w:r>
        <w:rPr>
          <w:b/>
          <w:snapToGrid w:val="0"/>
          <w:color w:val="000000"/>
          <w:spacing w:val="-4"/>
          <w:kern w:val="0"/>
          <w:szCs w:val="32"/>
        </w:rPr>
        <w:t>201</w:t>
      </w:r>
      <w:r>
        <w:rPr>
          <w:rFonts w:hint="eastAsia"/>
          <w:b/>
          <w:snapToGrid w:val="0"/>
          <w:color w:val="000000"/>
          <w:spacing w:val="-4"/>
          <w:kern w:val="0"/>
          <w:szCs w:val="32"/>
          <w:lang w:val="en-US" w:eastAsia="zh-CN"/>
        </w:rPr>
        <w:t>6</w:t>
      </w:r>
      <w:r>
        <w:rPr>
          <w:b/>
          <w:snapToGrid w:val="0"/>
          <w:color w:val="000000"/>
          <w:spacing w:val="-4"/>
          <w:kern w:val="0"/>
          <w:szCs w:val="32"/>
        </w:rPr>
        <w:t>年度部门决算情况说明</w:t>
      </w:r>
    </w:p>
    <w:p>
      <w:pPr>
        <w:autoSpaceDE w:val="0"/>
        <w:autoSpaceDN w:val="0"/>
        <w:adjustRightInd w:val="0"/>
        <w:snapToGrid w:val="0"/>
        <w:spacing w:line="570" w:lineRule="exact"/>
        <w:ind w:firstLine="641" w:firstLineChars="0"/>
        <w:rPr>
          <w:b/>
          <w:snapToGrid w:val="0"/>
          <w:color w:val="000000"/>
          <w:spacing w:val="-4"/>
          <w:kern w:val="0"/>
          <w:szCs w:val="32"/>
        </w:rPr>
      </w:pPr>
      <w:r>
        <w:rPr>
          <w:b/>
          <w:snapToGrid w:val="0"/>
          <w:color w:val="000000"/>
          <w:spacing w:val="-4"/>
          <w:kern w:val="0"/>
          <w:szCs w:val="32"/>
        </w:rPr>
        <w:t>第四部分  名</w:t>
      </w:r>
      <w:r>
        <w:rPr>
          <w:rFonts w:hint="eastAsia"/>
          <w:b/>
          <w:snapToGrid w:val="0"/>
          <w:color w:val="000000"/>
          <w:spacing w:val="-4"/>
          <w:kern w:val="0"/>
          <w:szCs w:val="32"/>
        </w:rPr>
        <w:t>词</w:t>
      </w:r>
      <w:r>
        <w:rPr>
          <w:b/>
          <w:snapToGrid w:val="0"/>
          <w:color w:val="000000"/>
          <w:spacing w:val="-4"/>
          <w:kern w:val="0"/>
          <w:szCs w:val="32"/>
        </w:rPr>
        <w:t>解释</w:t>
      </w:r>
    </w:p>
    <w:p>
      <w:pPr>
        <w:widowControl/>
        <w:ind w:firstLine="640" w:firstLineChars="0"/>
        <w:jc w:val="center"/>
        <w:rPr>
          <w:rFonts w:eastAsia="黑体"/>
          <w:b/>
          <w:kern w:val="0"/>
          <w:sz w:val="44"/>
          <w:szCs w:val="44"/>
        </w:rPr>
      </w:pPr>
    </w:p>
    <w:p>
      <w:pPr>
        <w:widowControl/>
        <w:ind w:firstLineChars="0"/>
        <w:rPr>
          <w:b/>
          <w:kern w:val="0"/>
          <w:szCs w:val="32"/>
        </w:rPr>
      </w:pPr>
      <w:r>
        <w:rPr>
          <w:kern w:val="0"/>
          <w:szCs w:val="32"/>
        </w:rPr>
        <w:t>第一部分、部门概况</w:t>
      </w:r>
    </w:p>
    <w:p>
      <w:pPr>
        <w:spacing w:line="570" w:lineRule="exact"/>
        <w:ind w:firstLine="560"/>
        <w:rPr>
          <w:color w:val="000000"/>
          <w:sz w:val="28"/>
          <w:szCs w:val="28"/>
        </w:rPr>
      </w:pPr>
      <w:r>
        <w:rPr>
          <w:kern w:val="0"/>
          <w:sz w:val="28"/>
          <w:szCs w:val="28"/>
        </w:rPr>
        <w:t>一、主要职能</w:t>
      </w:r>
      <w:r>
        <w:rPr>
          <w:kern w:val="0"/>
          <w:sz w:val="28"/>
          <w:szCs w:val="28"/>
        </w:rPr>
        <w:br w:type="textWrapping"/>
      </w:r>
      <w:r>
        <w:rPr>
          <w:kern w:val="0"/>
          <w:sz w:val="28"/>
          <w:szCs w:val="28"/>
        </w:rPr>
        <w:t>　</w:t>
      </w:r>
      <w:r>
        <w:rPr>
          <w:rFonts w:eastAsia="宋体"/>
          <w:kern w:val="0"/>
          <w:sz w:val="28"/>
          <w:szCs w:val="28"/>
        </w:rPr>
        <w:t> </w:t>
      </w:r>
      <w:r>
        <w:rPr>
          <w:color w:val="000000"/>
          <w:sz w:val="28"/>
          <w:szCs w:val="28"/>
        </w:rPr>
        <w:t>（一）组织起草全区安全生产规范性文件，组织拟订全区安全生产规划。指导协调全区安全生产工作，分析和预测全区安全生产形势，发布安全生产信息，协调解决安全生产中的重大问题。</w:t>
      </w:r>
    </w:p>
    <w:p>
      <w:pPr>
        <w:spacing w:line="570" w:lineRule="exact"/>
        <w:ind w:firstLine="560"/>
        <w:rPr>
          <w:color w:val="000000"/>
          <w:sz w:val="28"/>
          <w:szCs w:val="28"/>
        </w:rPr>
      </w:pPr>
      <w:r>
        <w:rPr>
          <w:color w:val="000000"/>
          <w:sz w:val="28"/>
          <w:szCs w:val="28"/>
        </w:rPr>
        <w:t>（二）承担全区安全生产综合监督管理责任，依法行使综合监督管理职权，指导协调、监督检查区政府有关部门和开发区、街道安全生产工作。监督考核并通报安全生产控制指标执行情况。</w:t>
      </w:r>
    </w:p>
    <w:p>
      <w:pPr>
        <w:spacing w:line="570" w:lineRule="exact"/>
        <w:ind w:firstLine="560"/>
        <w:rPr>
          <w:color w:val="000000"/>
          <w:sz w:val="28"/>
          <w:szCs w:val="28"/>
        </w:rPr>
      </w:pPr>
      <w:r>
        <w:rPr>
          <w:color w:val="000000"/>
          <w:sz w:val="28"/>
          <w:szCs w:val="28"/>
        </w:rPr>
        <w:t>（三）承担工矿商贸行业安全生产监督管理责任，按照分级、属地原则，依法监督检查工矿商贸生产经营单位贯彻执行安全生产法律法规情况，监督检查重大危险源监控和重大事故隐患排查治理工作。</w:t>
      </w:r>
    </w:p>
    <w:p>
      <w:pPr>
        <w:spacing w:line="570" w:lineRule="exact"/>
        <w:ind w:firstLine="560"/>
        <w:rPr>
          <w:color w:val="000000"/>
          <w:sz w:val="28"/>
          <w:szCs w:val="28"/>
        </w:rPr>
      </w:pPr>
      <w:r>
        <w:rPr>
          <w:color w:val="000000"/>
          <w:sz w:val="28"/>
          <w:szCs w:val="28"/>
        </w:rPr>
        <w:t>（四）负责危险化学品和烟花爆竹企业安全生产监督管理工作。依法承担烟花爆竹经营（零售）单位安全生产准入管理责任。</w:t>
      </w:r>
    </w:p>
    <w:p>
      <w:pPr>
        <w:spacing w:line="570" w:lineRule="exact"/>
        <w:ind w:firstLine="560"/>
        <w:rPr>
          <w:color w:val="000000"/>
          <w:sz w:val="28"/>
          <w:szCs w:val="28"/>
        </w:rPr>
      </w:pPr>
      <w:r>
        <w:rPr>
          <w:color w:val="000000"/>
          <w:sz w:val="28"/>
          <w:szCs w:val="28"/>
        </w:rPr>
        <w:t>（五）负责生产经营单位作业场所职业卫生的监督检查工作，负责职业卫生安全许可证的管理工作。组织查处职业危害事故和违法违规行为。</w:t>
      </w:r>
    </w:p>
    <w:p>
      <w:pPr>
        <w:spacing w:line="570" w:lineRule="exact"/>
        <w:ind w:firstLine="560"/>
        <w:rPr>
          <w:color w:val="000000"/>
          <w:sz w:val="28"/>
          <w:szCs w:val="28"/>
        </w:rPr>
      </w:pPr>
      <w:r>
        <w:rPr>
          <w:color w:val="000000"/>
          <w:sz w:val="28"/>
          <w:szCs w:val="28"/>
        </w:rPr>
        <w:t>（六）负责组织全区安全生产大检查和专项督查，根据区政府授权，依法组织对一般事故调查处理和办理结案工作，监督事故查处和责任追究落实情况。负责组织指挥和协调安全生产应急救援工作。综合管理全区生产安全伤亡事故和安全生产行政执法统计分析工作。</w:t>
      </w:r>
    </w:p>
    <w:p>
      <w:pPr>
        <w:spacing w:line="570" w:lineRule="exact"/>
        <w:ind w:firstLine="560"/>
        <w:rPr>
          <w:color w:val="000000"/>
          <w:sz w:val="28"/>
          <w:szCs w:val="28"/>
        </w:rPr>
      </w:pPr>
      <w:r>
        <w:rPr>
          <w:color w:val="000000"/>
          <w:sz w:val="28"/>
          <w:szCs w:val="28"/>
        </w:rPr>
        <w:t>（七）负责监督检查职责范围内新建、改建、扩建工程项目的安全设施与主体工程同时设计、同时施工、同时投产使用情况，承担相关建设项目安全设施的设计审查和竣工验收工作。</w:t>
      </w:r>
    </w:p>
    <w:p>
      <w:pPr>
        <w:spacing w:line="570" w:lineRule="exact"/>
        <w:ind w:firstLine="560"/>
        <w:rPr>
          <w:color w:val="000000"/>
          <w:sz w:val="28"/>
          <w:szCs w:val="28"/>
        </w:rPr>
      </w:pPr>
      <w:r>
        <w:rPr>
          <w:color w:val="000000"/>
          <w:sz w:val="28"/>
          <w:szCs w:val="28"/>
        </w:rPr>
        <w:t>（八）组织指导全区安全生产宣传教育工作。依法监督检查特种作业人员持证上岗工作。组织和配合上级部门对生产经营单位主要经营管理者、安全管理人员的安全资格考核工作。监督检查工矿商贸生产经营单位安全生产和职业安全培训工作。</w:t>
      </w:r>
    </w:p>
    <w:p>
      <w:pPr>
        <w:spacing w:line="570" w:lineRule="exact"/>
        <w:ind w:firstLine="560"/>
        <w:rPr>
          <w:color w:val="000000"/>
          <w:sz w:val="28"/>
          <w:szCs w:val="28"/>
        </w:rPr>
      </w:pPr>
      <w:r>
        <w:rPr>
          <w:color w:val="000000"/>
          <w:sz w:val="28"/>
          <w:szCs w:val="28"/>
        </w:rPr>
        <w:t xml:space="preserve">（九）指导协调全区安全生产检测检验工作，监督管理安全评价工作。 </w:t>
      </w:r>
    </w:p>
    <w:p>
      <w:pPr>
        <w:spacing w:line="570" w:lineRule="exact"/>
        <w:ind w:firstLine="560"/>
        <w:rPr>
          <w:color w:val="000000"/>
          <w:sz w:val="28"/>
          <w:szCs w:val="28"/>
        </w:rPr>
      </w:pPr>
      <w:r>
        <w:rPr>
          <w:color w:val="000000"/>
          <w:sz w:val="28"/>
          <w:szCs w:val="28"/>
        </w:rPr>
        <w:t>（十）指导协调安全生产信息化建设、安全生产科学技术研究和推广工作。组织开展安全生产方面的交流与合作。</w:t>
      </w:r>
    </w:p>
    <w:p>
      <w:pPr>
        <w:spacing w:line="570" w:lineRule="exact"/>
        <w:ind w:firstLine="560"/>
        <w:rPr>
          <w:color w:val="000000"/>
          <w:sz w:val="28"/>
          <w:szCs w:val="28"/>
        </w:rPr>
      </w:pPr>
      <w:r>
        <w:rPr>
          <w:color w:val="000000"/>
          <w:sz w:val="28"/>
          <w:szCs w:val="28"/>
        </w:rPr>
        <w:t xml:space="preserve">（十一）承担区安全生产委员会办公室的具体工作。 </w:t>
      </w:r>
    </w:p>
    <w:p>
      <w:pPr>
        <w:spacing w:line="570" w:lineRule="exact"/>
        <w:ind w:firstLine="560"/>
        <w:rPr>
          <w:color w:val="000000"/>
          <w:sz w:val="28"/>
          <w:szCs w:val="28"/>
        </w:rPr>
      </w:pPr>
      <w:r>
        <w:rPr>
          <w:color w:val="000000"/>
          <w:sz w:val="28"/>
          <w:szCs w:val="28"/>
        </w:rPr>
        <w:t>（十二）承办区委、区政府和市安全生产监督管理局交办的其他事项。</w:t>
      </w:r>
    </w:p>
    <w:p>
      <w:pPr>
        <w:spacing w:line="570" w:lineRule="exact"/>
        <w:ind w:firstLine="560"/>
        <w:rPr>
          <w:color w:val="000000"/>
          <w:sz w:val="28"/>
          <w:szCs w:val="28"/>
        </w:rPr>
      </w:pPr>
      <w:r>
        <w:rPr>
          <w:color w:val="000000"/>
          <w:sz w:val="28"/>
          <w:szCs w:val="28"/>
        </w:rPr>
        <w:t xml:space="preserve"> 二、部门决算单位构成情况</w:t>
      </w:r>
    </w:p>
    <w:p>
      <w:pPr>
        <w:spacing w:line="570" w:lineRule="exact"/>
        <w:ind w:firstLine="560"/>
        <w:rPr>
          <w:color w:val="000000"/>
          <w:sz w:val="28"/>
          <w:szCs w:val="28"/>
        </w:rPr>
      </w:pPr>
      <w:r>
        <w:rPr>
          <w:color w:val="000000"/>
          <w:sz w:val="28"/>
          <w:szCs w:val="28"/>
        </w:rPr>
        <w:t xml:space="preserve">  1、本部门决算编制涵盖决算单位范围：区安监局</w:t>
      </w:r>
    </w:p>
    <w:p>
      <w:pPr>
        <w:spacing w:line="570" w:lineRule="exact"/>
        <w:ind w:firstLine="560"/>
        <w:rPr>
          <w:color w:val="000000"/>
          <w:sz w:val="28"/>
          <w:szCs w:val="28"/>
        </w:rPr>
      </w:pPr>
      <w:r>
        <w:rPr>
          <w:color w:val="000000"/>
          <w:sz w:val="28"/>
          <w:szCs w:val="28"/>
        </w:rPr>
        <w:t>三、201</w:t>
      </w:r>
      <w:r>
        <w:rPr>
          <w:rFonts w:hint="eastAsia"/>
          <w:color w:val="000000"/>
          <w:sz w:val="28"/>
          <w:szCs w:val="28"/>
          <w:lang w:val="en-US" w:eastAsia="zh-CN"/>
        </w:rPr>
        <w:t>6</w:t>
      </w:r>
      <w:r>
        <w:rPr>
          <w:color w:val="000000"/>
          <w:sz w:val="28"/>
          <w:szCs w:val="28"/>
        </w:rPr>
        <w:t>年度主要工作完成情况</w:t>
      </w:r>
    </w:p>
    <w:p>
      <w:pPr>
        <w:spacing w:line="570" w:lineRule="exact"/>
        <w:ind w:firstLine="560"/>
        <w:rPr>
          <w:color w:val="000000"/>
          <w:sz w:val="28"/>
          <w:szCs w:val="28"/>
        </w:rPr>
      </w:pPr>
      <w:r>
        <w:rPr>
          <w:color w:val="000000"/>
          <w:sz w:val="28"/>
          <w:szCs w:val="28"/>
        </w:rPr>
        <w:t>（一）强化宣传教育培训。区安监局主要领导开展了安全生产教育培训进基层、进学校、进企业、进市场等活动。对开发区管委会110家规模以上企业相关负责人进行了安全生产教育培训。对荷花池街道各部门负责人、有关重点企业负责人、安管员及社区负责人、安管员80多人进行了安全生产教育培训。对全区中小学、幼儿园书记、校长（园长）、分管领导、总务科科长200余人进行了安全专题培训。对全区歌舞、游戏（游艺）、互联网、演出场所的法定代表人和场所安全管理人员200多人进行了安全培训。对凌家塘物流市场120余家经营户进行了安全生产培训。6月18日，利用休息日，为常柴股份有限公司管理层、分工会主席、团总支书记、各制造厂工段长、班组长及有关部门安技人员共110人进行了安全生产教育培训。同时，将安全生产教育培训贯穿于日常执法全过程，督促企业建立安全生产责任制、安全生产教育和培训制度、事故隐患排查治理制度、安全生产检查制度及设备设施维护、保养、检测等各项制度。认真贯彻落实《2016年常州市安全生产培训考核工作要点》，努力提高企业从业人员的安全素质。今年以来，共举办了烟花爆竹经营（零售）单位1期，培训78人。围绕“强化安全发展观念，提升全民安全素质”的活动主题，于6月16日在邹区中心公园举行了“安全生产月”咨询日活动。</w:t>
      </w:r>
    </w:p>
    <w:p>
      <w:pPr>
        <w:spacing w:line="570" w:lineRule="exact"/>
        <w:ind w:firstLine="560"/>
        <w:rPr>
          <w:color w:val="000000"/>
          <w:sz w:val="28"/>
          <w:szCs w:val="28"/>
        </w:rPr>
      </w:pPr>
      <w:r>
        <w:rPr>
          <w:color w:val="000000"/>
          <w:sz w:val="28"/>
          <w:szCs w:val="28"/>
        </w:rPr>
        <w:t>（二）完善执法监督体系。一是加强重点行业（领域）执法。危险化学品:共检查危险化学品生产、使用、经营（储存）企业81家，查出各类问题640项，发出责令整改指令书56份。行政处罚12家。突出了对危化企业高危工艺自动化改造投运、自聘化工专家检查制度执行、隐患排查治理制度开展和标准化持续运行和非法违法生产经营建设行为等情况的检查；印发了《全区安全生产大检查工作方案》的通知（钟安发〔2016〕13号），并按照省委、省政府、市委、市政府和区委、区政府对安全生产工作的安排部署，区安监局牵头开展了危险化学品、易燃易爆物品和冶金工贸安全生产大检查工作。一是积极推进化工（危化品）企业安全总监制度。二是对危化企业标准化达标复审情况进行了梳理。三是部署开展化工医药企业安全生产大检查。四是强化危化企业特殊作业管理要求。五是认真开展危险化学品“四签字”专项整治。共排查出各类问题和隐患311项，发出责令整改指令书41份，立案查处12家，停产整顿2家，企业自行关闭3家。烟花爆竹：对全区所有的烟花爆竹零售店进行了全覆盖安全检查。共出动了执法人员98人次，检查零售店34家，查出各类隐患102处，查处群众举报 4次，关闭不符合安全要求的经营店5家，取缔无证摊贩4处，收缴伪劣烟花爆竹110箱（件）。涉氨制冷：共检查涉氨制冷企业10家，查出各类安全隐患65条。粉尘涉爆：对全区12家涉及木粉企业进行全面检查，督促企业严格执行《严防企业粉尘爆炸五条规定》，并邀请相关专家指导企业排查治理安全隐患和技术改造，进一步规范企业安全生产工作，对3家问题突出的企业进行了行政处罚。有限空间：对全区造纸和酱腌菜生产企业进行排查，对涉及的2家酱腌菜生产企业进行全面检查，督促企业严格执行《有限空间安全作业五条规定》，进一步规范企业安全生产工作。职业病危害防治：督促企业做好职业病危害因素申报，继续充实全区职业病危害统计数据，截止目前，全区已有284家企业进行职业病危害因素申报，新增26家。认真开展职业病防治宣传周活动，强化《用人单位职业病危害防治八条规定》的宣贯，重点检查企业防治责任不落实、防护措施不到位、危害因素不检测、不组织员工进行职业健康检查等问题，对隐患较多的万宏纺织有限公司进行了行政处罚。二是加强日常执法。截至目前，计划内检查企业126家，发出责令整改通知书126份、复查意见书117份，排查、整改隐患783条，实现执法信息及时录入、执法过程动态监察、执法档案的规范管理；计划外检查企业69家，排查、整改隐患491条。对</w:t>
      </w:r>
      <w:r>
        <w:rPr>
          <w:rFonts w:hint="eastAsia"/>
          <w:color w:val="000000"/>
          <w:sz w:val="28"/>
          <w:szCs w:val="28"/>
        </w:rPr>
        <w:t>48</w:t>
      </w:r>
      <w:r>
        <w:rPr>
          <w:color w:val="000000"/>
          <w:sz w:val="28"/>
          <w:szCs w:val="28"/>
        </w:rPr>
        <w:t>家企业进行了行政处罚，处罚金额</w:t>
      </w:r>
      <w:r>
        <w:rPr>
          <w:rFonts w:hint="eastAsia"/>
          <w:color w:val="000000"/>
          <w:sz w:val="28"/>
          <w:szCs w:val="28"/>
        </w:rPr>
        <w:t>102</w:t>
      </w:r>
      <w:r>
        <w:rPr>
          <w:color w:val="000000"/>
          <w:sz w:val="28"/>
          <w:szCs w:val="28"/>
        </w:rPr>
        <w:t>.3万元。三是“回头看”。对12家安全生产标准化“三级”达标企业进行了“回头看”检查，发现隐患47条，发出责令整改指令书4份，督促企业正确认识安全生产标准化工作的重要性与必要性，及时整改安全隐患，巩固安全生产标准化创建成果；对19家汽车“4S店”进行了“回头看”检查，查出隐患94条，发出责令整改指令书16份。四是加强重点时段检查。区安委办先后下发了《关于印发〈关于全国“两会”期间及春季安全生产监督检查工作方案〉的通知》（钟安办发〔2016〕3号）及《关于进一步加强安全生产监督检查的通知》（钟安办发〔2016〕24号），细化了镇、开发区、各街道、有关职能部门安全生产监督检查分工，明确了任务；全国“两会”期间，区安监局采取“四不两直”明查暗访、突击检查、交叉检查等多种方式，深入企业生产一线，共检查 9 家企业，发出9份责令整改指令书。</w:t>
      </w:r>
    </w:p>
    <w:p>
      <w:pPr>
        <w:spacing w:line="570" w:lineRule="exact"/>
        <w:ind w:firstLine="560"/>
        <w:rPr>
          <w:color w:val="000000"/>
          <w:sz w:val="28"/>
          <w:szCs w:val="28"/>
        </w:rPr>
      </w:pPr>
      <w:r>
        <w:rPr>
          <w:color w:val="000000"/>
          <w:sz w:val="28"/>
          <w:szCs w:val="28"/>
        </w:rPr>
        <w:t>（三）开展事故举一反三活动。既通过发生在身边的事故来教育企业负责人，又从国内的典型事故案例中举一反三，做到“一厂出事故、百厂受教育，一地有隐患、全区受警示”。如靖江“4.22”火灾事故后，区安监局向中油石油销售有限公司主要负责人剖析了事故发生的原因，要求企业对事故中暴露出的安全生产主体责任不落实、重大危险源管控严重不到位、特殊作业管理和承包商管理缺失、应急处置不当等突出问题举一反三，对涉及的特殊作业进行认真的梳理，重新修定完善特殊作业管理制度，并进行专题培训，对全体员工进行一次专题考试。4月28日下午，区安监局参加洛克电气落实安全生产责任制大会，帮助洛克电气深刻剖析发生的事故原因，对员工开展教育培训，加强安全意识，确保类似的事故不再发生。“8.6”丹阳埤城电镀园火灾事故后，区安监局及时向辖区电镀企业主要负责人通报事故情况，并对4家电镀企业进行了执法检查，督促企业整改隐患切实落实安全防范措施。湖南省纪委监察厅网站公布“8·28”湖南安乡众鑫纸业事故“为官不为”典型问题后，区安监局于8月11日召集镇、开发区、各街道分管负责人和安监站长剖析事故原因。对照事故教训，要求企业严格履行特种作业审批手续，确认相应防护措施，明确作业场所有专人监护，杜绝违章指挥、违章作业现象，及时制定修改完善有限空间作业重大险情或事故的应急预案，定时组织预案演练，坚决杜绝类似事故的发生。</w:t>
      </w:r>
    </w:p>
    <w:p>
      <w:pPr>
        <w:spacing w:line="570" w:lineRule="exact"/>
        <w:ind w:firstLine="560"/>
        <w:rPr>
          <w:color w:val="000000"/>
          <w:sz w:val="28"/>
          <w:szCs w:val="28"/>
        </w:rPr>
      </w:pPr>
      <w:r>
        <w:rPr>
          <w:color w:val="000000"/>
          <w:sz w:val="28"/>
          <w:szCs w:val="28"/>
        </w:rPr>
        <w:t>（四）完善动态企业数据库。在去年的基础上，区安监局继续在熟悉家底、提升监管能力上狠下功夫，不仅落实日常执法检查工作与企业基本情况调查摸底工作相结合的相关措施，将“一企一档”工作拓展到一般生产经营单位，督促企业建立完善安全生产责任制、安全生产教育和培训制度、事故隐患排查治理制度、安全生产检查制度及设备设施维护、保养、检测等各项制度的落实；更将“一企一档”工作与落实企业安全生产主体责任、冶金等工贸企业较大危险因素辨识、生产安全事故应急预案管理结合起来，推动企业落实安全生产法律法规，履行安全生产法定职责。目前全区已有1823家企业签订主体责任承诺书、基本情况登记表。</w:t>
      </w:r>
    </w:p>
    <w:p>
      <w:pPr>
        <w:spacing w:line="570" w:lineRule="exact"/>
        <w:ind w:firstLine="560"/>
        <w:rPr>
          <w:color w:val="000000"/>
          <w:sz w:val="28"/>
          <w:szCs w:val="28"/>
        </w:rPr>
      </w:pPr>
      <w:r>
        <w:rPr>
          <w:color w:val="000000"/>
          <w:sz w:val="28"/>
          <w:szCs w:val="28"/>
        </w:rPr>
        <w:t>（五）推行约谈制度。确立“执法是手段，教育是关键，整改是目的”的执法理念，区安监局在2015年约谈138名企业负责人的基础上，今年继续加大约谈力度，至今已约谈110家，每次用时2小时。一是约谈存在问题的企业。约谈40余家日常执法中发现的存在落实安全生产主体责任不到位、安全生产意淡薄等问题企业负责人。向企业负责人宣讲安全生产法律法规，客观分析企业安全管理存在的问题，指导企业建立完善安全生产责任制、安全生产教育和培训制度、事故隐患排查治理制度、安全生产检查制度及设备设施维护、保养、检测等各项制度的落实。二是约谈标准化创建企业。对21家工贸行业三级标准化创建企业进行了约谈，指导企业进一步抓好问题整改，严格按标准要求及时完善各要素。加大人力、物力的投入，真正将标准化建设当作企业发展的基础性长效性工作对待。三是走访、约谈重点企业。针对邹区镇企业，采取春节后走访、约谈重点企业的方式，帮助企业破解安生发展难题，促进企业安全管理水平进一步提高；以座谈会的形式与邹区100余家重点企业负责人面对面互动沟通，宣传企业主要负责人在安全生产工作中的主要职责，增强他们的安全意识，督促其进一步落实企业安全生产主体责任。</w:t>
      </w:r>
    </w:p>
    <w:p>
      <w:pPr>
        <w:spacing w:line="570" w:lineRule="exact"/>
        <w:ind w:firstLine="560"/>
        <w:rPr>
          <w:color w:val="000000"/>
          <w:sz w:val="28"/>
          <w:szCs w:val="28"/>
        </w:rPr>
      </w:pPr>
      <w:r>
        <w:rPr>
          <w:color w:val="000000"/>
          <w:sz w:val="28"/>
          <w:szCs w:val="28"/>
        </w:rPr>
        <w:t>（六）主动移送。建立信息沟通机制，在日常监管执法检查中，涉及其他相关执法主体的案件，主动联系，及时以书面发函的形式移送，截至目前移送14件，有效督促生产经营单位依法整改。</w:t>
      </w:r>
    </w:p>
    <w:p>
      <w:pPr>
        <w:spacing w:line="570" w:lineRule="exact"/>
        <w:ind w:firstLine="560"/>
        <w:rPr>
          <w:color w:val="000000"/>
          <w:sz w:val="28"/>
          <w:szCs w:val="28"/>
        </w:rPr>
      </w:pPr>
    </w:p>
    <w:p>
      <w:pPr>
        <w:spacing w:line="570" w:lineRule="exact"/>
        <w:ind w:firstLine="560"/>
        <w:rPr>
          <w:color w:val="000000"/>
          <w:sz w:val="28"/>
          <w:szCs w:val="28"/>
        </w:rPr>
      </w:pPr>
    </w:p>
    <w:p>
      <w:pPr>
        <w:spacing w:line="570" w:lineRule="exact"/>
        <w:ind w:firstLine="560"/>
        <w:rPr>
          <w:color w:val="000000"/>
          <w:sz w:val="28"/>
          <w:szCs w:val="28"/>
        </w:rPr>
      </w:pPr>
    </w:p>
    <w:p>
      <w:pPr>
        <w:spacing w:line="570" w:lineRule="exact"/>
        <w:ind w:firstLine="560"/>
        <w:rPr>
          <w:color w:val="000000"/>
          <w:sz w:val="28"/>
          <w:szCs w:val="28"/>
        </w:rPr>
      </w:pPr>
    </w:p>
    <w:p>
      <w:pPr>
        <w:spacing w:line="570" w:lineRule="exact"/>
        <w:ind w:firstLine="560"/>
        <w:rPr>
          <w:color w:val="000000"/>
          <w:sz w:val="28"/>
          <w:szCs w:val="28"/>
        </w:rPr>
      </w:pPr>
    </w:p>
    <w:p>
      <w:pPr>
        <w:spacing w:line="570" w:lineRule="exact"/>
        <w:ind w:firstLine="560"/>
        <w:rPr>
          <w:color w:val="000000"/>
          <w:sz w:val="28"/>
          <w:szCs w:val="28"/>
        </w:rPr>
      </w:pPr>
    </w:p>
    <w:p>
      <w:pPr>
        <w:spacing w:line="570" w:lineRule="exact"/>
        <w:ind w:firstLine="560"/>
        <w:rPr>
          <w:color w:val="000000"/>
          <w:sz w:val="28"/>
          <w:szCs w:val="28"/>
        </w:rPr>
      </w:pPr>
    </w:p>
    <w:p>
      <w:pPr>
        <w:spacing w:line="570" w:lineRule="exact"/>
        <w:ind w:firstLine="560"/>
        <w:rPr>
          <w:color w:val="000000"/>
          <w:sz w:val="28"/>
          <w:szCs w:val="28"/>
        </w:rPr>
      </w:pPr>
    </w:p>
    <w:p>
      <w:pPr>
        <w:spacing w:line="570" w:lineRule="exact"/>
        <w:ind w:firstLine="560"/>
        <w:rPr>
          <w:color w:val="000000"/>
          <w:sz w:val="28"/>
          <w:szCs w:val="28"/>
        </w:rPr>
      </w:pPr>
    </w:p>
    <w:p>
      <w:pPr>
        <w:spacing w:line="570" w:lineRule="exact"/>
        <w:ind w:firstLine="560"/>
        <w:rPr>
          <w:color w:val="000000"/>
          <w:sz w:val="28"/>
          <w:szCs w:val="28"/>
        </w:rPr>
      </w:pPr>
    </w:p>
    <w:p>
      <w:pPr>
        <w:spacing w:line="570" w:lineRule="exact"/>
        <w:ind w:firstLine="560"/>
        <w:rPr>
          <w:color w:val="000000"/>
          <w:sz w:val="28"/>
          <w:szCs w:val="28"/>
        </w:rPr>
      </w:pPr>
    </w:p>
    <w:p>
      <w:pPr>
        <w:spacing w:line="570" w:lineRule="exact"/>
        <w:ind w:firstLine="560"/>
        <w:rPr>
          <w:color w:val="000000"/>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985" w:right="1758" w:bottom="2098" w:left="1304" w:header="709" w:footer="1361" w:gutter="0"/>
          <w:cols w:space="425" w:num="1"/>
          <w:docGrid w:linePitch="435" w:charSpace="0"/>
        </w:sectPr>
      </w:pPr>
    </w:p>
    <w:p>
      <w:pPr>
        <w:spacing w:line="600" w:lineRule="exact"/>
        <w:ind w:firstLine="560"/>
        <w:rPr>
          <w:color w:val="000000"/>
          <w:sz w:val="28"/>
          <w:szCs w:val="28"/>
        </w:rPr>
      </w:pPr>
    </w:p>
    <w:p>
      <w:pPr>
        <w:widowControl/>
        <w:ind w:firstLine="0" w:firstLineChars="0"/>
        <w:rPr>
          <w:rFonts w:eastAsia="仿宋-GB2312"/>
          <w:color w:val="000000"/>
          <w:kern w:val="0"/>
          <w:szCs w:val="32"/>
        </w:rPr>
      </w:pPr>
      <w:r>
        <w:rPr>
          <w:rFonts w:eastAsia="仿宋-GB2312"/>
          <w:color w:val="000000"/>
          <w:kern w:val="0"/>
          <w:szCs w:val="32"/>
        </w:rPr>
        <w:t>第二部分、</w:t>
      </w:r>
      <w:r>
        <w:rPr>
          <w:rFonts w:hint="eastAsia"/>
          <w:b/>
          <w:snapToGrid w:val="0"/>
          <w:color w:val="auto"/>
          <w:spacing w:val="-4"/>
          <w:kern w:val="0"/>
          <w:szCs w:val="32"/>
          <w:lang w:eastAsia="zh-CN"/>
        </w:rPr>
        <w:t>钟楼区</w:t>
      </w:r>
      <w:r>
        <w:rPr>
          <w:rFonts w:eastAsia="仿宋-GB2312"/>
          <w:color w:val="auto"/>
          <w:kern w:val="0"/>
          <w:szCs w:val="32"/>
        </w:rPr>
        <w:t>安监局201</w:t>
      </w:r>
      <w:r>
        <w:rPr>
          <w:rFonts w:hint="eastAsia" w:eastAsia="仿宋-GB2312"/>
          <w:color w:val="auto"/>
          <w:kern w:val="0"/>
          <w:szCs w:val="32"/>
          <w:lang w:val="en-US" w:eastAsia="zh-CN"/>
        </w:rPr>
        <w:t>6</w:t>
      </w:r>
      <w:r>
        <w:rPr>
          <w:rFonts w:eastAsia="仿宋-GB2312"/>
          <w:color w:val="auto"/>
          <w:kern w:val="0"/>
          <w:szCs w:val="32"/>
        </w:rPr>
        <w:t>年度部门决算表</w:t>
      </w:r>
      <w:r>
        <w:rPr>
          <w:rFonts w:hint="eastAsia" w:eastAsia="仿宋-GB2312"/>
          <w:color w:val="auto"/>
          <w:kern w:val="0"/>
          <w:szCs w:val="32"/>
          <w:lang w:eastAsia="zh-CN"/>
        </w:rPr>
        <w:t>（详见附表）</w:t>
      </w:r>
    </w:p>
    <w:p>
      <w:pPr>
        <w:autoSpaceDE w:val="0"/>
        <w:autoSpaceDN w:val="0"/>
        <w:adjustRightInd w:val="0"/>
        <w:snapToGrid w:val="0"/>
        <w:spacing w:line="570" w:lineRule="exact"/>
        <w:ind w:left="0" w:leftChars="0" w:firstLine="0" w:firstLineChars="0"/>
        <w:rPr>
          <w:snapToGrid w:val="0"/>
          <w:spacing w:val="-4"/>
          <w:kern w:val="0"/>
          <w:szCs w:val="32"/>
        </w:rPr>
      </w:pPr>
      <w:r>
        <w:rPr>
          <w:snapToGrid w:val="0"/>
          <w:spacing w:val="-4"/>
          <w:kern w:val="0"/>
          <w:szCs w:val="32"/>
        </w:rPr>
        <w:t xml:space="preserve">第三部分  </w:t>
      </w:r>
      <w:r>
        <w:rPr>
          <w:rFonts w:hint="eastAsia"/>
          <w:snapToGrid w:val="0"/>
          <w:spacing w:val="-4"/>
          <w:kern w:val="0"/>
          <w:szCs w:val="32"/>
          <w:lang w:eastAsia="zh-CN"/>
        </w:rPr>
        <w:t>钟楼区</w:t>
      </w:r>
      <w:r>
        <w:rPr>
          <w:snapToGrid w:val="0"/>
          <w:spacing w:val="-4"/>
          <w:kern w:val="0"/>
          <w:szCs w:val="32"/>
        </w:rPr>
        <w:t>安监局201</w:t>
      </w:r>
      <w:r>
        <w:rPr>
          <w:rFonts w:hint="eastAsia"/>
          <w:snapToGrid w:val="0"/>
          <w:spacing w:val="-4"/>
          <w:kern w:val="0"/>
          <w:szCs w:val="32"/>
          <w:lang w:val="en-US" w:eastAsia="zh-CN"/>
        </w:rPr>
        <w:t>6</w:t>
      </w:r>
      <w:r>
        <w:rPr>
          <w:snapToGrid w:val="0"/>
          <w:spacing w:val="-4"/>
          <w:kern w:val="0"/>
          <w:szCs w:val="32"/>
        </w:rPr>
        <w:t>年度决算情况说明</w:t>
      </w:r>
    </w:p>
    <w:p>
      <w:pPr>
        <w:autoSpaceDE w:val="0"/>
        <w:autoSpaceDN w:val="0"/>
        <w:adjustRightInd w:val="0"/>
        <w:snapToGrid w:val="0"/>
        <w:spacing w:line="570" w:lineRule="exact"/>
        <w:ind w:firstLine="641" w:firstLineChars="0"/>
        <w:rPr>
          <w:rFonts w:eastAsia="黑体"/>
          <w:snapToGrid w:val="0"/>
          <w:spacing w:val="-4"/>
          <w:kern w:val="0"/>
          <w:szCs w:val="32"/>
        </w:rPr>
      </w:pPr>
      <w:r>
        <w:rPr>
          <w:rFonts w:eastAsia="黑体"/>
          <w:snapToGrid w:val="0"/>
          <w:spacing w:val="-4"/>
          <w:kern w:val="0"/>
          <w:szCs w:val="32"/>
        </w:rPr>
        <w:t>一、收入支出总体情况说明</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安监局201</w:t>
      </w:r>
      <w:r>
        <w:rPr>
          <w:rFonts w:hint="eastAsia"/>
          <w:snapToGrid w:val="0"/>
          <w:spacing w:val="-4"/>
          <w:kern w:val="0"/>
          <w:szCs w:val="32"/>
          <w:lang w:val="en-US" w:eastAsia="zh-CN"/>
        </w:rPr>
        <w:t>6</w:t>
      </w:r>
      <w:r>
        <w:rPr>
          <w:snapToGrid w:val="0"/>
          <w:spacing w:val="-4"/>
          <w:kern w:val="0"/>
          <w:szCs w:val="32"/>
        </w:rPr>
        <w:t>年度收入、支出总计</w:t>
      </w:r>
      <w:r>
        <w:rPr>
          <w:rFonts w:hint="eastAsia"/>
          <w:snapToGrid w:val="0"/>
          <w:spacing w:val="-4"/>
          <w:kern w:val="0"/>
          <w:szCs w:val="32"/>
          <w:lang w:val="en-US" w:eastAsia="zh-CN"/>
        </w:rPr>
        <w:t>354.57</w:t>
      </w:r>
      <w:r>
        <w:rPr>
          <w:snapToGrid w:val="0"/>
          <w:spacing w:val="-4"/>
          <w:kern w:val="0"/>
          <w:szCs w:val="32"/>
        </w:rPr>
        <w:t>万元，与上年相比收、支总计各增加</w:t>
      </w:r>
      <w:r>
        <w:rPr>
          <w:rFonts w:hint="eastAsia"/>
          <w:snapToGrid w:val="0"/>
          <w:spacing w:val="-4"/>
          <w:kern w:val="0"/>
          <w:szCs w:val="32"/>
          <w:lang w:val="en-US" w:eastAsia="zh-CN"/>
        </w:rPr>
        <w:t>67.29</w:t>
      </w:r>
      <w:r>
        <w:rPr>
          <w:snapToGrid w:val="0"/>
          <w:spacing w:val="-4"/>
          <w:kern w:val="0"/>
          <w:szCs w:val="32"/>
        </w:rPr>
        <w:t>万元，增长</w:t>
      </w:r>
      <w:r>
        <w:rPr>
          <w:rFonts w:hint="eastAsia"/>
          <w:snapToGrid w:val="0"/>
          <w:spacing w:val="-4"/>
          <w:kern w:val="0"/>
          <w:szCs w:val="32"/>
          <w:lang w:val="en-US" w:eastAsia="zh-CN"/>
        </w:rPr>
        <w:t>19.98</w:t>
      </w:r>
      <w:r>
        <w:rPr>
          <w:snapToGrid w:val="0"/>
          <w:spacing w:val="-4"/>
          <w:kern w:val="0"/>
          <w:szCs w:val="32"/>
        </w:rPr>
        <w:t xml:space="preserve"> %。主要原因是人员增加、</w:t>
      </w:r>
      <w:r>
        <w:rPr>
          <w:rFonts w:hint="eastAsia"/>
          <w:snapToGrid w:val="0"/>
          <w:spacing w:val="-4"/>
          <w:kern w:val="0"/>
          <w:szCs w:val="32"/>
          <w:lang w:eastAsia="zh-CN"/>
        </w:rPr>
        <w:t>人员公积金和住房补贴基数和比例增加、</w:t>
      </w:r>
      <w:r>
        <w:rPr>
          <w:snapToGrid w:val="0"/>
          <w:spacing w:val="-4"/>
          <w:kern w:val="0"/>
          <w:szCs w:val="32"/>
        </w:rPr>
        <w:t>安全</w:t>
      </w:r>
      <w:r>
        <w:rPr>
          <w:rFonts w:hint="eastAsia"/>
          <w:snapToGrid w:val="0"/>
          <w:spacing w:val="-4"/>
          <w:kern w:val="0"/>
          <w:szCs w:val="32"/>
          <w:lang w:eastAsia="zh-CN"/>
        </w:rPr>
        <w:t>监管信息应用经费</w:t>
      </w:r>
      <w:r>
        <w:rPr>
          <w:snapToGrid w:val="0"/>
          <w:spacing w:val="-4"/>
          <w:kern w:val="0"/>
          <w:szCs w:val="32"/>
        </w:rPr>
        <w:t>增加。其中：</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（一）收入总计</w:t>
      </w:r>
      <w:r>
        <w:rPr>
          <w:rFonts w:hint="eastAsia"/>
          <w:snapToGrid w:val="0"/>
          <w:spacing w:val="-4"/>
          <w:kern w:val="0"/>
          <w:szCs w:val="32"/>
          <w:lang w:val="en-US" w:eastAsia="zh-CN"/>
        </w:rPr>
        <w:t>354.57</w:t>
      </w:r>
      <w:r>
        <w:rPr>
          <w:snapToGrid w:val="0"/>
          <w:spacing w:val="-4"/>
          <w:kern w:val="0"/>
          <w:szCs w:val="32"/>
        </w:rPr>
        <w:t>万元。包括：</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1．财政拨款收入</w:t>
      </w:r>
      <w:r>
        <w:rPr>
          <w:rFonts w:hint="eastAsia"/>
          <w:snapToGrid w:val="0"/>
          <w:spacing w:val="-4"/>
          <w:kern w:val="0"/>
          <w:szCs w:val="32"/>
          <w:lang w:val="en-US" w:eastAsia="zh-CN"/>
        </w:rPr>
        <w:t>354.57</w:t>
      </w:r>
      <w:r>
        <w:rPr>
          <w:snapToGrid w:val="0"/>
          <w:spacing w:val="-4"/>
          <w:kern w:val="0"/>
          <w:szCs w:val="32"/>
        </w:rPr>
        <w:t xml:space="preserve">万元， 与上年相比增加 </w:t>
      </w:r>
      <w:r>
        <w:rPr>
          <w:rFonts w:hint="eastAsia"/>
          <w:snapToGrid w:val="0"/>
          <w:spacing w:val="-4"/>
          <w:kern w:val="0"/>
          <w:szCs w:val="32"/>
          <w:lang w:val="en-US" w:eastAsia="zh-CN"/>
        </w:rPr>
        <w:t>67.29</w:t>
      </w:r>
      <w:r>
        <w:rPr>
          <w:snapToGrid w:val="0"/>
          <w:spacing w:val="-4"/>
          <w:kern w:val="0"/>
          <w:szCs w:val="32"/>
        </w:rPr>
        <w:t>万元，增长</w:t>
      </w:r>
      <w:r>
        <w:rPr>
          <w:rFonts w:hint="eastAsia"/>
          <w:snapToGrid w:val="0"/>
          <w:spacing w:val="-4"/>
          <w:kern w:val="0"/>
          <w:szCs w:val="32"/>
          <w:lang w:val="en-US" w:eastAsia="zh-CN"/>
        </w:rPr>
        <w:t>23.42</w:t>
      </w:r>
      <w:r>
        <w:rPr>
          <w:snapToGrid w:val="0"/>
          <w:spacing w:val="-4"/>
          <w:kern w:val="0"/>
          <w:szCs w:val="32"/>
        </w:rPr>
        <w:t>%。主要原因是</w:t>
      </w:r>
      <w:r>
        <w:rPr>
          <w:rFonts w:hint="eastAsia"/>
          <w:snapToGrid w:val="0"/>
          <w:spacing w:val="-4"/>
          <w:kern w:val="0"/>
          <w:szCs w:val="32"/>
          <w:lang w:eastAsia="zh-CN"/>
        </w:rPr>
        <w:t>人员</w:t>
      </w:r>
      <w:r>
        <w:rPr>
          <w:snapToGrid w:val="0"/>
          <w:spacing w:val="-4"/>
          <w:kern w:val="0"/>
          <w:szCs w:val="32"/>
        </w:rPr>
        <w:t>增加、</w:t>
      </w:r>
      <w:r>
        <w:rPr>
          <w:rFonts w:hint="eastAsia"/>
          <w:snapToGrid w:val="0"/>
          <w:spacing w:val="-4"/>
          <w:kern w:val="0"/>
          <w:szCs w:val="32"/>
          <w:lang w:eastAsia="zh-CN"/>
        </w:rPr>
        <w:t>人员公积金和住房补贴基数和比例增加、</w:t>
      </w:r>
      <w:r>
        <w:rPr>
          <w:snapToGrid w:val="0"/>
          <w:spacing w:val="-4"/>
          <w:kern w:val="0"/>
          <w:szCs w:val="32"/>
        </w:rPr>
        <w:t>安全</w:t>
      </w:r>
      <w:r>
        <w:rPr>
          <w:rFonts w:hint="eastAsia"/>
          <w:snapToGrid w:val="0"/>
          <w:spacing w:val="-4"/>
          <w:kern w:val="0"/>
          <w:szCs w:val="32"/>
          <w:lang w:eastAsia="zh-CN"/>
        </w:rPr>
        <w:t>监管信息应用经费</w:t>
      </w:r>
      <w:r>
        <w:rPr>
          <w:snapToGrid w:val="0"/>
          <w:spacing w:val="-4"/>
          <w:kern w:val="0"/>
          <w:szCs w:val="32"/>
        </w:rPr>
        <w:t>增加。</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（二）支出总计</w:t>
      </w:r>
      <w:r>
        <w:rPr>
          <w:rFonts w:hint="eastAsia"/>
          <w:snapToGrid w:val="0"/>
          <w:spacing w:val="-4"/>
          <w:kern w:val="0"/>
          <w:szCs w:val="32"/>
          <w:lang w:val="en-US" w:eastAsia="zh-CN"/>
        </w:rPr>
        <w:t>354.57</w:t>
      </w:r>
      <w:r>
        <w:rPr>
          <w:snapToGrid w:val="0"/>
          <w:spacing w:val="-4"/>
          <w:kern w:val="0"/>
          <w:szCs w:val="32"/>
        </w:rPr>
        <w:t>万元。包括：</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1．社会保障和就业支出</w:t>
      </w:r>
      <w:r>
        <w:rPr>
          <w:rFonts w:hint="eastAsia"/>
          <w:snapToGrid w:val="0"/>
          <w:spacing w:val="-4"/>
          <w:kern w:val="0"/>
          <w:szCs w:val="32"/>
          <w:lang w:val="en-US" w:eastAsia="zh-CN"/>
        </w:rPr>
        <w:t>23.94</w:t>
      </w:r>
      <w:r>
        <w:rPr>
          <w:snapToGrid w:val="0"/>
          <w:spacing w:val="-4"/>
          <w:kern w:val="0"/>
          <w:szCs w:val="32"/>
        </w:rPr>
        <w:t>万元，与上年相比增加</w:t>
      </w:r>
      <w:r>
        <w:rPr>
          <w:rFonts w:hint="eastAsia"/>
          <w:snapToGrid w:val="0"/>
          <w:spacing w:val="-4"/>
          <w:kern w:val="0"/>
          <w:szCs w:val="32"/>
          <w:lang w:val="en-US" w:eastAsia="zh-CN"/>
        </w:rPr>
        <w:t>7.81</w:t>
      </w:r>
      <w:r>
        <w:rPr>
          <w:snapToGrid w:val="0"/>
          <w:spacing w:val="-4"/>
          <w:kern w:val="0"/>
          <w:szCs w:val="32"/>
        </w:rPr>
        <w:t xml:space="preserve">    万元，增长</w:t>
      </w:r>
      <w:r>
        <w:rPr>
          <w:rFonts w:hint="eastAsia"/>
          <w:snapToGrid w:val="0"/>
          <w:spacing w:val="-4"/>
          <w:kern w:val="0"/>
          <w:szCs w:val="32"/>
          <w:lang w:val="en-US" w:eastAsia="zh-CN"/>
        </w:rPr>
        <w:t>48.42</w:t>
      </w:r>
      <w:r>
        <w:rPr>
          <w:snapToGrid w:val="0"/>
          <w:spacing w:val="-4"/>
          <w:kern w:val="0"/>
          <w:szCs w:val="32"/>
        </w:rPr>
        <w:t>%。主要原因是退休人员工资增长。</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2．医疗卫生与计划生育支出</w:t>
      </w:r>
      <w:r>
        <w:rPr>
          <w:rFonts w:hint="eastAsia"/>
          <w:snapToGrid w:val="0"/>
          <w:spacing w:val="-4"/>
          <w:kern w:val="0"/>
          <w:szCs w:val="32"/>
          <w:lang w:val="en-US" w:eastAsia="zh-CN"/>
        </w:rPr>
        <w:t>11.24</w:t>
      </w:r>
      <w:r>
        <w:rPr>
          <w:snapToGrid w:val="0"/>
          <w:spacing w:val="-4"/>
          <w:kern w:val="0"/>
          <w:szCs w:val="32"/>
        </w:rPr>
        <w:t>万元，与上年相比增加0.</w:t>
      </w:r>
      <w:r>
        <w:rPr>
          <w:rFonts w:hint="eastAsia"/>
          <w:snapToGrid w:val="0"/>
          <w:spacing w:val="-4"/>
          <w:kern w:val="0"/>
          <w:szCs w:val="32"/>
          <w:lang w:val="en-US" w:eastAsia="zh-CN"/>
        </w:rPr>
        <w:t>65</w:t>
      </w:r>
      <w:r>
        <w:rPr>
          <w:snapToGrid w:val="0"/>
          <w:spacing w:val="-4"/>
          <w:kern w:val="0"/>
          <w:szCs w:val="32"/>
        </w:rPr>
        <w:t xml:space="preserve">   万元，增长</w:t>
      </w:r>
      <w:r>
        <w:rPr>
          <w:rFonts w:hint="eastAsia"/>
          <w:snapToGrid w:val="0"/>
          <w:spacing w:val="-4"/>
          <w:kern w:val="0"/>
          <w:szCs w:val="32"/>
          <w:lang w:val="en-US" w:eastAsia="zh-CN"/>
        </w:rPr>
        <w:t>6.14</w:t>
      </w:r>
      <w:r>
        <w:rPr>
          <w:snapToGrid w:val="0"/>
          <w:spacing w:val="-4"/>
          <w:kern w:val="0"/>
          <w:szCs w:val="32"/>
        </w:rPr>
        <w:t>%。</w:t>
      </w:r>
      <w:r>
        <w:rPr>
          <w:rFonts w:hint="eastAsia"/>
          <w:snapToGrid w:val="0"/>
          <w:spacing w:val="-4"/>
          <w:kern w:val="0"/>
          <w:szCs w:val="32"/>
        </w:rPr>
        <w:t>主要原因是</w:t>
      </w:r>
      <w:r>
        <w:rPr>
          <w:rFonts w:hint="eastAsia"/>
          <w:snapToGrid w:val="0"/>
          <w:spacing w:val="-4"/>
          <w:kern w:val="0"/>
          <w:szCs w:val="32"/>
          <w:lang w:eastAsia="zh-CN"/>
        </w:rPr>
        <w:t>人员增加</w:t>
      </w:r>
      <w:r>
        <w:rPr>
          <w:rFonts w:hint="eastAsia"/>
          <w:snapToGrid w:val="0"/>
          <w:spacing w:val="-4"/>
          <w:kern w:val="0"/>
          <w:szCs w:val="32"/>
        </w:rPr>
        <w:t>。</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4．</w:t>
      </w:r>
      <w:r>
        <w:rPr>
          <w:rFonts w:hint="eastAsia"/>
          <w:snapToGrid w:val="0"/>
          <w:spacing w:val="-4"/>
          <w:kern w:val="0"/>
          <w:szCs w:val="32"/>
          <w:lang w:eastAsia="zh-CN"/>
        </w:rPr>
        <w:t>资源勘探信息</w:t>
      </w:r>
      <w:r>
        <w:rPr>
          <w:snapToGrid w:val="0"/>
          <w:spacing w:val="-4"/>
          <w:kern w:val="0"/>
          <w:szCs w:val="32"/>
        </w:rPr>
        <w:t>等支出</w:t>
      </w:r>
      <w:r>
        <w:rPr>
          <w:rFonts w:hint="eastAsia"/>
          <w:snapToGrid w:val="0"/>
          <w:spacing w:val="-4"/>
          <w:kern w:val="0"/>
          <w:szCs w:val="32"/>
          <w:lang w:val="en-US" w:eastAsia="zh-CN"/>
        </w:rPr>
        <w:t>278.95</w:t>
      </w:r>
      <w:r>
        <w:rPr>
          <w:snapToGrid w:val="0"/>
          <w:spacing w:val="-4"/>
          <w:kern w:val="0"/>
          <w:szCs w:val="32"/>
        </w:rPr>
        <w:t>万元，与上年相比增加</w:t>
      </w:r>
      <w:r>
        <w:rPr>
          <w:rFonts w:hint="eastAsia"/>
          <w:snapToGrid w:val="0"/>
          <w:spacing w:val="-4"/>
          <w:kern w:val="0"/>
          <w:szCs w:val="32"/>
          <w:lang w:val="en-US" w:eastAsia="zh-CN"/>
        </w:rPr>
        <w:t>46.66</w:t>
      </w:r>
      <w:r>
        <w:rPr>
          <w:snapToGrid w:val="0"/>
          <w:spacing w:val="-4"/>
          <w:kern w:val="0"/>
          <w:szCs w:val="32"/>
        </w:rPr>
        <w:t xml:space="preserve"> 万元，增长</w:t>
      </w:r>
      <w:r>
        <w:rPr>
          <w:rFonts w:hint="eastAsia"/>
          <w:snapToGrid w:val="0"/>
          <w:spacing w:val="-4"/>
          <w:kern w:val="0"/>
          <w:szCs w:val="32"/>
          <w:lang w:val="en-US" w:eastAsia="zh-CN"/>
        </w:rPr>
        <w:t>20.09</w:t>
      </w:r>
      <w:r>
        <w:rPr>
          <w:snapToGrid w:val="0"/>
          <w:spacing w:val="-4"/>
          <w:kern w:val="0"/>
          <w:szCs w:val="32"/>
        </w:rPr>
        <w:t>%。主要原因是</w:t>
      </w:r>
      <w:r>
        <w:rPr>
          <w:rFonts w:hint="eastAsia"/>
          <w:snapToGrid w:val="0"/>
          <w:spacing w:val="-4"/>
          <w:kern w:val="0"/>
          <w:szCs w:val="32"/>
          <w:lang w:eastAsia="zh-CN"/>
        </w:rPr>
        <w:t>人员</w:t>
      </w:r>
      <w:r>
        <w:rPr>
          <w:snapToGrid w:val="0"/>
          <w:spacing w:val="-4"/>
          <w:kern w:val="0"/>
          <w:szCs w:val="32"/>
        </w:rPr>
        <w:t>增加、安全</w:t>
      </w:r>
      <w:r>
        <w:rPr>
          <w:rFonts w:hint="eastAsia"/>
          <w:snapToGrid w:val="0"/>
          <w:spacing w:val="-4"/>
          <w:kern w:val="0"/>
          <w:szCs w:val="32"/>
          <w:lang w:eastAsia="zh-CN"/>
        </w:rPr>
        <w:t>监管信息应用经费</w:t>
      </w:r>
      <w:r>
        <w:rPr>
          <w:snapToGrid w:val="0"/>
          <w:spacing w:val="-4"/>
          <w:kern w:val="0"/>
          <w:szCs w:val="32"/>
        </w:rPr>
        <w:t>增加。。</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5.住房保障支出</w:t>
      </w:r>
      <w:r>
        <w:rPr>
          <w:rFonts w:hint="eastAsia"/>
          <w:snapToGrid w:val="0"/>
          <w:spacing w:val="-4"/>
          <w:kern w:val="0"/>
          <w:szCs w:val="32"/>
          <w:lang w:val="en-US" w:eastAsia="zh-CN"/>
        </w:rPr>
        <w:t>40.44</w:t>
      </w:r>
      <w:r>
        <w:rPr>
          <w:snapToGrid w:val="0"/>
          <w:spacing w:val="-4"/>
          <w:kern w:val="0"/>
          <w:szCs w:val="32"/>
        </w:rPr>
        <w:t>万元，与上年相比增加</w:t>
      </w:r>
      <w:r>
        <w:rPr>
          <w:rFonts w:hint="eastAsia"/>
          <w:snapToGrid w:val="0"/>
          <w:spacing w:val="-4"/>
          <w:kern w:val="0"/>
          <w:szCs w:val="32"/>
          <w:lang w:val="en-US" w:eastAsia="zh-CN"/>
        </w:rPr>
        <w:t>12.17</w:t>
      </w:r>
      <w:r>
        <w:rPr>
          <w:snapToGrid w:val="0"/>
          <w:spacing w:val="-4"/>
          <w:kern w:val="0"/>
          <w:szCs w:val="32"/>
        </w:rPr>
        <w:t>万元，增长</w:t>
      </w:r>
      <w:r>
        <w:rPr>
          <w:rFonts w:hint="eastAsia"/>
          <w:snapToGrid w:val="0"/>
          <w:spacing w:val="-4"/>
          <w:kern w:val="0"/>
          <w:szCs w:val="32"/>
          <w:lang w:val="en-US" w:eastAsia="zh-CN"/>
        </w:rPr>
        <w:t>43.05</w:t>
      </w:r>
      <w:r>
        <w:rPr>
          <w:snapToGrid w:val="0"/>
          <w:spacing w:val="-4"/>
          <w:kern w:val="0"/>
          <w:szCs w:val="32"/>
        </w:rPr>
        <w:t>%。</w:t>
      </w:r>
      <w:r>
        <w:rPr>
          <w:rFonts w:hint="eastAsia"/>
          <w:snapToGrid w:val="0"/>
          <w:spacing w:val="-4"/>
          <w:kern w:val="0"/>
          <w:szCs w:val="32"/>
        </w:rPr>
        <w:t>主要原因是</w:t>
      </w:r>
      <w:r>
        <w:rPr>
          <w:rFonts w:hint="eastAsia"/>
          <w:snapToGrid w:val="0"/>
          <w:spacing w:val="-4"/>
          <w:kern w:val="0"/>
          <w:szCs w:val="32"/>
          <w:lang w:eastAsia="zh-CN"/>
        </w:rPr>
        <w:t>人员公积金和住房补贴基数和比例增加</w:t>
      </w:r>
      <w:r>
        <w:rPr>
          <w:rFonts w:hint="eastAsia"/>
          <w:snapToGrid w:val="0"/>
          <w:spacing w:val="-4"/>
          <w:kern w:val="0"/>
          <w:szCs w:val="32"/>
        </w:rPr>
        <w:t>。</w:t>
      </w:r>
    </w:p>
    <w:p>
      <w:pPr>
        <w:autoSpaceDE w:val="0"/>
        <w:autoSpaceDN w:val="0"/>
        <w:adjustRightInd w:val="0"/>
        <w:snapToGrid w:val="0"/>
        <w:spacing w:line="570" w:lineRule="exact"/>
        <w:ind w:firstLine="641" w:firstLineChars="0"/>
        <w:rPr>
          <w:rFonts w:eastAsia="黑体"/>
          <w:snapToGrid w:val="0"/>
          <w:spacing w:val="-4"/>
          <w:kern w:val="0"/>
          <w:szCs w:val="32"/>
        </w:rPr>
      </w:pPr>
      <w:r>
        <w:rPr>
          <w:rFonts w:eastAsia="黑体"/>
          <w:snapToGrid w:val="0"/>
          <w:spacing w:val="-4"/>
          <w:kern w:val="0"/>
          <w:szCs w:val="32"/>
        </w:rPr>
        <w:t>二、收入决算情况说明</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安监局本年收入合计</w:t>
      </w:r>
      <w:r>
        <w:rPr>
          <w:rFonts w:hint="eastAsia"/>
          <w:snapToGrid w:val="0"/>
          <w:spacing w:val="-4"/>
          <w:kern w:val="0"/>
          <w:szCs w:val="32"/>
          <w:lang w:val="en-US" w:eastAsia="zh-CN"/>
        </w:rPr>
        <w:t>354.57</w:t>
      </w:r>
      <w:r>
        <w:rPr>
          <w:snapToGrid w:val="0"/>
          <w:spacing w:val="-4"/>
          <w:kern w:val="0"/>
          <w:szCs w:val="32"/>
        </w:rPr>
        <w:t>万元，其中：财政拨款收入</w:t>
      </w:r>
      <w:r>
        <w:rPr>
          <w:rFonts w:hint="eastAsia"/>
          <w:snapToGrid w:val="0"/>
          <w:spacing w:val="-4"/>
          <w:kern w:val="0"/>
          <w:szCs w:val="32"/>
          <w:lang w:val="en-US" w:eastAsia="zh-CN"/>
        </w:rPr>
        <w:t>354.57</w:t>
      </w:r>
      <w:r>
        <w:rPr>
          <w:snapToGrid w:val="0"/>
          <w:spacing w:val="-4"/>
          <w:kern w:val="0"/>
          <w:szCs w:val="32"/>
        </w:rPr>
        <w:t>万元，占100 %；</w:t>
      </w:r>
    </w:p>
    <w:p>
      <w:pPr>
        <w:autoSpaceDE w:val="0"/>
        <w:autoSpaceDN w:val="0"/>
        <w:adjustRightInd w:val="0"/>
        <w:snapToGrid w:val="0"/>
        <w:spacing w:line="570" w:lineRule="exact"/>
        <w:ind w:firstLine="641" w:firstLineChars="0"/>
        <w:rPr>
          <w:rFonts w:eastAsia="黑体"/>
          <w:snapToGrid w:val="0"/>
          <w:spacing w:val="-4"/>
          <w:kern w:val="0"/>
          <w:szCs w:val="32"/>
        </w:rPr>
      </w:pPr>
      <w:r>
        <w:rPr>
          <w:rFonts w:eastAsia="黑体"/>
          <w:snapToGrid w:val="0"/>
          <w:spacing w:val="-4"/>
          <w:kern w:val="0"/>
          <w:szCs w:val="32"/>
        </w:rPr>
        <w:t>三、支出决算情况说明</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安监局本年支出合计</w:t>
      </w:r>
      <w:r>
        <w:rPr>
          <w:rFonts w:hint="eastAsia"/>
          <w:snapToGrid w:val="0"/>
          <w:spacing w:val="-4"/>
          <w:kern w:val="0"/>
          <w:szCs w:val="32"/>
          <w:lang w:val="en-US" w:eastAsia="zh-CN"/>
        </w:rPr>
        <w:t>354.57</w:t>
      </w:r>
      <w:r>
        <w:rPr>
          <w:snapToGrid w:val="0"/>
          <w:spacing w:val="-4"/>
          <w:kern w:val="0"/>
          <w:szCs w:val="32"/>
        </w:rPr>
        <w:t>万元，其中：基本支出</w:t>
      </w:r>
      <w:r>
        <w:rPr>
          <w:rFonts w:hint="eastAsia"/>
          <w:snapToGrid w:val="0"/>
          <w:spacing w:val="-4"/>
          <w:kern w:val="0"/>
          <w:szCs w:val="32"/>
          <w:lang w:val="en-US" w:eastAsia="zh-CN"/>
        </w:rPr>
        <w:t>317.50</w:t>
      </w:r>
      <w:r>
        <w:rPr>
          <w:snapToGrid w:val="0"/>
          <w:spacing w:val="-4"/>
          <w:kern w:val="0"/>
          <w:szCs w:val="32"/>
        </w:rPr>
        <w:t xml:space="preserve">万元，占89 </w:t>
      </w:r>
      <w:r>
        <w:rPr>
          <w:rFonts w:hint="eastAsia"/>
          <w:snapToGrid w:val="0"/>
          <w:spacing w:val="-4"/>
          <w:kern w:val="0"/>
          <w:szCs w:val="32"/>
          <w:lang w:val="en-US" w:eastAsia="zh-CN"/>
        </w:rPr>
        <w:t>.55</w:t>
      </w:r>
      <w:r>
        <w:rPr>
          <w:snapToGrid w:val="0"/>
          <w:spacing w:val="-4"/>
          <w:kern w:val="0"/>
          <w:szCs w:val="32"/>
        </w:rPr>
        <w:t>%；项目支出</w:t>
      </w:r>
      <w:r>
        <w:rPr>
          <w:rFonts w:hint="eastAsia"/>
          <w:snapToGrid w:val="0"/>
          <w:spacing w:val="-4"/>
          <w:kern w:val="0"/>
          <w:szCs w:val="32"/>
          <w:lang w:val="en-US" w:eastAsia="zh-CN"/>
        </w:rPr>
        <w:t>37.07</w:t>
      </w:r>
      <w:r>
        <w:rPr>
          <w:snapToGrid w:val="0"/>
          <w:spacing w:val="-4"/>
          <w:kern w:val="0"/>
          <w:szCs w:val="32"/>
        </w:rPr>
        <w:t>万元，占1</w:t>
      </w:r>
      <w:r>
        <w:rPr>
          <w:rFonts w:hint="eastAsia"/>
          <w:snapToGrid w:val="0"/>
          <w:spacing w:val="-4"/>
          <w:kern w:val="0"/>
          <w:szCs w:val="32"/>
          <w:lang w:val="en-US" w:eastAsia="zh-CN"/>
        </w:rPr>
        <w:t>0.45</w:t>
      </w:r>
      <w:r>
        <w:rPr>
          <w:snapToGrid w:val="0"/>
          <w:spacing w:val="-4"/>
          <w:kern w:val="0"/>
          <w:szCs w:val="32"/>
        </w:rPr>
        <w:t>%；</w:t>
      </w:r>
    </w:p>
    <w:p>
      <w:pPr>
        <w:autoSpaceDE w:val="0"/>
        <w:autoSpaceDN w:val="0"/>
        <w:adjustRightInd w:val="0"/>
        <w:snapToGrid w:val="0"/>
        <w:spacing w:line="570" w:lineRule="exact"/>
        <w:ind w:firstLine="641" w:firstLineChars="0"/>
        <w:rPr>
          <w:rFonts w:eastAsia="黑体"/>
          <w:snapToGrid w:val="0"/>
          <w:spacing w:val="-4"/>
          <w:kern w:val="0"/>
          <w:szCs w:val="32"/>
        </w:rPr>
      </w:pPr>
      <w:r>
        <w:rPr>
          <w:rFonts w:eastAsia="黑体"/>
          <w:snapToGrid w:val="0"/>
          <w:spacing w:val="-4"/>
          <w:kern w:val="0"/>
          <w:szCs w:val="32"/>
        </w:rPr>
        <w:t>四、财政拨款收入支出决算总体情况说明</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安监局201</w:t>
      </w:r>
      <w:r>
        <w:rPr>
          <w:rFonts w:hint="eastAsia"/>
          <w:snapToGrid w:val="0"/>
          <w:spacing w:val="-4"/>
          <w:kern w:val="0"/>
          <w:szCs w:val="32"/>
          <w:lang w:val="en-US" w:eastAsia="zh-CN"/>
        </w:rPr>
        <w:t>6</w:t>
      </w:r>
      <w:r>
        <w:rPr>
          <w:snapToGrid w:val="0"/>
          <w:spacing w:val="-4"/>
          <w:kern w:val="0"/>
          <w:szCs w:val="32"/>
        </w:rPr>
        <w:t>年度财政拨款收、支总决算</w:t>
      </w:r>
      <w:r>
        <w:rPr>
          <w:rFonts w:hint="eastAsia"/>
          <w:snapToGrid w:val="0"/>
          <w:spacing w:val="-4"/>
          <w:kern w:val="0"/>
          <w:szCs w:val="32"/>
          <w:lang w:val="en-US" w:eastAsia="zh-CN"/>
        </w:rPr>
        <w:t>354.57</w:t>
      </w:r>
      <w:r>
        <w:rPr>
          <w:snapToGrid w:val="0"/>
          <w:spacing w:val="-4"/>
          <w:kern w:val="0"/>
          <w:szCs w:val="32"/>
        </w:rPr>
        <w:t>万元。与上年相比，财政拨款收、支总计各增加</w:t>
      </w:r>
      <w:r>
        <w:rPr>
          <w:rFonts w:hint="eastAsia"/>
          <w:snapToGrid w:val="0"/>
          <w:spacing w:val="-4"/>
          <w:kern w:val="0"/>
          <w:szCs w:val="32"/>
          <w:lang w:val="en-US" w:eastAsia="zh-CN"/>
        </w:rPr>
        <w:t>67.29</w:t>
      </w:r>
      <w:r>
        <w:rPr>
          <w:snapToGrid w:val="0"/>
          <w:spacing w:val="-4"/>
          <w:kern w:val="0"/>
          <w:szCs w:val="32"/>
        </w:rPr>
        <w:t>万元，增长</w:t>
      </w:r>
      <w:r>
        <w:rPr>
          <w:rFonts w:hint="eastAsia"/>
          <w:snapToGrid w:val="0"/>
          <w:spacing w:val="-4"/>
          <w:kern w:val="0"/>
          <w:szCs w:val="32"/>
          <w:lang w:val="en-US" w:eastAsia="zh-CN"/>
        </w:rPr>
        <w:t>23.42</w:t>
      </w:r>
      <w:r>
        <w:rPr>
          <w:snapToGrid w:val="0"/>
          <w:spacing w:val="-4"/>
          <w:kern w:val="0"/>
          <w:szCs w:val="32"/>
        </w:rPr>
        <w:t>%。主要原因是</w:t>
      </w:r>
      <w:r>
        <w:rPr>
          <w:rFonts w:hint="eastAsia"/>
          <w:snapToGrid w:val="0"/>
          <w:spacing w:val="-4"/>
          <w:kern w:val="0"/>
          <w:szCs w:val="32"/>
          <w:lang w:eastAsia="zh-CN"/>
        </w:rPr>
        <w:t>人员</w:t>
      </w:r>
      <w:r>
        <w:rPr>
          <w:snapToGrid w:val="0"/>
          <w:spacing w:val="-4"/>
          <w:kern w:val="0"/>
          <w:szCs w:val="32"/>
        </w:rPr>
        <w:t>增加、</w:t>
      </w:r>
      <w:r>
        <w:rPr>
          <w:rFonts w:hint="eastAsia"/>
          <w:snapToGrid w:val="0"/>
          <w:spacing w:val="-4"/>
          <w:kern w:val="0"/>
          <w:szCs w:val="32"/>
          <w:lang w:eastAsia="zh-CN"/>
        </w:rPr>
        <w:t>人员公积金和住房补贴基数和比例增加、</w:t>
      </w:r>
      <w:r>
        <w:rPr>
          <w:snapToGrid w:val="0"/>
          <w:spacing w:val="-4"/>
          <w:kern w:val="0"/>
          <w:szCs w:val="32"/>
        </w:rPr>
        <w:t>安全</w:t>
      </w:r>
      <w:r>
        <w:rPr>
          <w:rFonts w:hint="eastAsia"/>
          <w:snapToGrid w:val="0"/>
          <w:spacing w:val="-4"/>
          <w:kern w:val="0"/>
          <w:szCs w:val="32"/>
          <w:lang w:eastAsia="zh-CN"/>
        </w:rPr>
        <w:t>监管信息应用经费</w:t>
      </w:r>
      <w:r>
        <w:rPr>
          <w:snapToGrid w:val="0"/>
          <w:spacing w:val="-4"/>
          <w:kern w:val="0"/>
          <w:szCs w:val="32"/>
        </w:rPr>
        <w:t>增加。</w:t>
      </w:r>
    </w:p>
    <w:p>
      <w:pPr>
        <w:autoSpaceDE w:val="0"/>
        <w:autoSpaceDN w:val="0"/>
        <w:adjustRightInd w:val="0"/>
        <w:snapToGrid w:val="0"/>
        <w:spacing w:line="570" w:lineRule="exact"/>
        <w:ind w:firstLine="641" w:firstLineChars="0"/>
        <w:rPr>
          <w:rFonts w:eastAsia="黑体"/>
          <w:snapToGrid w:val="0"/>
          <w:spacing w:val="-4"/>
          <w:kern w:val="0"/>
          <w:szCs w:val="32"/>
        </w:rPr>
      </w:pPr>
      <w:r>
        <w:rPr>
          <w:rFonts w:eastAsia="黑体"/>
          <w:snapToGrid w:val="0"/>
          <w:spacing w:val="-4"/>
          <w:kern w:val="0"/>
          <w:szCs w:val="32"/>
        </w:rPr>
        <w:t>五、财政拨款支出决算情况说明</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安监局201</w:t>
      </w:r>
      <w:r>
        <w:rPr>
          <w:rFonts w:hint="eastAsia"/>
          <w:snapToGrid w:val="0"/>
          <w:spacing w:val="-4"/>
          <w:kern w:val="0"/>
          <w:szCs w:val="32"/>
          <w:lang w:val="en-US" w:eastAsia="zh-CN"/>
        </w:rPr>
        <w:t>6</w:t>
      </w:r>
      <w:r>
        <w:rPr>
          <w:snapToGrid w:val="0"/>
          <w:spacing w:val="-4"/>
          <w:kern w:val="0"/>
          <w:szCs w:val="32"/>
        </w:rPr>
        <w:t>年财政拨款支出</w:t>
      </w:r>
      <w:r>
        <w:rPr>
          <w:rFonts w:hint="eastAsia"/>
          <w:snapToGrid w:val="0"/>
          <w:spacing w:val="-4"/>
          <w:kern w:val="0"/>
          <w:szCs w:val="32"/>
          <w:lang w:val="en-US" w:eastAsia="zh-CN"/>
        </w:rPr>
        <w:t>354.57</w:t>
      </w:r>
      <w:r>
        <w:rPr>
          <w:snapToGrid w:val="0"/>
          <w:spacing w:val="-4"/>
          <w:kern w:val="0"/>
          <w:szCs w:val="32"/>
        </w:rPr>
        <w:t>万元，占本年支出合计的 100 %。与上年相比，财政拨款支出增加</w:t>
      </w:r>
      <w:r>
        <w:rPr>
          <w:rFonts w:hint="eastAsia"/>
          <w:snapToGrid w:val="0"/>
          <w:spacing w:val="-4"/>
          <w:kern w:val="0"/>
          <w:szCs w:val="32"/>
          <w:lang w:val="en-US" w:eastAsia="zh-CN"/>
        </w:rPr>
        <w:t>67.29</w:t>
      </w:r>
      <w:r>
        <w:rPr>
          <w:snapToGrid w:val="0"/>
          <w:spacing w:val="-4"/>
          <w:kern w:val="0"/>
          <w:szCs w:val="32"/>
        </w:rPr>
        <w:t>万元，增长</w:t>
      </w:r>
      <w:r>
        <w:rPr>
          <w:rFonts w:hint="eastAsia"/>
          <w:snapToGrid w:val="0"/>
          <w:spacing w:val="-4"/>
          <w:kern w:val="0"/>
          <w:szCs w:val="32"/>
          <w:lang w:val="en-US" w:eastAsia="zh-CN"/>
        </w:rPr>
        <w:t>23.42</w:t>
      </w:r>
      <w:r>
        <w:rPr>
          <w:snapToGrid w:val="0"/>
          <w:spacing w:val="-4"/>
          <w:kern w:val="0"/>
          <w:szCs w:val="32"/>
        </w:rPr>
        <w:t xml:space="preserve"> %。主要原因是</w:t>
      </w:r>
      <w:r>
        <w:rPr>
          <w:rFonts w:hint="eastAsia"/>
          <w:snapToGrid w:val="0"/>
          <w:spacing w:val="-4"/>
          <w:kern w:val="0"/>
          <w:szCs w:val="32"/>
          <w:lang w:eastAsia="zh-CN"/>
        </w:rPr>
        <w:t>人员</w:t>
      </w:r>
      <w:r>
        <w:rPr>
          <w:snapToGrid w:val="0"/>
          <w:spacing w:val="-4"/>
          <w:kern w:val="0"/>
          <w:szCs w:val="32"/>
        </w:rPr>
        <w:t>增加、</w:t>
      </w:r>
      <w:r>
        <w:rPr>
          <w:rFonts w:hint="eastAsia"/>
          <w:snapToGrid w:val="0"/>
          <w:spacing w:val="-4"/>
          <w:kern w:val="0"/>
          <w:szCs w:val="32"/>
          <w:lang w:eastAsia="zh-CN"/>
        </w:rPr>
        <w:t>人员公积金和住房补贴基数和比例增加、</w:t>
      </w:r>
      <w:r>
        <w:rPr>
          <w:snapToGrid w:val="0"/>
          <w:spacing w:val="-4"/>
          <w:kern w:val="0"/>
          <w:szCs w:val="32"/>
        </w:rPr>
        <w:t>安全</w:t>
      </w:r>
      <w:r>
        <w:rPr>
          <w:rFonts w:hint="eastAsia"/>
          <w:snapToGrid w:val="0"/>
          <w:spacing w:val="-4"/>
          <w:kern w:val="0"/>
          <w:szCs w:val="32"/>
          <w:lang w:eastAsia="zh-CN"/>
        </w:rPr>
        <w:t>监管信息应用经费</w:t>
      </w:r>
      <w:r>
        <w:rPr>
          <w:snapToGrid w:val="0"/>
          <w:spacing w:val="-4"/>
          <w:kern w:val="0"/>
          <w:szCs w:val="32"/>
        </w:rPr>
        <w:t>增加。</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安监局201</w:t>
      </w:r>
      <w:r>
        <w:rPr>
          <w:rFonts w:hint="eastAsia"/>
          <w:snapToGrid w:val="0"/>
          <w:spacing w:val="-4"/>
          <w:kern w:val="0"/>
          <w:szCs w:val="32"/>
          <w:lang w:val="en-US" w:eastAsia="zh-CN"/>
        </w:rPr>
        <w:t>6</w:t>
      </w:r>
      <w:r>
        <w:rPr>
          <w:snapToGrid w:val="0"/>
          <w:spacing w:val="-4"/>
          <w:kern w:val="0"/>
          <w:szCs w:val="32"/>
        </w:rPr>
        <w:t>年度财政拨款支出年初预算为</w:t>
      </w:r>
      <w:r>
        <w:rPr>
          <w:rFonts w:hint="eastAsia"/>
          <w:snapToGrid w:val="0"/>
          <w:spacing w:val="-4"/>
          <w:kern w:val="0"/>
          <w:szCs w:val="32"/>
        </w:rPr>
        <w:t>325.28</w:t>
      </w:r>
      <w:r>
        <w:rPr>
          <w:snapToGrid w:val="0"/>
          <w:spacing w:val="-4"/>
          <w:kern w:val="0"/>
          <w:szCs w:val="32"/>
        </w:rPr>
        <w:t>万元，支出决算为</w:t>
      </w:r>
      <w:r>
        <w:rPr>
          <w:rFonts w:hint="eastAsia"/>
          <w:snapToGrid w:val="0"/>
          <w:spacing w:val="-4"/>
          <w:kern w:val="0"/>
          <w:szCs w:val="32"/>
          <w:lang w:val="en-US" w:eastAsia="zh-CN"/>
        </w:rPr>
        <w:t>354.57</w:t>
      </w:r>
      <w:r>
        <w:rPr>
          <w:snapToGrid w:val="0"/>
          <w:spacing w:val="-4"/>
          <w:kern w:val="0"/>
          <w:szCs w:val="32"/>
        </w:rPr>
        <w:t>万元，完成年初预算的</w:t>
      </w:r>
      <w:r>
        <w:rPr>
          <w:rFonts w:hint="eastAsia"/>
          <w:snapToGrid w:val="0"/>
          <w:spacing w:val="-4"/>
          <w:kern w:val="0"/>
          <w:szCs w:val="32"/>
          <w:lang w:val="en-US" w:eastAsia="zh-CN"/>
        </w:rPr>
        <w:t>109</w:t>
      </w:r>
      <w:r>
        <w:rPr>
          <w:snapToGrid w:val="0"/>
          <w:spacing w:val="-4"/>
          <w:kern w:val="0"/>
          <w:szCs w:val="32"/>
        </w:rPr>
        <w:t>%。决算数</w:t>
      </w:r>
      <w:r>
        <w:rPr>
          <w:rFonts w:hint="eastAsia"/>
          <w:snapToGrid w:val="0"/>
          <w:spacing w:val="-4"/>
          <w:kern w:val="0"/>
          <w:szCs w:val="32"/>
          <w:lang w:eastAsia="zh-CN"/>
        </w:rPr>
        <w:t>大</w:t>
      </w:r>
      <w:r>
        <w:rPr>
          <w:snapToGrid w:val="0"/>
          <w:spacing w:val="-4"/>
          <w:kern w:val="0"/>
          <w:szCs w:val="32"/>
        </w:rPr>
        <w:t>于年初预算数的主要原因是</w:t>
      </w:r>
      <w:r>
        <w:rPr>
          <w:rFonts w:hint="eastAsia"/>
          <w:snapToGrid w:val="0"/>
          <w:spacing w:val="-4"/>
          <w:kern w:val="0"/>
          <w:szCs w:val="32"/>
          <w:lang w:eastAsia="zh-CN"/>
        </w:rPr>
        <w:t>人员</w:t>
      </w:r>
      <w:r>
        <w:rPr>
          <w:snapToGrid w:val="0"/>
          <w:spacing w:val="-4"/>
          <w:kern w:val="0"/>
          <w:szCs w:val="32"/>
        </w:rPr>
        <w:t>增加、</w:t>
      </w:r>
      <w:r>
        <w:rPr>
          <w:rFonts w:hint="eastAsia"/>
          <w:snapToGrid w:val="0"/>
          <w:spacing w:val="-4"/>
          <w:kern w:val="0"/>
          <w:szCs w:val="32"/>
          <w:lang w:eastAsia="zh-CN"/>
        </w:rPr>
        <w:t>人员公积金和住房补贴基数和比例增加、</w:t>
      </w:r>
      <w:r>
        <w:rPr>
          <w:snapToGrid w:val="0"/>
          <w:spacing w:val="-4"/>
          <w:kern w:val="0"/>
          <w:szCs w:val="32"/>
        </w:rPr>
        <w:t>安全</w:t>
      </w:r>
      <w:r>
        <w:rPr>
          <w:rFonts w:hint="eastAsia"/>
          <w:snapToGrid w:val="0"/>
          <w:spacing w:val="-4"/>
          <w:kern w:val="0"/>
          <w:szCs w:val="32"/>
          <w:lang w:eastAsia="zh-CN"/>
        </w:rPr>
        <w:t>监管信息应用经费</w:t>
      </w:r>
      <w:r>
        <w:rPr>
          <w:snapToGrid w:val="0"/>
          <w:spacing w:val="-4"/>
          <w:kern w:val="0"/>
          <w:szCs w:val="32"/>
        </w:rPr>
        <w:t>增加</w:t>
      </w:r>
      <w:r>
        <w:rPr>
          <w:rFonts w:hint="eastAsia"/>
          <w:snapToGrid w:val="0"/>
          <w:spacing w:val="-4"/>
          <w:kern w:val="0"/>
          <w:szCs w:val="32"/>
          <w:lang w:eastAsia="zh-CN"/>
        </w:rPr>
        <w:t>。</w:t>
      </w:r>
    </w:p>
    <w:p>
      <w:pPr>
        <w:autoSpaceDE w:val="0"/>
        <w:autoSpaceDN w:val="0"/>
        <w:adjustRightInd w:val="0"/>
        <w:snapToGrid w:val="0"/>
        <w:spacing w:line="570" w:lineRule="exact"/>
        <w:ind w:firstLine="641" w:firstLineChars="0"/>
        <w:rPr>
          <w:rFonts w:eastAsia="黑体"/>
          <w:snapToGrid w:val="0"/>
          <w:spacing w:val="-4"/>
          <w:kern w:val="0"/>
          <w:szCs w:val="32"/>
        </w:rPr>
      </w:pPr>
      <w:r>
        <w:rPr>
          <w:rFonts w:eastAsia="黑体"/>
          <w:snapToGrid w:val="0"/>
          <w:spacing w:val="-4"/>
          <w:kern w:val="0"/>
          <w:szCs w:val="32"/>
        </w:rPr>
        <w:t>六、财政拨款基本支出决算情况说明</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安监局2015年度财政拨款基本支出</w:t>
      </w:r>
      <w:r>
        <w:rPr>
          <w:rFonts w:hint="eastAsia"/>
          <w:snapToGrid w:val="0"/>
          <w:spacing w:val="-4"/>
          <w:kern w:val="0"/>
          <w:szCs w:val="32"/>
          <w:lang w:val="en-US" w:eastAsia="zh-CN"/>
        </w:rPr>
        <w:t>317.50</w:t>
      </w:r>
      <w:r>
        <w:rPr>
          <w:snapToGrid w:val="0"/>
          <w:spacing w:val="-4"/>
          <w:kern w:val="0"/>
          <w:szCs w:val="32"/>
        </w:rPr>
        <w:t>万元，其中：</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（一）人员经费</w:t>
      </w:r>
      <w:r>
        <w:rPr>
          <w:rFonts w:hint="eastAsia"/>
          <w:snapToGrid w:val="0"/>
          <w:spacing w:val="-4"/>
          <w:kern w:val="0"/>
          <w:szCs w:val="32"/>
          <w:lang w:val="en-US" w:eastAsia="zh-CN"/>
        </w:rPr>
        <w:t>303.38</w:t>
      </w:r>
      <w:r>
        <w:rPr>
          <w:snapToGrid w:val="0"/>
          <w:spacing w:val="-4"/>
          <w:kern w:val="0"/>
          <w:szCs w:val="32"/>
        </w:rPr>
        <w:t>万元。主要包括：基本工资</w:t>
      </w:r>
      <w:r>
        <w:rPr>
          <w:rFonts w:hint="eastAsia"/>
          <w:snapToGrid w:val="0"/>
          <w:spacing w:val="-4"/>
          <w:kern w:val="0"/>
          <w:szCs w:val="32"/>
          <w:lang w:val="en-US" w:eastAsia="zh-CN"/>
        </w:rPr>
        <w:t>56.61</w:t>
      </w:r>
      <w:r>
        <w:rPr>
          <w:snapToGrid w:val="0"/>
          <w:spacing w:val="-4"/>
          <w:kern w:val="0"/>
          <w:szCs w:val="32"/>
        </w:rPr>
        <w:t>万元、津贴补贴</w:t>
      </w:r>
      <w:r>
        <w:rPr>
          <w:rFonts w:hint="eastAsia"/>
          <w:snapToGrid w:val="0"/>
          <w:spacing w:val="-4"/>
          <w:kern w:val="0"/>
          <w:szCs w:val="32"/>
          <w:lang w:val="en-US" w:eastAsia="zh-CN"/>
        </w:rPr>
        <w:t>170.15</w:t>
      </w:r>
      <w:r>
        <w:rPr>
          <w:snapToGrid w:val="0"/>
          <w:spacing w:val="-4"/>
          <w:kern w:val="0"/>
          <w:szCs w:val="32"/>
        </w:rPr>
        <w:t>万元、社会保障缴费</w:t>
      </w:r>
      <w:r>
        <w:rPr>
          <w:rFonts w:hint="eastAsia"/>
          <w:snapToGrid w:val="0"/>
          <w:spacing w:val="-4"/>
          <w:kern w:val="0"/>
          <w:szCs w:val="32"/>
          <w:lang w:val="en-US" w:eastAsia="zh-CN"/>
        </w:rPr>
        <w:t>11.97</w:t>
      </w:r>
      <w:r>
        <w:rPr>
          <w:snapToGrid w:val="0"/>
          <w:spacing w:val="-4"/>
          <w:kern w:val="0"/>
          <w:szCs w:val="32"/>
        </w:rPr>
        <w:t>万元、</w:t>
      </w:r>
      <w:r>
        <w:rPr>
          <w:rFonts w:hint="eastAsia"/>
          <w:snapToGrid w:val="0"/>
          <w:spacing w:val="-4"/>
          <w:kern w:val="0"/>
          <w:szCs w:val="32"/>
          <w:lang w:eastAsia="zh-CN"/>
        </w:rPr>
        <w:t>社会保障缴费</w:t>
      </w:r>
      <w:r>
        <w:rPr>
          <w:snapToGrid w:val="0"/>
          <w:spacing w:val="-4"/>
          <w:kern w:val="0"/>
          <w:szCs w:val="32"/>
        </w:rPr>
        <w:t>支出</w:t>
      </w:r>
      <w:r>
        <w:rPr>
          <w:rFonts w:hint="eastAsia"/>
          <w:snapToGrid w:val="0"/>
          <w:spacing w:val="-4"/>
          <w:kern w:val="0"/>
          <w:szCs w:val="32"/>
          <w:lang w:val="en-US" w:eastAsia="zh-CN"/>
        </w:rPr>
        <w:t>11.97</w:t>
      </w:r>
      <w:r>
        <w:rPr>
          <w:snapToGrid w:val="0"/>
          <w:spacing w:val="-4"/>
          <w:kern w:val="0"/>
          <w:szCs w:val="32"/>
        </w:rPr>
        <w:t>万元、退休费</w:t>
      </w:r>
      <w:r>
        <w:rPr>
          <w:rFonts w:hint="eastAsia"/>
          <w:snapToGrid w:val="0"/>
          <w:spacing w:val="-4"/>
          <w:kern w:val="0"/>
          <w:szCs w:val="32"/>
        </w:rPr>
        <w:t>23.94</w:t>
      </w:r>
      <w:r>
        <w:rPr>
          <w:snapToGrid w:val="0"/>
          <w:spacing w:val="-4"/>
          <w:kern w:val="0"/>
          <w:szCs w:val="32"/>
        </w:rPr>
        <w:t>万元、住房公积金</w:t>
      </w:r>
      <w:r>
        <w:rPr>
          <w:rFonts w:hint="eastAsia"/>
          <w:snapToGrid w:val="0"/>
          <w:spacing w:val="-4"/>
          <w:kern w:val="0"/>
          <w:szCs w:val="32"/>
        </w:rPr>
        <w:t>18.99</w:t>
      </w:r>
      <w:r>
        <w:rPr>
          <w:snapToGrid w:val="0"/>
          <w:spacing w:val="-4"/>
          <w:kern w:val="0"/>
          <w:szCs w:val="32"/>
        </w:rPr>
        <w:t>万元、提租补贴</w:t>
      </w:r>
      <w:r>
        <w:rPr>
          <w:rFonts w:hint="eastAsia"/>
          <w:snapToGrid w:val="0"/>
          <w:spacing w:val="-4"/>
          <w:kern w:val="0"/>
          <w:szCs w:val="32"/>
        </w:rPr>
        <w:t>21.45</w:t>
      </w:r>
      <w:r>
        <w:rPr>
          <w:snapToGrid w:val="0"/>
          <w:spacing w:val="-4"/>
          <w:kern w:val="0"/>
          <w:szCs w:val="32"/>
        </w:rPr>
        <w:t>万元、其他对个人和家庭的补助支出</w:t>
      </w:r>
      <w:r>
        <w:rPr>
          <w:rFonts w:hint="eastAsia"/>
          <w:snapToGrid w:val="0"/>
          <w:spacing w:val="-4"/>
          <w:kern w:val="0"/>
          <w:szCs w:val="32"/>
        </w:rPr>
        <w:t>0.27</w:t>
      </w:r>
      <w:r>
        <w:rPr>
          <w:snapToGrid w:val="0"/>
          <w:spacing w:val="-4"/>
          <w:kern w:val="0"/>
          <w:szCs w:val="32"/>
        </w:rPr>
        <w:t>万元。（二）日常公用经费</w:t>
      </w:r>
      <w:r>
        <w:rPr>
          <w:rFonts w:hint="eastAsia"/>
          <w:snapToGrid w:val="0"/>
          <w:spacing w:val="-4"/>
          <w:kern w:val="0"/>
          <w:szCs w:val="32"/>
        </w:rPr>
        <w:t>14.12</w:t>
      </w:r>
      <w:r>
        <w:rPr>
          <w:snapToGrid w:val="0"/>
          <w:spacing w:val="-4"/>
          <w:kern w:val="0"/>
          <w:szCs w:val="32"/>
        </w:rPr>
        <w:t>万元。主要包括：办公费</w:t>
      </w:r>
      <w:r>
        <w:rPr>
          <w:rFonts w:hint="eastAsia"/>
          <w:snapToGrid w:val="0"/>
          <w:spacing w:val="-4"/>
          <w:kern w:val="0"/>
          <w:szCs w:val="32"/>
        </w:rPr>
        <w:t>3.91</w:t>
      </w:r>
      <w:r>
        <w:rPr>
          <w:snapToGrid w:val="0"/>
          <w:spacing w:val="-4"/>
          <w:kern w:val="0"/>
          <w:szCs w:val="32"/>
        </w:rPr>
        <w:t>万元、印刷费</w:t>
      </w:r>
      <w:r>
        <w:rPr>
          <w:rFonts w:hint="eastAsia"/>
          <w:snapToGrid w:val="0"/>
          <w:spacing w:val="-4"/>
          <w:kern w:val="0"/>
          <w:szCs w:val="32"/>
        </w:rPr>
        <w:t>0.71</w:t>
      </w:r>
      <w:r>
        <w:rPr>
          <w:snapToGrid w:val="0"/>
          <w:spacing w:val="-4"/>
          <w:kern w:val="0"/>
          <w:szCs w:val="32"/>
        </w:rPr>
        <w:t>万元、差旅费</w:t>
      </w:r>
      <w:r>
        <w:rPr>
          <w:rFonts w:hint="eastAsia"/>
          <w:snapToGrid w:val="0"/>
          <w:spacing w:val="-4"/>
          <w:kern w:val="0"/>
          <w:szCs w:val="32"/>
        </w:rPr>
        <w:t>1.07</w:t>
      </w:r>
      <w:r>
        <w:rPr>
          <w:snapToGrid w:val="0"/>
          <w:spacing w:val="-4"/>
          <w:kern w:val="0"/>
          <w:szCs w:val="32"/>
        </w:rPr>
        <w:t>万元、培训费</w:t>
      </w:r>
      <w:r>
        <w:rPr>
          <w:rFonts w:hint="eastAsia"/>
          <w:snapToGrid w:val="0"/>
          <w:spacing w:val="-4"/>
          <w:kern w:val="0"/>
          <w:szCs w:val="32"/>
        </w:rPr>
        <w:t>0.25</w:t>
      </w:r>
      <w:r>
        <w:rPr>
          <w:snapToGrid w:val="0"/>
          <w:spacing w:val="-4"/>
          <w:kern w:val="0"/>
          <w:szCs w:val="32"/>
        </w:rPr>
        <w:t>万元、</w:t>
      </w:r>
      <w:r>
        <w:rPr>
          <w:rFonts w:hint="eastAsia"/>
          <w:snapToGrid w:val="0"/>
          <w:spacing w:val="-4"/>
          <w:kern w:val="0"/>
          <w:szCs w:val="32"/>
        </w:rPr>
        <w:t>劳务费</w:t>
      </w:r>
      <w:r>
        <w:rPr>
          <w:rFonts w:hint="eastAsia"/>
          <w:snapToGrid w:val="0"/>
          <w:spacing w:val="-4"/>
          <w:kern w:val="0"/>
          <w:szCs w:val="32"/>
          <w:lang w:val="en-US" w:eastAsia="zh-CN"/>
        </w:rPr>
        <w:t>0.05</w:t>
      </w:r>
      <w:r>
        <w:rPr>
          <w:snapToGrid w:val="0"/>
          <w:spacing w:val="-4"/>
          <w:kern w:val="0"/>
          <w:szCs w:val="32"/>
        </w:rPr>
        <w:t>万元</w:t>
      </w:r>
      <w:r>
        <w:rPr>
          <w:rFonts w:hint="eastAsia"/>
          <w:snapToGrid w:val="0"/>
          <w:spacing w:val="-4"/>
          <w:kern w:val="0"/>
          <w:szCs w:val="32"/>
          <w:lang w:eastAsia="zh-CN"/>
        </w:rPr>
        <w:t>、</w:t>
      </w:r>
      <w:r>
        <w:rPr>
          <w:snapToGrid w:val="0"/>
          <w:spacing w:val="-4"/>
          <w:kern w:val="0"/>
          <w:szCs w:val="32"/>
        </w:rPr>
        <w:t>工会经费</w:t>
      </w:r>
      <w:r>
        <w:rPr>
          <w:rFonts w:hint="eastAsia"/>
          <w:snapToGrid w:val="0"/>
          <w:spacing w:val="-4"/>
          <w:kern w:val="0"/>
          <w:szCs w:val="32"/>
        </w:rPr>
        <w:t>3.98</w:t>
      </w:r>
      <w:r>
        <w:rPr>
          <w:snapToGrid w:val="0"/>
          <w:spacing w:val="-4"/>
          <w:kern w:val="0"/>
          <w:szCs w:val="32"/>
        </w:rPr>
        <w:t>万元、公务用车运行维护</w:t>
      </w:r>
      <w:r>
        <w:rPr>
          <w:rFonts w:hint="eastAsia"/>
          <w:snapToGrid w:val="0"/>
          <w:spacing w:val="-4"/>
          <w:kern w:val="0"/>
          <w:szCs w:val="32"/>
        </w:rPr>
        <w:t>0.01</w:t>
      </w:r>
      <w:r>
        <w:rPr>
          <w:snapToGrid w:val="0"/>
          <w:spacing w:val="-4"/>
          <w:kern w:val="0"/>
          <w:szCs w:val="32"/>
        </w:rPr>
        <w:t>万元、其他商品和服务支出</w:t>
      </w:r>
      <w:r>
        <w:rPr>
          <w:rFonts w:hint="eastAsia"/>
          <w:snapToGrid w:val="0"/>
          <w:spacing w:val="-4"/>
          <w:kern w:val="0"/>
          <w:szCs w:val="32"/>
        </w:rPr>
        <w:t>2.2</w:t>
      </w:r>
      <w:r>
        <w:rPr>
          <w:rFonts w:hint="eastAsia"/>
          <w:snapToGrid w:val="0"/>
          <w:spacing w:val="-4"/>
          <w:kern w:val="0"/>
          <w:szCs w:val="32"/>
          <w:lang w:val="en-US" w:eastAsia="zh-CN"/>
        </w:rPr>
        <w:t>0万元、办公设备购置1.94万元</w:t>
      </w:r>
      <w:r>
        <w:rPr>
          <w:snapToGrid w:val="0"/>
          <w:spacing w:val="-4"/>
          <w:kern w:val="0"/>
          <w:szCs w:val="32"/>
        </w:rPr>
        <w:t>。</w:t>
      </w:r>
    </w:p>
    <w:p>
      <w:pPr>
        <w:autoSpaceDE w:val="0"/>
        <w:autoSpaceDN w:val="0"/>
        <w:adjustRightInd w:val="0"/>
        <w:snapToGrid w:val="0"/>
        <w:spacing w:line="570" w:lineRule="exact"/>
        <w:ind w:firstLine="641" w:firstLineChars="0"/>
        <w:rPr>
          <w:rFonts w:eastAsia="黑体"/>
          <w:snapToGrid w:val="0"/>
          <w:spacing w:val="-4"/>
          <w:kern w:val="0"/>
          <w:szCs w:val="32"/>
        </w:rPr>
      </w:pPr>
      <w:r>
        <w:rPr>
          <w:rFonts w:eastAsia="黑体"/>
          <w:snapToGrid w:val="0"/>
          <w:spacing w:val="-4"/>
          <w:kern w:val="0"/>
          <w:szCs w:val="32"/>
        </w:rPr>
        <w:t>七、一般公共预算财政拨款支出决算情况说明</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安监局201</w:t>
      </w:r>
      <w:r>
        <w:rPr>
          <w:rFonts w:hint="eastAsia"/>
          <w:snapToGrid w:val="0"/>
          <w:spacing w:val="-4"/>
          <w:kern w:val="0"/>
          <w:szCs w:val="32"/>
          <w:lang w:val="en-US" w:eastAsia="zh-CN"/>
        </w:rPr>
        <w:t>6</w:t>
      </w:r>
      <w:r>
        <w:rPr>
          <w:snapToGrid w:val="0"/>
          <w:spacing w:val="-4"/>
          <w:kern w:val="0"/>
          <w:szCs w:val="32"/>
        </w:rPr>
        <w:t>年财政拨款支出</w:t>
      </w:r>
      <w:r>
        <w:rPr>
          <w:rFonts w:hint="eastAsia"/>
          <w:snapToGrid w:val="0"/>
          <w:spacing w:val="-4"/>
          <w:kern w:val="0"/>
          <w:szCs w:val="32"/>
          <w:lang w:val="en-US" w:eastAsia="zh-CN"/>
        </w:rPr>
        <w:t>354.57</w:t>
      </w:r>
      <w:r>
        <w:rPr>
          <w:snapToGrid w:val="0"/>
          <w:spacing w:val="-4"/>
          <w:kern w:val="0"/>
          <w:szCs w:val="32"/>
        </w:rPr>
        <w:t>万元，占本年支出合计的 100 %。与上年相比，财政拨款支出增加</w:t>
      </w:r>
      <w:r>
        <w:rPr>
          <w:rFonts w:hint="eastAsia"/>
          <w:snapToGrid w:val="0"/>
          <w:spacing w:val="-4"/>
          <w:kern w:val="0"/>
          <w:szCs w:val="32"/>
          <w:lang w:val="en-US" w:eastAsia="zh-CN"/>
        </w:rPr>
        <w:t>67.29</w:t>
      </w:r>
      <w:r>
        <w:rPr>
          <w:snapToGrid w:val="0"/>
          <w:spacing w:val="-4"/>
          <w:kern w:val="0"/>
          <w:szCs w:val="32"/>
        </w:rPr>
        <w:t>万元，增长</w:t>
      </w:r>
      <w:r>
        <w:rPr>
          <w:rFonts w:hint="eastAsia"/>
          <w:snapToGrid w:val="0"/>
          <w:spacing w:val="-4"/>
          <w:kern w:val="0"/>
          <w:szCs w:val="32"/>
          <w:lang w:val="en-US" w:eastAsia="zh-CN"/>
        </w:rPr>
        <w:t>23.42</w:t>
      </w:r>
      <w:r>
        <w:rPr>
          <w:snapToGrid w:val="0"/>
          <w:spacing w:val="-4"/>
          <w:kern w:val="0"/>
          <w:szCs w:val="32"/>
        </w:rPr>
        <w:t xml:space="preserve"> %。主要原因是工资增长和安全生产检查工作量增加。</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安监局201</w:t>
      </w:r>
      <w:r>
        <w:rPr>
          <w:rFonts w:hint="eastAsia"/>
          <w:snapToGrid w:val="0"/>
          <w:spacing w:val="-4"/>
          <w:kern w:val="0"/>
          <w:szCs w:val="32"/>
          <w:lang w:val="en-US" w:eastAsia="zh-CN"/>
        </w:rPr>
        <w:t>6</w:t>
      </w:r>
      <w:r>
        <w:rPr>
          <w:snapToGrid w:val="0"/>
          <w:spacing w:val="-4"/>
          <w:kern w:val="0"/>
          <w:szCs w:val="32"/>
        </w:rPr>
        <w:t>年度财政拨款支出年初预算为</w:t>
      </w:r>
      <w:r>
        <w:rPr>
          <w:rFonts w:hint="eastAsia"/>
          <w:snapToGrid w:val="0"/>
          <w:spacing w:val="-4"/>
          <w:kern w:val="0"/>
          <w:szCs w:val="32"/>
        </w:rPr>
        <w:t>325.28</w:t>
      </w:r>
      <w:r>
        <w:rPr>
          <w:snapToGrid w:val="0"/>
          <w:spacing w:val="-4"/>
          <w:kern w:val="0"/>
          <w:szCs w:val="32"/>
        </w:rPr>
        <w:t>万元，支出决算为</w:t>
      </w:r>
      <w:r>
        <w:rPr>
          <w:rFonts w:hint="eastAsia"/>
          <w:snapToGrid w:val="0"/>
          <w:spacing w:val="-4"/>
          <w:kern w:val="0"/>
          <w:szCs w:val="32"/>
          <w:lang w:val="en-US" w:eastAsia="zh-CN"/>
        </w:rPr>
        <w:t>354.57</w:t>
      </w:r>
      <w:r>
        <w:rPr>
          <w:snapToGrid w:val="0"/>
          <w:spacing w:val="-4"/>
          <w:kern w:val="0"/>
          <w:szCs w:val="32"/>
        </w:rPr>
        <w:t>万元，完成年初预算的</w:t>
      </w:r>
      <w:r>
        <w:rPr>
          <w:rFonts w:hint="eastAsia"/>
          <w:snapToGrid w:val="0"/>
          <w:spacing w:val="-4"/>
          <w:kern w:val="0"/>
          <w:szCs w:val="32"/>
          <w:lang w:val="en-US" w:eastAsia="zh-CN"/>
        </w:rPr>
        <w:t>109</w:t>
      </w:r>
      <w:r>
        <w:rPr>
          <w:snapToGrid w:val="0"/>
          <w:spacing w:val="-4"/>
          <w:kern w:val="0"/>
          <w:szCs w:val="32"/>
        </w:rPr>
        <w:t>%。决算数</w:t>
      </w:r>
      <w:r>
        <w:rPr>
          <w:rFonts w:hint="eastAsia"/>
          <w:snapToGrid w:val="0"/>
          <w:spacing w:val="-4"/>
          <w:kern w:val="0"/>
          <w:szCs w:val="32"/>
          <w:lang w:eastAsia="zh-CN"/>
        </w:rPr>
        <w:t>大</w:t>
      </w:r>
      <w:r>
        <w:rPr>
          <w:snapToGrid w:val="0"/>
          <w:spacing w:val="-4"/>
          <w:kern w:val="0"/>
          <w:szCs w:val="32"/>
        </w:rPr>
        <w:t>于年初预算数的主要原因是</w:t>
      </w:r>
      <w:r>
        <w:rPr>
          <w:rFonts w:hint="eastAsia"/>
          <w:snapToGrid w:val="0"/>
          <w:spacing w:val="-4"/>
          <w:kern w:val="0"/>
          <w:szCs w:val="32"/>
          <w:lang w:eastAsia="zh-CN"/>
        </w:rPr>
        <w:t>人员</w:t>
      </w:r>
      <w:r>
        <w:rPr>
          <w:snapToGrid w:val="0"/>
          <w:spacing w:val="-4"/>
          <w:kern w:val="0"/>
          <w:szCs w:val="32"/>
        </w:rPr>
        <w:t>增加、</w:t>
      </w:r>
      <w:r>
        <w:rPr>
          <w:rFonts w:hint="eastAsia"/>
          <w:snapToGrid w:val="0"/>
          <w:spacing w:val="-4"/>
          <w:kern w:val="0"/>
          <w:szCs w:val="32"/>
          <w:lang w:eastAsia="zh-CN"/>
        </w:rPr>
        <w:t>人员公积金和住房补贴基数和比例增加、</w:t>
      </w:r>
      <w:r>
        <w:rPr>
          <w:snapToGrid w:val="0"/>
          <w:spacing w:val="-4"/>
          <w:kern w:val="0"/>
          <w:szCs w:val="32"/>
        </w:rPr>
        <w:t>安全</w:t>
      </w:r>
      <w:r>
        <w:rPr>
          <w:rFonts w:hint="eastAsia"/>
          <w:snapToGrid w:val="0"/>
          <w:spacing w:val="-4"/>
          <w:kern w:val="0"/>
          <w:szCs w:val="32"/>
          <w:lang w:eastAsia="zh-CN"/>
        </w:rPr>
        <w:t>监管信息应用经费</w:t>
      </w:r>
      <w:r>
        <w:rPr>
          <w:snapToGrid w:val="0"/>
          <w:spacing w:val="-4"/>
          <w:kern w:val="0"/>
          <w:szCs w:val="32"/>
        </w:rPr>
        <w:t>增加。</w:t>
      </w:r>
    </w:p>
    <w:p>
      <w:pPr>
        <w:autoSpaceDE w:val="0"/>
        <w:autoSpaceDN w:val="0"/>
        <w:adjustRightInd w:val="0"/>
        <w:snapToGrid w:val="0"/>
        <w:spacing w:line="570" w:lineRule="exact"/>
        <w:ind w:firstLine="641" w:firstLineChars="0"/>
        <w:rPr>
          <w:rFonts w:eastAsia="黑体"/>
          <w:snapToGrid w:val="0"/>
          <w:spacing w:val="-4"/>
          <w:kern w:val="0"/>
          <w:szCs w:val="32"/>
        </w:rPr>
      </w:pPr>
      <w:r>
        <w:rPr>
          <w:rFonts w:eastAsia="黑体"/>
          <w:snapToGrid w:val="0"/>
          <w:spacing w:val="-4"/>
          <w:kern w:val="0"/>
          <w:szCs w:val="32"/>
        </w:rPr>
        <w:t>八、一般公共预算财政拨款基本支出决算情况说明</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安监局201</w:t>
      </w:r>
      <w:r>
        <w:rPr>
          <w:rFonts w:hint="eastAsia"/>
          <w:snapToGrid w:val="0"/>
          <w:spacing w:val="-4"/>
          <w:kern w:val="0"/>
          <w:szCs w:val="32"/>
          <w:lang w:val="en-US" w:eastAsia="zh-CN"/>
        </w:rPr>
        <w:t>6</w:t>
      </w:r>
      <w:r>
        <w:rPr>
          <w:snapToGrid w:val="0"/>
          <w:spacing w:val="-4"/>
          <w:kern w:val="0"/>
          <w:szCs w:val="32"/>
        </w:rPr>
        <w:t>年度财政拨款基本支出</w:t>
      </w:r>
      <w:r>
        <w:rPr>
          <w:rFonts w:hint="eastAsia"/>
          <w:snapToGrid w:val="0"/>
          <w:spacing w:val="-4"/>
          <w:kern w:val="0"/>
          <w:szCs w:val="32"/>
          <w:lang w:val="en-US" w:eastAsia="zh-CN"/>
        </w:rPr>
        <w:t>317.50</w:t>
      </w:r>
      <w:r>
        <w:rPr>
          <w:snapToGrid w:val="0"/>
          <w:spacing w:val="-4"/>
          <w:kern w:val="0"/>
          <w:szCs w:val="32"/>
        </w:rPr>
        <w:t>万元，其中：</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（一）人员经费</w:t>
      </w:r>
      <w:r>
        <w:rPr>
          <w:rFonts w:hint="eastAsia"/>
          <w:snapToGrid w:val="0"/>
          <w:spacing w:val="-4"/>
          <w:kern w:val="0"/>
          <w:szCs w:val="32"/>
          <w:lang w:val="en-US" w:eastAsia="zh-CN"/>
        </w:rPr>
        <w:t>303.38</w:t>
      </w:r>
      <w:r>
        <w:rPr>
          <w:snapToGrid w:val="0"/>
          <w:spacing w:val="-4"/>
          <w:kern w:val="0"/>
          <w:szCs w:val="32"/>
        </w:rPr>
        <w:t>万元。主要包括：基本工资、津贴补贴、社会保障缴费、退休费、住房公积金、提租补贴、其他对个人和家庭的补助支出。（二）日常公用经费</w:t>
      </w:r>
      <w:r>
        <w:rPr>
          <w:rFonts w:hint="eastAsia"/>
          <w:snapToGrid w:val="0"/>
          <w:spacing w:val="-4"/>
          <w:kern w:val="0"/>
          <w:szCs w:val="32"/>
          <w:lang w:val="en-US" w:eastAsia="zh-CN"/>
        </w:rPr>
        <w:t>14.12</w:t>
      </w:r>
      <w:r>
        <w:rPr>
          <w:snapToGrid w:val="0"/>
          <w:spacing w:val="-4"/>
          <w:kern w:val="0"/>
          <w:szCs w:val="32"/>
        </w:rPr>
        <w:t>万元。主要包括：办公费、印刷费、差旅费、培训费、</w:t>
      </w:r>
      <w:r>
        <w:rPr>
          <w:rFonts w:hint="eastAsia"/>
          <w:snapToGrid w:val="0"/>
          <w:spacing w:val="-4"/>
          <w:kern w:val="0"/>
          <w:szCs w:val="32"/>
          <w:lang w:eastAsia="zh-CN"/>
        </w:rPr>
        <w:t>劳务</w:t>
      </w:r>
      <w:r>
        <w:rPr>
          <w:snapToGrid w:val="0"/>
          <w:spacing w:val="-4"/>
          <w:kern w:val="0"/>
          <w:szCs w:val="32"/>
        </w:rPr>
        <w:t>费、工会经费、公务用车运行维护、其他商品和服务支出。</w:t>
      </w:r>
    </w:p>
    <w:p>
      <w:pPr>
        <w:autoSpaceDE w:val="0"/>
        <w:autoSpaceDN w:val="0"/>
        <w:adjustRightInd w:val="0"/>
        <w:snapToGrid w:val="0"/>
        <w:spacing w:line="570" w:lineRule="exact"/>
        <w:ind w:firstLine="641" w:firstLineChars="0"/>
        <w:rPr>
          <w:rFonts w:eastAsia="黑体"/>
          <w:snapToGrid w:val="0"/>
          <w:spacing w:val="-4"/>
          <w:kern w:val="0"/>
          <w:szCs w:val="32"/>
        </w:rPr>
      </w:pPr>
      <w:r>
        <w:rPr>
          <w:rFonts w:eastAsia="黑体"/>
          <w:snapToGrid w:val="0"/>
          <w:spacing w:val="-4"/>
          <w:kern w:val="0"/>
          <w:szCs w:val="32"/>
        </w:rPr>
        <w:t>九、财政拨款“三公”经费、会议费、培训费支出情况说明</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安监局201</w:t>
      </w:r>
      <w:r>
        <w:rPr>
          <w:rFonts w:hint="eastAsia"/>
          <w:snapToGrid w:val="0"/>
          <w:spacing w:val="-4"/>
          <w:kern w:val="0"/>
          <w:szCs w:val="32"/>
          <w:lang w:val="en-US" w:eastAsia="zh-CN"/>
        </w:rPr>
        <w:t>6</w:t>
      </w:r>
      <w:r>
        <w:rPr>
          <w:snapToGrid w:val="0"/>
          <w:spacing w:val="-4"/>
          <w:kern w:val="0"/>
          <w:szCs w:val="32"/>
        </w:rPr>
        <w:t>年度财政拨款安排的“三公”经费决算支出中，公务用车运行维护费</w:t>
      </w:r>
      <w:r>
        <w:rPr>
          <w:rFonts w:hint="eastAsia"/>
          <w:snapToGrid w:val="0"/>
          <w:spacing w:val="-4"/>
          <w:kern w:val="0"/>
          <w:szCs w:val="32"/>
          <w:lang w:val="en-US" w:eastAsia="zh-CN"/>
        </w:rPr>
        <w:t>1.92</w:t>
      </w:r>
      <w:r>
        <w:rPr>
          <w:snapToGrid w:val="0"/>
          <w:spacing w:val="-4"/>
          <w:kern w:val="0"/>
          <w:szCs w:val="32"/>
        </w:rPr>
        <w:t>万元，占“三公”经费的</w:t>
      </w:r>
      <w:r>
        <w:rPr>
          <w:rFonts w:hint="eastAsia"/>
          <w:snapToGrid w:val="0"/>
          <w:spacing w:val="-4"/>
          <w:kern w:val="0"/>
          <w:szCs w:val="32"/>
          <w:lang w:val="en-US" w:eastAsia="zh-CN"/>
        </w:rPr>
        <w:t>69.06</w:t>
      </w:r>
      <w:r>
        <w:rPr>
          <w:snapToGrid w:val="0"/>
          <w:spacing w:val="-4"/>
          <w:kern w:val="0"/>
          <w:szCs w:val="32"/>
        </w:rPr>
        <w:t>%；公务接待费支出</w:t>
      </w:r>
      <w:r>
        <w:rPr>
          <w:rFonts w:hint="eastAsia"/>
          <w:snapToGrid w:val="0"/>
          <w:spacing w:val="-4"/>
          <w:kern w:val="0"/>
          <w:szCs w:val="32"/>
          <w:lang w:val="en-US" w:eastAsia="zh-CN"/>
        </w:rPr>
        <w:t>0.61</w:t>
      </w:r>
      <w:r>
        <w:rPr>
          <w:snapToGrid w:val="0"/>
          <w:spacing w:val="-4"/>
          <w:kern w:val="0"/>
          <w:szCs w:val="32"/>
        </w:rPr>
        <w:t>万元，占“三公”经费的</w:t>
      </w:r>
      <w:r>
        <w:rPr>
          <w:rFonts w:hint="eastAsia"/>
          <w:snapToGrid w:val="0"/>
          <w:spacing w:val="-4"/>
          <w:kern w:val="0"/>
          <w:szCs w:val="32"/>
          <w:lang w:val="en-US" w:eastAsia="zh-CN"/>
        </w:rPr>
        <w:t>21.94</w:t>
      </w:r>
      <w:r>
        <w:rPr>
          <w:snapToGrid w:val="0"/>
          <w:spacing w:val="-4"/>
          <w:kern w:val="0"/>
          <w:szCs w:val="32"/>
        </w:rPr>
        <w:t>%；培训费</w:t>
      </w:r>
      <w:r>
        <w:rPr>
          <w:rFonts w:hint="eastAsia"/>
          <w:snapToGrid w:val="0"/>
          <w:spacing w:val="-4"/>
          <w:kern w:val="0"/>
          <w:szCs w:val="32"/>
          <w:lang w:val="en-US" w:eastAsia="zh-CN"/>
        </w:rPr>
        <w:t>0.25</w:t>
      </w:r>
      <w:r>
        <w:rPr>
          <w:snapToGrid w:val="0"/>
          <w:spacing w:val="-4"/>
          <w:kern w:val="0"/>
          <w:szCs w:val="32"/>
        </w:rPr>
        <w:t>万元，占“三公”经费的</w:t>
      </w:r>
      <w:r>
        <w:rPr>
          <w:rFonts w:hint="eastAsia"/>
          <w:snapToGrid w:val="0"/>
          <w:spacing w:val="-4"/>
          <w:kern w:val="0"/>
          <w:szCs w:val="32"/>
          <w:lang w:val="en-US" w:eastAsia="zh-CN"/>
        </w:rPr>
        <w:t>8.99</w:t>
      </w:r>
      <w:r>
        <w:rPr>
          <w:snapToGrid w:val="0"/>
          <w:spacing w:val="-4"/>
          <w:kern w:val="0"/>
          <w:szCs w:val="32"/>
        </w:rPr>
        <w:t>%。具体情况如下：</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1、公务用车运行维护费决算支出</w:t>
      </w:r>
      <w:r>
        <w:rPr>
          <w:rFonts w:hint="eastAsia"/>
          <w:snapToGrid w:val="0"/>
          <w:spacing w:val="-4"/>
          <w:kern w:val="0"/>
          <w:szCs w:val="32"/>
          <w:lang w:val="en-US" w:eastAsia="zh-CN"/>
        </w:rPr>
        <w:t>1.92</w:t>
      </w:r>
      <w:r>
        <w:rPr>
          <w:snapToGrid w:val="0"/>
          <w:spacing w:val="-4"/>
          <w:kern w:val="0"/>
          <w:szCs w:val="32"/>
        </w:rPr>
        <w:t xml:space="preserve">万元，完成预算的 </w:t>
      </w:r>
      <w:r>
        <w:rPr>
          <w:rFonts w:hint="eastAsia"/>
          <w:snapToGrid w:val="0"/>
          <w:spacing w:val="-4"/>
          <w:kern w:val="0"/>
          <w:szCs w:val="32"/>
          <w:lang w:val="en-US" w:eastAsia="zh-CN"/>
        </w:rPr>
        <w:t>18</w:t>
      </w:r>
      <w:r>
        <w:rPr>
          <w:rFonts w:hint="eastAsia"/>
          <w:snapToGrid w:val="0"/>
          <w:spacing w:val="-4"/>
          <w:kern w:val="0"/>
          <w:szCs w:val="32"/>
        </w:rPr>
        <w:t>.29</w:t>
      </w:r>
      <w:r>
        <w:rPr>
          <w:snapToGrid w:val="0"/>
          <w:spacing w:val="-4"/>
          <w:kern w:val="0"/>
          <w:szCs w:val="32"/>
        </w:rPr>
        <w:t xml:space="preserve"> %，决算数小于预算数的主要原因厉行节约。</w:t>
      </w:r>
    </w:p>
    <w:p>
      <w:pPr>
        <w:autoSpaceDE w:val="0"/>
        <w:autoSpaceDN w:val="0"/>
        <w:adjustRightInd w:val="0"/>
        <w:snapToGrid w:val="0"/>
        <w:spacing w:line="570" w:lineRule="exact"/>
        <w:ind w:firstLine="641" w:firstLineChars="0"/>
        <w:rPr>
          <w:snapToGrid w:val="0"/>
          <w:spacing w:val="-4"/>
          <w:kern w:val="0"/>
          <w:szCs w:val="32"/>
        </w:rPr>
      </w:pPr>
      <w:r>
        <w:rPr>
          <w:rFonts w:hint="eastAsia"/>
          <w:snapToGrid w:val="0"/>
          <w:spacing w:val="-4"/>
          <w:kern w:val="0"/>
          <w:szCs w:val="32"/>
        </w:rPr>
        <w:t>2</w:t>
      </w:r>
      <w:r>
        <w:rPr>
          <w:snapToGrid w:val="0"/>
          <w:spacing w:val="-4"/>
          <w:kern w:val="0"/>
          <w:szCs w:val="32"/>
        </w:rPr>
        <w:t>．公务接待费</w:t>
      </w:r>
      <w:r>
        <w:rPr>
          <w:rFonts w:hint="eastAsia"/>
          <w:snapToGrid w:val="0"/>
          <w:spacing w:val="-4"/>
          <w:kern w:val="0"/>
          <w:szCs w:val="32"/>
          <w:lang w:val="en-US" w:eastAsia="zh-CN"/>
        </w:rPr>
        <w:t>0.61</w:t>
      </w:r>
      <w:r>
        <w:rPr>
          <w:snapToGrid w:val="0"/>
          <w:spacing w:val="-4"/>
          <w:kern w:val="0"/>
          <w:szCs w:val="32"/>
        </w:rPr>
        <w:t>万元。其中：</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（1）国内公务接待支出</w:t>
      </w:r>
      <w:r>
        <w:rPr>
          <w:rFonts w:hint="eastAsia"/>
          <w:snapToGrid w:val="0"/>
          <w:spacing w:val="-4"/>
          <w:kern w:val="0"/>
          <w:szCs w:val="32"/>
          <w:lang w:val="en-US" w:eastAsia="zh-CN"/>
        </w:rPr>
        <w:t>0.61</w:t>
      </w:r>
      <w:r>
        <w:rPr>
          <w:snapToGrid w:val="0"/>
          <w:spacing w:val="-4"/>
          <w:kern w:val="0"/>
          <w:szCs w:val="32"/>
        </w:rPr>
        <w:t>万元，完成预算的</w:t>
      </w:r>
      <w:r>
        <w:rPr>
          <w:rFonts w:hint="eastAsia"/>
          <w:snapToGrid w:val="0"/>
          <w:spacing w:val="-4"/>
          <w:kern w:val="0"/>
          <w:szCs w:val="32"/>
          <w:lang w:val="en-US" w:eastAsia="zh-CN"/>
        </w:rPr>
        <w:t>12.2</w:t>
      </w:r>
      <w:r>
        <w:rPr>
          <w:snapToGrid w:val="0"/>
          <w:spacing w:val="-4"/>
          <w:kern w:val="0"/>
          <w:szCs w:val="32"/>
        </w:rPr>
        <w:t>%，决算数小于预算数的主要原因厉行节约。国内公务接待主要为接待市、区、街道等，201</w:t>
      </w:r>
      <w:r>
        <w:rPr>
          <w:rFonts w:hint="eastAsia"/>
          <w:snapToGrid w:val="0"/>
          <w:spacing w:val="-4"/>
          <w:kern w:val="0"/>
          <w:szCs w:val="32"/>
          <w:lang w:val="en-US" w:eastAsia="zh-CN"/>
        </w:rPr>
        <w:t>6</w:t>
      </w:r>
      <w:r>
        <w:rPr>
          <w:snapToGrid w:val="0"/>
          <w:spacing w:val="-4"/>
          <w:kern w:val="0"/>
          <w:szCs w:val="32"/>
        </w:rPr>
        <w:t>年使用财政拨款开支的国内公务接待</w:t>
      </w:r>
      <w:r>
        <w:rPr>
          <w:rFonts w:hint="eastAsia"/>
          <w:snapToGrid w:val="0"/>
          <w:spacing w:val="-4"/>
          <w:kern w:val="0"/>
          <w:szCs w:val="32"/>
          <w:lang w:val="en-US" w:eastAsia="zh-CN"/>
        </w:rPr>
        <w:t>13</w:t>
      </w:r>
      <w:r>
        <w:rPr>
          <w:snapToGrid w:val="0"/>
          <w:spacing w:val="-4"/>
          <w:kern w:val="0"/>
          <w:szCs w:val="32"/>
        </w:rPr>
        <w:t>批次，</w:t>
      </w:r>
      <w:r>
        <w:rPr>
          <w:rFonts w:hint="eastAsia"/>
          <w:snapToGrid w:val="0"/>
          <w:spacing w:val="-4"/>
          <w:kern w:val="0"/>
          <w:szCs w:val="32"/>
          <w:lang w:val="en-US" w:eastAsia="zh-CN"/>
        </w:rPr>
        <w:t>117</w:t>
      </w:r>
      <w:r>
        <w:rPr>
          <w:snapToGrid w:val="0"/>
          <w:spacing w:val="-4"/>
          <w:kern w:val="0"/>
          <w:szCs w:val="32"/>
        </w:rPr>
        <w:t>人次。主要为接待市、区、街道等。</w:t>
      </w:r>
    </w:p>
    <w:p>
      <w:pPr>
        <w:autoSpaceDE w:val="0"/>
        <w:autoSpaceDN w:val="0"/>
        <w:adjustRightInd w:val="0"/>
        <w:snapToGrid w:val="0"/>
        <w:spacing w:line="570" w:lineRule="exact"/>
        <w:ind w:firstLine="641" w:firstLineChars="0"/>
        <w:rPr>
          <w:snapToGrid w:val="0"/>
          <w:spacing w:val="-4"/>
          <w:kern w:val="0"/>
          <w:szCs w:val="32"/>
        </w:rPr>
      </w:pPr>
      <w:r>
        <w:rPr>
          <w:rFonts w:hint="eastAsia"/>
          <w:snapToGrid w:val="0"/>
          <w:spacing w:val="-4"/>
          <w:kern w:val="0"/>
          <w:szCs w:val="32"/>
        </w:rPr>
        <w:t>3、</w:t>
      </w:r>
      <w:r>
        <w:rPr>
          <w:snapToGrid w:val="0"/>
          <w:spacing w:val="-4"/>
          <w:kern w:val="0"/>
          <w:szCs w:val="32"/>
        </w:rPr>
        <w:t>区安监局2015年度财政拨款安排的培训费决算支出</w:t>
      </w:r>
      <w:r>
        <w:rPr>
          <w:rFonts w:hint="eastAsia"/>
          <w:snapToGrid w:val="0"/>
          <w:spacing w:val="-4"/>
          <w:kern w:val="0"/>
          <w:szCs w:val="32"/>
          <w:lang w:val="en-US" w:eastAsia="zh-CN"/>
        </w:rPr>
        <w:t>0.25</w:t>
      </w:r>
      <w:r>
        <w:rPr>
          <w:snapToGrid w:val="0"/>
          <w:spacing w:val="-4"/>
          <w:kern w:val="0"/>
          <w:szCs w:val="32"/>
        </w:rPr>
        <w:t>万元，完成预算的</w:t>
      </w:r>
      <w:r>
        <w:rPr>
          <w:rFonts w:hint="eastAsia"/>
          <w:snapToGrid w:val="0"/>
          <w:spacing w:val="-4"/>
          <w:kern w:val="0"/>
          <w:szCs w:val="32"/>
          <w:lang w:val="en-US" w:eastAsia="zh-CN"/>
        </w:rPr>
        <w:t>10.04</w:t>
      </w:r>
      <w:r>
        <w:rPr>
          <w:snapToGrid w:val="0"/>
          <w:spacing w:val="-4"/>
          <w:kern w:val="0"/>
          <w:szCs w:val="32"/>
        </w:rPr>
        <w:t>%，决算数小于预算数的主要原因厉行节约。201</w:t>
      </w:r>
      <w:r>
        <w:rPr>
          <w:rFonts w:hint="eastAsia"/>
          <w:snapToGrid w:val="0"/>
          <w:spacing w:val="-4"/>
          <w:kern w:val="0"/>
          <w:szCs w:val="32"/>
          <w:lang w:val="en-US" w:eastAsia="zh-CN"/>
        </w:rPr>
        <w:t>6</w:t>
      </w:r>
      <w:r>
        <w:rPr>
          <w:snapToGrid w:val="0"/>
          <w:spacing w:val="-4"/>
          <w:kern w:val="0"/>
          <w:szCs w:val="32"/>
        </w:rPr>
        <w:t xml:space="preserve"> 年度全年组织培训</w:t>
      </w:r>
      <w:r>
        <w:rPr>
          <w:rFonts w:hint="eastAsia"/>
          <w:snapToGrid w:val="0"/>
          <w:spacing w:val="-4"/>
          <w:kern w:val="0"/>
          <w:szCs w:val="32"/>
          <w:lang w:val="en-US" w:eastAsia="zh-CN"/>
        </w:rPr>
        <w:t>3</w:t>
      </w:r>
      <w:r>
        <w:rPr>
          <w:snapToGrid w:val="0"/>
          <w:spacing w:val="-4"/>
          <w:kern w:val="0"/>
          <w:szCs w:val="32"/>
        </w:rPr>
        <w:t>个，组织培训</w:t>
      </w:r>
      <w:r>
        <w:rPr>
          <w:rFonts w:hint="eastAsia"/>
          <w:snapToGrid w:val="0"/>
          <w:spacing w:val="-4"/>
          <w:kern w:val="0"/>
          <w:szCs w:val="32"/>
          <w:lang w:val="en-US" w:eastAsia="zh-CN"/>
        </w:rPr>
        <w:t>62</w:t>
      </w:r>
      <w:r>
        <w:rPr>
          <w:snapToGrid w:val="0"/>
          <w:spacing w:val="-4"/>
          <w:kern w:val="0"/>
          <w:szCs w:val="32"/>
        </w:rPr>
        <w:t>人次。主要为安全生产</w:t>
      </w:r>
      <w:r>
        <w:rPr>
          <w:rFonts w:hint="eastAsia"/>
          <w:snapToGrid w:val="0"/>
          <w:spacing w:val="-4"/>
          <w:kern w:val="0"/>
          <w:szCs w:val="32"/>
          <w:lang w:eastAsia="zh-CN"/>
        </w:rPr>
        <w:t>业务知识和安全生产管理能力</w:t>
      </w:r>
      <w:r>
        <w:rPr>
          <w:snapToGrid w:val="0"/>
          <w:spacing w:val="-4"/>
          <w:kern w:val="0"/>
          <w:szCs w:val="32"/>
        </w:rPr>
        <w:t>培训。</w:t>
      </w:r>
    </w:p>
    <w:p>
      <w:pPr>
        <w:autoSpaceDE w:val="0"/>
        <w:autoSpaceDN w:val="0"/>
        <w:adjustRightInd w:val="0"/>
        <w:snapToGrid w:val="0"/>
        <w:spacing w:line="570" w:lineRule="exact"/>
        <w:ind w:firstLine="641" w:firstLineChars="0"/>
        <w:rPr>
          <w:rFonts w:eastAsia="黑体"/>
          <w:snapToGrid w:val="0"/>
          <w:spacing w:val="-4"/>
          <w:kern w:val="0"/>
          <w:szCs w:val="32"/>
        </w:rPr>
      </w:pPr>
      <w:r>
        <w:rPr>
          <w:rFonts w:eastAsia="黑体"/>
          <w:snapToGrid w:val="0"/>
          <w:spacing w:val="-4"/>
          <w:kern w:val="0"/>
          <w:szCs w:val="32"/>
        </w:rPr>
        <w:t>十一、其他重要事项的情况说明</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（一）机关运行经费支出决算情况说明</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201</w:t>
      </w:r>
      <w:r>
        <w:rPr>
          <w:rFonts w:hint="eastAsia"/>
          <w:snapToGrid w:val="0"/>
          <w:spacing w:val="-4"/>
          <w:kern w:val="0"/>
          <w:szCs w:val="32"/>
          <w:lang w:val="en-US" w:eastAsia="zh-CN"/>
        </w:rPr>
        <w:t>6</w:t>
      </w:r>
      <w:r>
        <w:rPr>
          <w:snapToGrid w:val="0"/>
          <w:spacing w:val="-4"/>
          <w:kern w:val="0"/>
          <w:szCs w:val="32"/>
        </w:rPr>
        <w:t>年本部门机关运行经费支出</w:t>
      </w:r>
      <w:r>
        <w:rPr>
          <w:rFonts w:hint="eastAsia"/>
          <w:snapToGrid w:val="0"/>
          <w:spacing w:val="-4"/>
          <w:kern w:val="0"/>
          <w:szCs w:val="32"/>
          <w:lang w:val="en-US" w:eastAsia="zh-CN"/>
        </w:rPr>
        <w:t>14.12</w:t>
      </w:r>
      <w:r>
        <w:rPr>
          <w:snapToGrid w:val="0"/>
          <w:spacing w:val="-4"/>
          <w:kern w:val="0"/>
          <w:szCs w:val="32"/>
        </w:rPr>
        <w:t>万元，比201</w:t>
      </w:r>
      <w:r>
        <w:rPr>
          <w:rFonts w:hint="eastAsia"/>
          <w:snapToGrid w:val="0"/>
          <w:spacing w:val="-4"/>
          <w:kern w:val="0"/>
          <w:szCs w:val="32"/>
          <w:lang w:val="en-US" w:eastAsia="zh-CN"/>
        </w:rPr>
        <w:t>5</w:t>
      </w:r>
      <w:r>
        <w:rPr>
          <w:snapToGrid w:val="0"/>
          <w:spacing w:val="-4"/>
          <w:kern w:val="0"/>
          <w:szCs w:val="32"/>
        </w:rPr>
        <w:t>年</w:t>
      </w:r>
      <w:r>
        <w:rPr>
          <w:rFonts w:hint="eastAsia"/>
          <w:snapToGrid w:val="0"/>
          <w:spacing w:val="-4"/>
          <w:kern w:val="0"/>
          <w:szCs w:val="32"/>
          <w:lang w:eastAsia="zh-CN"/>
        </w:rPr>
        <w:t>增加</w:t>
      </w:r>
      <w:r>
        <w:rPr>
          <w:rFonts w:hint="eastAsia"/>
          <w:snapToGrid w:val="0"/>
          <w:spacing w:val="-4"/>
          <w:kern w:val="0"/>
          <w:szCs w:val="32"/>
          <w:lang w:val="en-US" w:eastAsia="zh-CN"/>
        </w:rPr>
        <w:t>4.79</w:t>
      </w:r>
      <w:r>
        <w:rPr>
          <w:snapToGrid w:val="0"/>
          <w:spacing w:val="-4"/>
          <w:kern w:val="0"/>
          <w:szCs w:val="32"/>
        </w:rPr>
        <w:t xml:space="preserve"> 万元，</w:t>
      </w:r>
      <w:r>
        <w:rPr>
          <w:rFonts w:hint="eastAsia"/>
          <w:snapToGrid w:val="0"/>
          <w:spacing w:val="-4"/>
          <w:kern w:val="0"/>
          <w:szCs w:val="32"/>
          <w:lang w:eastAsia="zh-CN"/>
        </w:rPr>
        <w:t>增加</w:t>
      </w:r>
      <w:r>
        <w:rPr>
          <w:snapToGrid w:val="0"/>
          <w:spacing w:val="-4"/>
          <w:kern w:val="0"/>
          <w:szCs w:val="32"/>
        </w:rPr>
        <w:t xml:space="preserve"> </w:t>
      </w:r>
      <w:r>
        <w:rPr>
          <w:rFonts w:hint="eastAsia"/>
          <w:snapToGrid w:val="0"/>
          <w:spacing w:val="-4"/>
          <w:kern w:val="0"/>
          <w:szCs w:val="32"/>
          <w:lang w:val="en-US" w:eastAsia="zh-CN"/>
        </w:rPr>
        <w:t>51.34</w:t>
      </w:r>
      <w:r>
        <w:rPr>
          <w:snapToGrid w:val="0"/>
          <w:spacing w:val="-4"/>
          <w:kern w:val="0"/>
          <w:szCs w:val="32"/>
        </w:rPr>
        <w:t xml:space="preserve"> %。主要原因是：</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（1）办公费</w:t>
      </w:r>
      <w:r>
        <w:rPr>
          <w:rFonts w:hint="eastAsia"/>
          <w:snapToGrid w:val="0"/>
          <w:spacing w:val="-4"/>
          <w:kern w:val="0"/>
          <w:szCs w:val="32"/>
          <w:lang w:val="en-US" w:eastAsia="zh-CN"/>
        </w:rPr>
        <w:t>3.91</w:t>
      </w:r>
      <w:r>
        <w:rPr>
          <w:snapToGrid w:val="0"/>
          <w:spacing w:val="-4"/>
          <w:kern w:val="0"/>
          <w:szCs w:val="32"/>
        </w:rPr>
        <w:t>万元，比201</w:t>
      </w:r>
      <w:r>
        <w:rPr>
          <w:rFonts w:hint="eastAsia"/>
          <w:snapToGrid w:val="0"/>
          <w:spacing w:val="-4"/>
          <w:kern w:val="0"/>
          <w:szCs w:val="32"/>
          <w:lang w:val="en-US" w:eastAsia="zh-CN"/>
        </w:rPr>
        <w:t>5</w:t>
      </w:r>
      <w:r>
        <w:rPr>
          <w:snapToGrid w:val="0"/>
          <w:spacing w:val="-4"/>
          <w:kern w:val="0"/>
          <w:szCs w:val="32"/>
        </w:rPr>
        <w:t>年增加</w:t>
      </w:r>
      <w:r>
        <w:rPr>
          <w:rFonts w:hint="eastAsia"/>
          <w:snapToGrid w:val="0"/>
          <w:spacing w:val="-4"/>
          <w:kern w:val="0"/>
          <w:szCs w:val="32"/>
          <w:lang w:val="en-US" w:eastAsia="zh-CN"/>
        </w:rPr>
        <w:t>3.09</w:t>
      </w:r>
      <w:r>
        <w:rPr>
          <w:snapToGrid w:val="0"/>
          <w:spacing w:val="-4"/>
          <w:kern w:val="0"/>
          <w:szCs w:val="32"/>
        </w:rPr>
        <w:t>万元。</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（2）印刷费</w:t>
      </w:r>
      <w:r>
        <w:rPr>
          <w:rFonts w:hint="eastAsia"/>
          <w:snapToGrid w:val="0"/>
          <w:spacing w:val="-4"/>
          <w:kern w:val="0"/>
          <w:szCs w:val="32"/>
          <w:lang w:val="en-US" w:eastAsia="zh-CN"/>
        </w:rPr>
        <w:t>0.71</w:t>
      </w:r>
      <w:r>
        <w:rPr>
          <w:snapToGrid w:val="0"/>
          <w:spacing w:val="-4"/>
          <w:kern w:val="0"/>
          <w:szCs w:val="32"/>
        </w:rPr>
        <w:t>万元，比201</w:t>
      </w:r>
      <w:r>
        <w:rPr>
          <w:rFonts w:hint="eastAsia"/>
          <w:snapToGrid w:val="0"/>
          <w:spacing w:val="-4"/>
          <w:kern w:val="0"/>
          <w:szCs w:val="32"/>
          <w:lang w:val="en-US" w:eastAsia="zh-CN"/>
        </w:rPr>
        <w:t>5</w:t>
      </w:r>
      <w:r>
        <w:rPr>
          <w:snapToGrid w:val="0"/>
          <w:spacing w:val="-4"/>
          <w:kern w:val="0"/>
          <w:szCs w:val="32"/>
        </w:rPr>
        <w:t>年增加</w:t>
      </w:r>
      <w:r>
        <w:rPr>
          <w:rFonts w:hint="eastAsia"/>
          <w:snapToGrid w:val="0"/>
          <w:spacing w:val="-4"/>
          <w:kern w:val="0"/>
          <w:szCs w:val="32"/>
          <w:lang w:val="en-US" w:eastAsia="zh-CN"/>
        </w:rPr>
        <w:t>0.12</w:t>
      </w:r>
      <w:r>
        <w:rPr>
          <w:snapToGrid w:val="0"/>
          <w:spacing w:val="-4"/>
          <w:kern w:val="0"/>
          <w:szCs w:val="32"/>
        </w:rPr>
        <w:t>万元。</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（3）差旅费</w:t>
      </w:r>
      <w:r>
        <w:rPr>
          <w:rFonts w:hint="eastAsia"/>
          <w:snapToGrid w:val="0"/>
          <w:spacing w:val="-4"/>
          <w:kern w:val="0"/>
          <w:szCs w:val="32"/>
          <w:lang w:val="en-US" w:eastAsia="zh-CN"/>
        </w:rPr>
        <w:t>1.07</w:t>
      </w:r>
      <w:r>
        <w:rPr>
          <w:snapToGrid w:val="0"/>
          <w:spacing w:val="-4"/>
          <w:kern w:val="0"/>
          <w:szCs w:val="32"/>
        </w:rPr>
        <w:t>万元，比201</w:t>
      </w:r>
      <w:r>
        <w:rPr>
          <w:rFonts w:hint="eastAsia"/>
          <w:snapToGrid w:val="0"/>
          <w:spacing w:val="-4"/>
          <w:kern w:val="0"/>
          <w:szCs w:val="32"/>
          <w:lang w:val="en-US" w:eastAsia="zh-CN"/>
        </w:rPr>
        <w:t>5</w:t>
      </w:r>
      <w:r>
        <w:rPr>
          <w:snapToGrid w:val="0"/>
          <w:spacing w:val="-4"/>
          <w:kern w:val="0"/>
          <w:szCs w:val="32"/>
        </w:rPr>
        <w:t>年增加</w:t>
      </w:r>
      <w:r>
        <w:rPr>
          <w:rFonts w:hint="eastAsia"/>
          <w:snapToGrid w:val="0"/>
          <w:spacing w:val="-4"/>
          <w:kern w:val="0"/>
          <w:szCs w:val="32"/>
          <w:lang w:val="en-US" w:eastAsia="zh-CN"/>
        </w:rPr>
        <w:t>0.53</w:t>
      </w:r>
      <w:r>
        <w:rPr>
          <w:snapToGrid w:val="0"/>
          <w:spacing w:val="-4"/>
          <w:kern w:val="0"/>
          <w:szCs w:val="32"/>
        </w:rPr>
        <w:t>万元</w:t>
      </w:r>
      <w:r>
        <w:rPr>
          <w:rFonts w:hint="eastAsia"/>
          <w:snapToGrid w:val="0"/>
          <w:spacing w:val="-4"/>
          <w:kern w:val="0"/>
          <w:szCs w:val="32"/>
          <w:lang w:eastAsia="zh-CN"/>
        </w:rPr>
        <w:t>。</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（4）培训费</w:t>
      </w:r>
      <w:r>
        <w:rPr>
          <w:rFonts w:hint="eastAsia"/>
          <w:snapToGrid w:val="0"/>
          <w:spacing w:val="-4"/>
          <w:kern w:val="0"/>
          <w:szCs w:val="32"/>
          <w:lang w:val="en-US" w:eastAsia="zh-CN"/>
        </w:rPr>
        <w:t>0.25</w:t>
      </w:r>
      <w:r>
        <w:rPr>
          <w:snapToGrid w:val="0"/>
          <w:spacing w:val="-4"/>
          <w:kern w:val="0"/>
          <w:szCs w:val="32"/>
        </w:rPr>
        <w:t>万元，比201</w:t>
      </w:r>
      <w:r>
        <w:rPr>
          <w:rFonts w:hint="eastAsia"/>
          <w:snapToGrid w:val="0"/>
          <w:spacing w:val="-4"/>
          <w:kern w:val="0"/>
          <w:szCs w:val="32"/>
          <w:lang w:val="en-US" w:eastAsia="zh-CN"/>
        </w:rPr>
        <w:t>5</w:t>
      </w:r>
      <w:r>
        <w:rPr>
          <w:snapToGrid w:val="0"/>
          <w:spacing w:val="-4"/>
          <w:kern w:val="0"/>
          <w:szCs w:val="32"/>
        </w:rPr>
        <w:t>年</w:t>
      </w:r>
      <w:r>
        <w:rPr>
          <w:rFonts w:hint="eastAsia"/>
          <w:snapToGrid w:val="0"/>
          <w:spacing w:val="-4"/>
          <w:kern w:val="0"/>
          <w:szCs w:val="32"/>
          <w:lang w:eastAsia="zh-CN"/>
        </w:rPr>
        <w:t>减少</w:t>
      </w:r>
      <w:r>
        <w:rPr>
          <w:rFonts w:hint="eastAsia"/>
          <w:snapToGrid w:val="0"/>
          <w:spacing w:val="-4"/>
          <w:kern w:val="0"/>
          <w:szCs w:val="32"/>
          <w:lang w:val="en-US" w:eastAsia="zh-CN"/>
        </w:rPr>
        <w:t>0.35</w:t>
      </w:r>
      <w:r>
        <w:rPr>
          <w:snapToGrid w:val="0"/>
          <w:spacing w:val="-4"/>
          <w:kern w:val="0"/>
          <w:szCs w:val="32"/>
        </w:rPr>
        <w:t>万元。</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（5）</w:t>
      </w:r>
      <w:r>
        <w:rPr>
          <w:rFonts w:hint="eastAsia"/>
          <w:snapToGrid w:val="0"/>
          <w:spacing w:val="-4"/>
          <w:kern w:val="0"/>
          <w:szCs w:val="32"/>
          <w:lang w:eastAsia="zh-CN"/>
        </w:rPr>
        <w:t>劳务</w:t>
      </w:r>
      <w:r>
        <w:rPr>
          <w:snapToGrid w:val="0"/>
          <w:spacing w:val="-4"/>
          <w:kern w:val="0"/>
          <w:szCs w:val="32"/>
        </w:rPr>
        <w:t>费</w:t>
      </w:r>
      <w:r>
        <w:rPr>
          <w:rFonts w:hint="eastAsia"/>
          <w:snapToGrid w:val="0"/>
          <w:spacing w:val="-4"/>
          <w:kern w:val="0"/>
          <w:szCs w:val="32"/>
          <w:lang w:val="en-US" w:eastAsia="zh-CN"/>
        </w:rPr>
        <w:t>0.05</w:t>
      </w:r>
      <w:r>
        <w:rPr>
          <w:snapToGrid w:val="0"/>
          <w:spacing w:val="-4"/>
          <w:kern w:val="0"/>
          <w:szCs w:val="32"/>
        </w:rPr>
        <w:t>万元，比201</w:t>
      </w:r>
      <w:r>
        <w:rPr>
          <w:rFonts w:hint="eastAsia"/>
          <w:snapToGrid w:val="0"/>
          <w:spacing w:val="-4"/>
          <w:kern w:val="0"/>
          <w:szCs w:val="32"/>
          <w:lang w:val="en-US" w:eastAsia="zh-CN"/>
        </w:rPr>
        <w:t>5</w:t>
      </w:r>
      <w:r>
        <w:rPr>
          <w:snapToGrid w:val="0"/>
          <w:spacing w:val="-4"/>
          <w:kern w:val="0"/>
          <w:szCs w:val="32"/>
        </w:rPr>
        <w:t>年</w:t>
      </w:r>
      <w:r>
        <w:rPr>
          <w:rFonts w:hint="eastAsia"/>
          <w:snapToGrid w:val="0"/>
          <w:spacing w:val="-4"/>
          <w:kern w:val="0"/>
          <w:szCs w:val="32"/>
        </w:rPr>
        <w:t>增加0.0</w:t>
      </w:r>
      <w:r>
        <w:rPr>
          <w:rFonts w:hint="eastAsia"/>
          <w:snapToGrid w:val="0"/>
          <w:spacing w:val="-4"/>
          <w:kern w:val="0"/>
          <w:szCs w:val="32"/>
          <w:lang w:val="en-US" w:eastAsia="zh-CN"/>
        </w:rPr>
        <w:t>5</w:t>
      </w:r>
      <w:r>
        <w:rPr>
          <w:snapToGrid w:val="0"/>
          <w:spacing w:val="-4"/>
          <w:kern w:val="0"/>
          <w:szCs w:val="32"/>
        </w:rPr>
        <w:t>万元。</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（6）工会经费3.</w:t>
      </w:r>
      <w:r>
        <w:rPr>
          <w:rFonts w:hint="eastAsia"/>
          <w:snapToGrid w:val="0"/>
          <w:spacing w:val="-4"/>
          <w:kern w:val="0"/>
          <w:szCs w:val="32"/>
          <w:lang w:val="en-US" w:eastAsia="zh-CN"/>
        </w:rPr>
        <w:t>98</w:t>
      </w:r>
      <w:r>
        <w:rPr>
          <w:snapToGrid w:val="0"/>
          <w:spacing w:val="-4"/>
          <w:kern w:val="0"/>
          <w:szCs w:val="32"/>
        </w:rPr>
        <w:t>万元，比201</w:t>
      </w:r>
      <w:r>
        <w:rPr>
          <w:rFonts w:hint="eastAsia"/>
          <w:snapToGrid w:val="0"/>
          <w:spacing w:val="-4"/>
          <w:kern w:val="0"/>
          <w:szCs w:val="32"/>
          <w:lang w:val="en-US" w:eastAsia="zh-CN"/>
        </w:rPr>
        <w:t>5</w:t>
      </w:r>
      <w:r>
        <w:rPr>
          <w:snapToGrid w:val="0"/>
          <w:spacing w:val="-4"/>
          <w:kern w:val="0"/>
          <w:szCs w:val="32"/>
        </w:rPr>
        <w:t>年增加</w:t>
      </w:r>
      <w:r>
        <w:rPr>
          <w:rFonts w:hint="eastAsia"/>
          <w:snapToGrid w:val="0"/>
          <w:spacing w:val="-4"/>
          <w:kern w:val="0"/>
          <w:szCs w:val="32"/>
          <w:lang w:val="en-US" w:eastAsia="zh-CN"/>
        </w:rPr>
        <w:t>0.25</w:t>
      </w:r>
      <w:r>
        <w:rPr>
          <w:snapToGrid w:val="0"/>
          <w:spacing w:val="-4"/>
          <w:kern w:val="0"/>
          <w:szCs w:val="32"/>
        </w:rPr>
        <w:t>万元。</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（7）公务用车运行维护</w:t>
      </w:r>
      <w:r>
        <w:rPr>
          <w:rFonts w:hint="eastAsia"/>
          <w:snapToGrid w:val="0"/>
          <w:spacing w:val="-4"/>
          <w:kern w:val="0"/>
          <w:szCs w:val="32"/>
          <w:lang w:val="en-US" w:eastAsia="zh-CN"/>
        </w:rPr>
        <w:t>0.01</w:t>
      </w:r>
      <w:r>
        <w:rPr>
          <w:snapToGrid w:val="0"/>
          <w:spacing w:val="-4"/>
          <w:kern w:val="0"/>
          <w:szCs w:val="32"/>
        </w:rPr>
        <w:t>万元，比201</w:t>
      </w:r>
      <w:r>
        <w:rPr>
          <w:rFonts w:hint="eastAsia"/>
          <w:snapToGrid w:val="0"/>
          <w:spacing w:val="-4"/>
          <w:kern w:val="0"/>
          <w:szCs w:val="32"/>
          <w:lang w:val="en-US" w:eastAsia="zh-CN"/>
        </w:rPr>
        <w:t>5</w:t>
      </w:r>
      <w:r>
        <w:rPr>
          <w:rFonts w:hint="eastAsia"/>
          <w:snapToGrid w:val="0"/>
          <w:spacing w:val="-4"/>
          <w:kern w:val="0"/>
          <w:szCs w:val="32"/>
          <w:lang w:eastAsia="zh-CN"/>
        </w:rPr>
        <w:t>减少</w:t>
      </w:r>
      <w:r>
        <w:rPr>
          <w:rFonts w:hint="eastAsia"/>
          <w:snapToGrid w:val="0"/>
          <w:spacing w:val="-4"/>
          <w:kern w:val="0"/>
          <w:szCs w:val="32"/>
          <w:lang w:val="en-US" w:eastAsia="zh-CN"/>
        </w:rPr>
        <w:t>1.94</w:t>
      </w:r>
      <w:r>
        <w:rPr>
          <w:snapToGrid w:val="0"/>
          <w:spacing w:val="-4"/>
          <w:kern w:val="0"/>
          <w:szCs w:val="32"/>
        </w:rPr>
        <w:t>万元。</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（8）其他商品和服务支出</w:t>
      </w:r>
      <w:r>
        <w:rPr>
          <w:rFonts w:hint="eastAsia"/>
          <w:snapToGrid w:val="0"/>
          <w:spacing w:val="-4"/>
          <w:kern w:val="0"/>
          <w:szCs w:val="32"/>
          <w:lang w:val="en-US" w:eastAsia="zh-CN"/>
        </w:rPr>
        <w:t>2.20</w:t>
      </w:r>
      <w:r>
        <w:rPr>
          <w:snapToGrid w:val="0"/>
          <w:spacing w:val="-4"/>
          <w:kern w:val="0"/>
          <w:szCs w:val="32"/>
        </w:rPr>
        <w:t>万元，比201</w:t>
      </w:r>
      <w:r>
        <w:rPr>
          <w:rFonts w:hint="eastAsia"/>
          <w:snapToGrid w:val="0"/>
          <w:spacing w:val="-4"/>
          <w:kern w:val="0"/>
          <w:szCs w:val="32"/>
          <w:lang w:val="en-US" w:eastAsia="zh-CN"/>
        </w:rPr>
        <w:t>5</w:t>
      </w:r>
      <w:r>
        <w:rPr>
          <w:snapToGrid w:val="0"/>
          <w:spacing w:val="-4"/>
          <w:kern w:val="0"/>
          <w:szCs w:val="32"/>
        </w:rPr>
        <w:t>年增加</w:t>
      </w:r>
      <w:r>
        <w:rPr>
          <w:rFonts w:hint="eastAsia"/>
          <w:snapToGrid w:val="0"/>
          <w:spacing w:val="-4"/>
          <w:kern w:val="0"/>
          <w:szCs w:val="32"/>
          <w:lang w:val="en-US" w:eastAsia="zh-CN"/>
        </w:rPr>
        <w:t>2.12</w:t>
      </w:r>
      <w:r>
        <w:rPr>
          <w:snapToGrid w:val="0"/>
          <w:spacing w:val="-4"/>
          <w:kern w:val="0"/>
          <w:szCs w:val="32"/>
        </w:rPr>
        <w:t>万元。</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（9）其他</w:t>
      </w:r>
      <w:r>
        <w:rPr>
          <w:rFonts w:hint="eastAsia"/>
          <w:snapToGrid w:val="0"/>
          <w:spacing w:val="-4"/>
          <w:kern w:val="0"/>
          <w:szCs w:val="32"/>
          <w:lang w:eastAsia="zh-CN"/>
        </w:rPr>
        <w:t>资本性</w:t>
      </w:r>
      <w:r>
        <w:rPr>
          <w:snapToGrid w:val="0"/>
          <w:spacing w:val="-4"/>
          <w:kern w:val="0"/>
          <w:szCs w:val="32"/>
        </w:rPr>
        <w:t>支出</w:t>
      </w:r>
      <w:r>
        <w:rPr>
          <w:rFonts w:hint="eastAsia"/>
          <w:snapToGrid w:val="0"/>
          <w:spacing w:val="-4"/>
          <w:kern w:val="0"/>
          <w:szCs w:val="32"/>
          <w:lang w:val="en-US" w:eastAsia="zh-CN"/>
        </w:rPr>
        <w:t>1.94</w:t>
      </w:r>
      <w:r>
        <w:rPr>
          <w:snapToGrid w:val="0"/>
          <w:spacing w:val="-4"/>
          <w:kern w:val="0"/>
          <w:szCs w:val="32"/>
        </w:rPr>
        <w:t>万元，比201</w:t>
      </w:r>
      <w:r>
        <w:rPr>
          <w:rFonts w:hint="eastAsia"/>
          <w:snapToGrid w:val="0"/>
          <w:spacing w:val="-4"/>
          <w:kern w:val="0"/>
          <w:szCs w:val="32"/>
          <w:lang w:val="en-US" w:eastAsia="zh-CN"/>
        </w:rPr>
        <w:t>5</w:t>
      </w:r>
      <w:r>
        <w:rPr>
          <w:snapToGrid w:val="0"/>
          <w:spacing w:val="-4"/>
          <w:kern w:val="0"/>
          <w:szCs w:val="32"/>
        </w:rPr>
        <w:t>年增加</w:t>
      </w:r>
      <w:r>
        <w:rPr>
          <w:rFonts w:hint="eastAsia"/>
          <w:snapToGrid w:val="0"/>
          <w:spacing w:val="-4"/>
          <w:kern w:val="0"/>
          <w:szCs w:val="32"/>
          <w:lang w:val="en-US" w:eastAsia="zh-CN"/>
        </w:rPr>
        <w:t>1.94</w:t>
      </w:r>
      <w:r>
        <w:rPr>
          <w:snapToGrid w:val="0"/>
          <w:spacing w:val="-4"/>
          <w:kern w:val="0"/>
          <w:szCs w:val="32"/>
        </w:rPr>
        <w:t>万元。</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（二）政府采购支出决算情况说明</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2015年度政府采购支出总额</w:t>
      </w:r>
      <w:r>
        <w:rPr>
          <w:rFonts w:hint="eastAsia"/>
          <w:snapToGrid w:val="0"/>
          <w:spacing w:val="-4"/>
          <w:kern w:val="0"/>
          <w:szCs w:val="32"/>
          <w:lang w:val="en-US" w:eastAsia="zh-CN"/>
        </w:rPr>
        <w:t>2.10</w:t>
      </w:r>
      <w:r>
        <w:rPr>
          <w:snapToGrid w:val="0"/>
          <w:spacing w:val="-4"/>
          <w:kern w:val="0"/>
          <w:szCs w:val="32"/>
        </w:rPr>
        <w:t>万元，其中：政府采购货物支出</w:t>
      </w:r>
      <w:r>
        <w:rPr>
          <w:rFonts w:hint="eastAsia"/>
          <w:snapToGrid w:val="0"/>
          <w:spacing w:val="-4"/>
          <w:kern w:val="0"/>
          <w:szCs w:val="32"/>
          <w:lang w:val="en-US" w:eastAsia="zh-CN"/>
        </w:rPr>
        <w:t>2.10</w:t>
      </w:r>
      <w:r>
        <w:rPr>
          <w:snapToGrid w:val="0"/>
          <w:spacing w:val="-4"/>
          <w:kern w:val="0"/>
          <w:szCs w:val="32"/>
        </w:rPr>
        <w:t>万元。</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（三）</w:t>
      </w:r>
      <w:r>
        <w:rPr>
          <w:rFonts w:hint="eastAsia"/>
          <w:snapToGrid w:val="0"/>
          <w:spacing w:val="-4"/>
          <w:kern w:val="0"/>
          <w:szCs w:val="32"/>
          <w:lang w:eastAsia="zh-CN"/>
        </w:rPr>
        <w:t>国有资产占用</w:t>
      </w:r>
      <w:r>
        <w:rPr>
          <w:snapToGrid w:val="0"/>
          <w:spacing w:val="-4"/>
          <w:kern w:val="0"/>
          <w:szCs w:val="32"/>
        </w:rPr>
        <w:t>情况</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截至201</w:t>
      </w:r>
      <w:r>
        <w:rPr>
          <w:rFonts w:hint="eastAsia"/>
          <w:snapToGrid w:val="0"/>
          <w:spacing w:val="-4"/>
          <w:kern w:val="0"/>
          <w:szCs w:val="32"/>
          <w:lang w:val="en-US" w:eastAsia="zh-CN"/>
        </w:rPr>
        <w:t>6</w:t>
      </w:r>
      <w:r>
        <w:rPr>
          <w:snapToGrid w:val="0"/>
          <w:spacing w:val="-4"/>
          <w:kern w:val="0"/>
          <w:szCs w:val="32"/>
        </w:rPr>
        <w:t>年12月31日，本部门共有车辆3辆，其中，一般公务用车3辆。</w:t>
      </w:r>
    </w:p>
    <w:p>
      <w:pPr>
        <w:autoSpaceDE w:val="0"/>
        <w:autoSpaceDN w:val="0"/>
        <w:adjustRightInd w:val="0"/>
        <w:snapToGrid w:val="0"/>
        <w:spacing w:line="570" w:lineRule="exact"/>
        <w:ind w:firstLine="0" w:firstLineChars="0"/>
        <w:jc w:val="center"/>
        <w:rPr>
          <w:snapToGrid w:val="0"/>
          <w:color w:val="000000"/>
          <w:spacing w:val="-4"/>
          <w:kern w:val="0"/>
          <w:szCs w:val="32"/>
        </w:rPr>
      </w:pPr>
      <w:r>
        <w:rPr>
          <w:snapToGrid w:val="0"/>
          <w:color w:val="000000"/>
          <w:spacing w:val="-4"/>
          <w:kern w:val="0"/>
          <w:szCs w:val="32"/>
        </w:rPr>
        <w:t>第四部分　名词解释</w:t>
      </w:r>
    </w:p>
    <w:p>
      <w:pPr>
        <w:autoSpaceDE w:val="0"/>
        <w:autoSpaceDN w:val="0"/>
        <w:adjustRightInd w:val="0"/>
        <w:snapToGrid w:val="0"/>
        <w:spacing w:line="570" w:lineRule="exact"/>
        <w:ind w:firstLine="641" w:firstLineChars="0"/>
        <w:rPr>
          <w:snapToGrid w:val="0"/>
          <w:spacing w:val="-4"/>
          <w:kern w:val="0"/>
          <w:szCs w:val="32"/>
        </w:rPr>
      </w:pPr>
      <w:r>
        <w:rPr>
          <w:snapToGrid w:val="0"/>
          <w:spacing w:val="-4"/>
          <w:kern w:val="0"/>
          <w:szCs w:val="32"/>
        </w:rPr>
        <w:t xml:space="preserve">一、财政拨款收入：指单位本年度从市级财政部门取得的财政拨款。 </w:t>
      </w:r>
    </w:p>
    <w:p>
      <w:pPr>
        <w:autoSpaceDE w:val="0"/>
        <w:autoSpaceDN w:val="0"/>
        <w:adjustRightInd w:val="0"/>
        <w:snapToGrid w:val="0"/>
        <w:spacing w:line="570" w:lineRule="exact"/>
        <w:ind w:firstLine="641" w:firstLineChars="0"/>
        <w:rPr>
          <w:snapToGrid w:val="0"/>
          <w:spacing w:val="-4"/>
          <w:kern w:val="0"/>
          <w:szCs w:val="32"/>
        </w:rPr>
      </w:pPr>
      <w:r>
        <w:rPr>
          <w:rFonts w:hint="eastAsia"/>
          <w:snapToGrid w:val="0"/>
          <w:spacing w:val="-4"/>
          <w:kern w:val="0"/>
          <w:szCs w:val="32"/>
        </w:rPr>
        <w:t xml:space="preserve">二、年初结转和结余：指单位上年结转本年使用的基本支出结转、项目支出结转和结余和经营结余。 </w:t>
      </w:r>
    </w:p>
    <w:p>
      <w:pPr>
        <w:autoSpaceDE w:val="0"/>
        <w:autoSpaceDN w:val="0"/>
        <w:adjustRightInd w:val="0"/>
        <w:snapToGrid w:val="0"/>
        <w:spacing w:line="570" w:lineRule="exact"/>
        <w:ind w:firstLine="641" w:firstLineChars="0"/>
        <w:rPr>
          <w:snapToGrid w:val="0"/>
          <w:spacing w:val="-4"/>
          <w:kern w:val="0"/>
          <w:szCs w:val="32"/>
        </w:rPr>
      </w:pPr>
      <w:r>
        <w:rPr>
          <w:rFonts w:hint="eastAsia"/>
          <w:snapToGrid w:val="0"/>
          <w:spacing w:val="-4"/>
          <w:kern w:val="0"/>
          <w:szCs w:val="32"/>
        </w:rPr>
        <w:t xml:space="preserve">三、1.公共安全支出（类）司法（款）法律援助（项）：指各级法律援助机构用于开展法律援助工作的支出。 </w:t>
      </w:r>
    </w:p>
    <w:p>
      <w:pPr>
        <w:autoSpaceDE w:val="0"/>
        <w:autoSpaceDN w:val="0"/>
        <w:adjustRightInd w:val="0"/>
        <w:snapToGrid w:val="0"/>
        <w:spacing w:line="570" w:lineRule="exact"/>
        <w:ind w:firstLine="641" w:firstLineChars="0"/>
        <w:rPr>
          <w:snapToGrid w:val="0"/>
          <w:spacing w:val="-4"/>
          <w:kern w:val="0"/>
          <w:szCs w:val="32"/>
        </w:rPr>
      </w:pPr>
      <w:r>
        <w:rPr>
          <w:rFonts w:hint="eastAsia"/>
          <w:snapToGrid w:val="0"/>
          <w:spacing w:val="-4"/>
          <w:kern w:val="0"/>
          <w:szCs w:val="32"/>
        </w:rPr>
        <w:t xml:space="preserve">2．社会保障和就业支出（类）民政管理事务（款）基层政权和社区建设（项）：指开展村民自治、村务公开等基层政权和社区建设工作的支出。 </w:t>
      </w:r>
    </w:p>
    <w:p>
      <w:pPr>
        <w:autoSpaceDE w:val="0"/>
        <w:autoSpaceDN w:val="0"/>
        <w:adjustRightInd w:val="0"/>
        <w:snapToGrid w:val="0"/>
        <w:spacing w:line="570" w:lineRule="exact"/>
        <w:ind w:firstLine="641" w:firstLineChars="0"/>
        <w:rPr>
          <w:snapToGrid w:val="0"/>
          <w:spacing w:val="-4"/>
          <w:kern w:val="0"/>
          <w:szCs w:val="32"/>
        </w:rPr>
      </w:pPr>
      <w:r>
        <w:rPr>
          <w:rFonts w:hint="eastAsia"/>
          <w:snapToGrid w:val="0"/>
          <w:spacing w:val="-4"/>
          <w:kern w:val="0"/>
          <w:szCs w:val="32"/>
        </w:rPr>
        <w:t xml:space="preserve">3．社会保障和就业支出（类）行政事业单位离退休（款）归口管理的行政单位离退休（项）：指实行归口管理的行政单位（包括实行公务员管理的事业单位）开支的离退休经费。 </w:t>
      </w:r>
    </w:p>
    <w:p>
      <w:pPr>
        <w:autoSpaceDE w:val="0"/>
        <w:autoSpaceDN w:val="0"/>
        <w:adjustRightInd w:val="0"/>
        <w:snapToGrid w:val="0"/>
        <w:spacing w:line="570" w:lineRule="exact"/>
        <w:ind w:firstLine="641" w:firstLineChars="0"/>
        <w:rPr>
          <w:snapToGrid w:val="0"/>
          <w:spacing w:val="-4"/>
          <w:kern w:val="0"/>
          <w:szCs w:val="32"/>
        </w:rPr>
      </w:pPr>
      <w:r>
        <w:rPr>
          <w:rFonts w:hint="eastAsia"/>
          <w:snapToGrid w:val="0"/>
          <w:spacing w:val="-4"/>
          <w:kern w:val="0"/>
          <w:szCs w:val="32"/>
        </w:rPr>
        <w:t xml:space="preserve">4．社会保障和就业支出（类）行政事业单位离退休（款）事业单位离退休（项）：指实行归口管理的事业单位开支的离退休经费。 </w:t>
      </w:r>
    </w:p>
    <w:p>
      <w:pPr>
        <w:autoSpaceDE w:val="0"/>
        <w:autoSpaceDN w:val="0"/>
        <w:adjustRightInd w:val="0"/>
        <w:snapToGrid w:val="0"/>
        <w:spacing w:line="570" w:lineRule="exact"/>
        <w:ind w:firstLine="641" w:firstLineChars="0"/>
        <w:rPr>
          <w:snapToGrid w:val="0"/>
          <w:spacing w:val="-4"/>
          <w:kern w:val="0"/>
          <w:szCs w:val="32"/>
        </w:rPr>
      </w:pPr>
      <w:r>
        <w:rPr>
          <w:rFonts w:hint="eastAsia"/>
          <w:snapToGrid w:val="0"/>
          <w:spacing w:val="-4"/>
          <w:kern w:val="0"/>
          <w:szCs w:val="32"/>
        </w:rPr>
        <w:t xml:space="preserve">5．社会保障和就业支出（类）抚恤（款）死亡抚恤（项）：指按规定用于烈士和牺牲、病故人员家属的一次性和定期抚恤金以及丧葬补助费。 </w:t>
      </w:r>
    </w:p>
    <w:p>
      <w:pPr>
        <w:autoSpaceDE w:val="0"/>
        <w:autoSpaceDN w:val="0"/>
        <w:adjustRightInd w:val="0"/>
        <w:snapToGrid w:val="0"/>
        <w:spacing w:line="570" w:lineRule="exact"/>
        <w:ind w:firstLine="641" w:firstLineChars="0"/>
        <w:rPr>
          <w:snapToGrid w:val="0"/>
          <w:spacing w:val="-4"/>
          <w:kern w:val="0"/>
          <w:szCs w:val="32"/>
        </w:rPr>
      </w:pPr>
      <w:r>
        <w:rPr>
          <w:rFonts w:hint="eastAsia"/>
          <w:snapToGrid w:val="0"/>
          <w:spacing w:val="-4"/>
          <w:kern w:val="0"/>
          <w:szCs w:val="32"/>
        </w:rPr>
        <w:t xml:space="preserve">6．社会保障和就业支出（类）抚恤（款）其他优抚支出（项）：指用于优抚方面的其他支出。 </w:t>
      </w:r>
    </w:p>
    <w:p>
      <w:pPr>
        <w:autoSpaceDE w:val="0"/>
        <w:autoSpaceDN w:val="0"/>
        <w:adjustRightInd w:val="0"/>
        <w:snapToGrid w:val="0"/>
        <w:spacing w:line="570" w:lineRule="exact"/>
        <w:ind w:firstLine="641" w:firstLineChars="0"/>
        <w:rPr>
          <w:snapToGrid w:val="0"/>
          <w:spacing w:val="-4"/>
          <w:kern w:val="0"/>
          <w:szCs w:val="32"/>
        </w:rPr>
      </w:pPr>
      <w:r>
        <w:rPr>
          <w:rFonts w:hint="eastAsia"/>
          <w:snapToGrid w:val="0"/>
          <w:spacing w:val="-4"/>
          <w:kern w:val="0"/>
          <w:szCs w:val="32"/>
        </w:rPr>
        <w:t xml:space="preserve">7．社会保障和就业支出（类）残疾人事业（款）其他残疾人事业支出（项）：指用于残疾人事业方面的其他支出。 </w:t>
      </w:r>
    </w:p>
    <w:p>
      <w:pPr>
        <w:autoSpaceDE w:val="0"/>
        <w:autoSpaceDN w:val="0"/>
        <w:adjustRightInd w:val="0"/>
        <w:snapToGrid w:val="0"/>
        <w:spacing w:line="570" w:lineRule="exact"/>
        <w:ind w:firstLine="641" w:firstLineChars="0"/>
        <w:rPr>
          <w:snapToGrid w:val="0"/>
          <w:spacing w:val="-4"/>
          <w:kern w:val="0"/>
          <w:szCs w:val="32"/>
        </w:rPr>
      </w:pPr>
      <w:r>
        <w:rPr>
          <w:rFonts w:hint="eastAsia"/>
          <w:snapToGrid w:val="0"/>
          <w:spacing w:val="-4"/>
          <w:kern w:val="0"/>
          <w:szCs w:val="32"/>
        </w:rPr>
        <w:t xml:space="preserve">8．社会保障和就业支出（类）其他社会保障和就业支出（款）其他社会保障和就业支出（项）：指用于社会保障和就业方面的其他支出。 </w:t>
      </w:r>
    </w:p>
    <w:p>
      <w:pPr>
        <w:autoSpaceDE w:val="0"/>
        <w:autoSpaceDN w:val="0"/>
        <w:adjustRightInd w:val="0"/>
        <w:snapToGrid w:val="0"/>
        <w:spacing w:line="570" w:lineRule="exact"/>
        <w:ind w:firstLine="641" w:firstLineChars="0"/>
        <w:rPr>
          <w:snapToGrid w:val="0"/>
          <w:spacing w:val="-4"/>
          <w:kern w:val="0"/>
          <w:szCs w:val="32"/>
        </w:rPr>
      </w:pPr>
      <w:r>
        <w:rPr>
          <w:rFonts w:hint="eastAsia"/>
          <w:snapToGrid w:val="0"/>
          <w:spacing w:val="-4"/>
          <w:kern w:val="0"/>
          <w:szCs w:val="32"/>
        </w:rPr>
        <w:t xml:space="preserve">9．医疗卫生与计划生育支出（类）公共卫生（款）基本公共卫生服务（项）：指基本公共卫生服务支出。 </w:t>
      </w:r>
    </w:p>
    <w:p>
      <w:pPr>
        <w:autoSpaceDE w:val="0"/>
        <w:autoSpaceDN w:val="0"/>
        <w:adjustRightInd w:val="0"/>
        <w:snapToGrid w:val="0"/>
        <w:spacing w:line="570" w:lineRule="exact"/>
        <w:ind w:firstLine="641" w:firstLineChars="0"/>
        <w:rPr>
          <w:snapToGrid w:val="0"/>
          <w:spacing w:val="-4"/>
          <w:kern w:val="0"/>
          <w:szCs w:val="32"/>
        </w:rPr>
      </w:pPr>
      <w:r>
        <w:rPr>
          <w:rFonts w:hint="eastAsia"/>
          <w:snapToGrid w:val="0"/>
          <w:spacing w:val="-4"/>
          <w:kern w:val="0"/>
          <w:szCs w:val="32"/>
        </w:rPr>
        <w:t xml:space="preserve">10．医疗卫生与计划生育支出（类）医疗保障（款）行政单位医疗（项）：指财政部门集中安排的行政单位基本医疗保险缴费经费，未参加医疗保险的行政单位的公费医疗经费，按国家规定享受离休人员、红军老战士待遇人员的医疗经费。 </w:t>
      </w:r>
    </w:p>
    <w:p>
      <w:pPr>
        <w:autoSpaceDE w:val="0"/>
        <w:autoSpaceDN w:val="0"/>
        <w:adjustRightInd w:val="0"/>
        <w:snapToGrid w:val="0"/>
        <w:spacing w:line="570" w:lineRule="exact"/>
        <w:ind w:firstLine="641" w:firstLineChars="0"/>
        <w:rPr>
          <w:snapToGrid w:val="0"/>
          <w:spacing w:val="-4"/>
          <w:kern w:val="0"/>
          <w:szCs w:val="32"/>
        </w:rPr>
      </w:pPr>
      <w:r>
        <w:rPr>
          <w:rFonts w:hint="eastAsia"/>
          <w:snapToGrid w:val="0"/>
          <w:spacing w:val="-4"/>
          <w:kern w:val="0"/>
          <w:szCs w:val="32"/>
        </w:rPr>
        <w:t xml:space="preserve">11．医疗卫生与计划生育支出（类）医疗保障（款）事业单位医疗（项）：指财政部门集中安排的事业单位基本医疗保险缴费经费，未参加医疗保险的事业单位的公费医疗经费，按国家规定享受离休人员待遇人员的医疗经费。 </w:t>
      </w:r>
    </w:p>
    <w:p>
      <w:pPr>
        <w:autoSpaceDE w:val="0"/>
        <w:autoSpaceDN w:val="0"/>
        <w:adjustRightInd w:val="0"/>
        <w:snapToGrid w:val="0"/>
        <w:spacing w:line="570" w:lineRule="exact"/>
        <w:ind w:firstLine="641" w:firstLineChars="0"/>
        <w:rPr>
          <w:snapToGrid w:val="0"/>
          <w:spacing w:val="-4"/>
          <w:kern w:val="0"/>
          <w:szCs w:val="32"/>
        </w:rPr>
      </w:pPr>
      <w:r>
        <w:rPr>
          <w:rFonts w:hint="eastAsia"/>
          <w:snapToGrid w:val="0"/>
          <w:spacing w:val="-4"/>
          <w:kern w:val="0"/>
          <w:szCs w:val="32"/>
        </w:rPr>
        <w:t xml:space="preserve">12．医疗卫生与计划生育支出（类）医疗保障（款）公务员医疗补助（项）：指财政部门集中安排的公务员医疗补助经费。 </w:t>
      </w:r>
    </w:p>
    <w:p>
      <w:pPr>
        <w:autoSpaceDE w:val="0"/>
        <w:autoSpaceDN w:val="0"/>
        <w:adjustRightInd w:val="0"/>
        <w:snapToGrid w:val="0"/>
        <w:spacing w:line="570" w:lineRule="exact"/>
        <w:ind w:firstLine="641" w:firstLineChars="0"/>
        <w:rPr>
          <w:snapToGrid w:val="0"/>
          <w:spacing w:val="-4"/>
          <w:kern w:val="0"/>
          <w:szCs w:val="32"/>
        </w:rPr>
      </w:pPr>
      <w:r>
        <w:rPr>
          <w:rFonts w:hint="eastAsia"/>
          <w:snapToGrid w:val="0"/>
          <w:spacing w:val="-4"/>
          <w:kern w:val="0"/>
          <w:szCs w:val="32"/>
        </w:rPr>
        <w:t xml:space="preserve">13．住房保障支出（类）住房改革支出（款）住房公积金（项）：指行政事业单位按人力资源和社会保障部、财政部规定的基本工资和津贴补贴以及规定比例为职工缴纳的住房公积金。 </w:t>
      </w:r>
    </w:p>
    <w:p>
      <w:pPr>
        <w:autoSpaceDE w:val="0"/>
        <w:autoSpaceDN w:val="0"/>
        <w:adjustRightInd w:val="0"/>
        <w:snapToGrid w:val="0"/>
        <w:spacing w:line="570" w:lineRule="exact"/>
        <w:ind w:firstLine="641" w:firstLineChars="0"/>
        <w:rPr>
          <w:snapToGrid w:val="0"/>
          <w:spacing w:val="-4"/>
          <w:kern w:val="0"/>
          <w:szCs w:val="32"/>
        </w:rPr>
      </w:pPr>
      <w:r>
        <w:rPr>
          <w:rFonts w:hint="eastAsia"/>
          <w:snapToGrid w:val="0"/>
          <w:spacing w:val="-4"/>
          <w:kern w:val="0"/>
          <w:szCs w:val="32"/>
        </w:rPr>
        <w:t xml:space="preserve">14．住房保障支出（类）住房改革支出（款）提租补贴（项）：指按房改政策规定的标准，行政事业单位向职工（含离退休人员）发放的租金补贴。 </w:t>
      </w:r>
    </w:p>
    <w:p>
      <w:pPr>
        <w:autoSpaceDE w:val="0"/>
        <w:autoSpaceDN w:val="0"/>
        <w:adjustRightInd w:val="0"/>
        <w:snapToGrid w:val="0"/>
        <w:spacing w:line="570" w:lineRule="exact"/>
        <w:ind w:firstLine="641" w:firstLineChars="0"/>
        <w:rPr>
          <w:snapToGrid w:val="0"/>
          <w:spacing w:val="-4"/>
          <w:kern w:val="0"/>
          <w:szCs w:val="32"/>
        </w:rPr>
      </w:pPr>
      <w:r>
        <w:rPr>
          <w:rFonts w:hint="eastAsia"/>
          <w:snapToGrid w:val="0"/>
          <w:spacing w:val="-4"/>
          <w:kern w:val="0"/>
          <w:szCs w:val="32"/>
        </w:rPr>
        <w:t xml:space="preserve">15．住房保障支出（类）住房改革支出（款）购房补贴（项）：指按房改政策规定，行政事业单位向符合条件职工（含离退休人员）、军队（含武警）向转役复员离退休人员发放的用于购买住房的补贴。 </w:t>
      </w:r>
    </w:p>
    <w:p>
      <w:pPr>
        <w:autoSpaceDE w:val="0"/>
        <w:autoSpaceDN w:val="0"/>
        <w:adjustRightInd w:val="0"/>
        <w:snapToGrid w:val="0"/>
        <w:spacing w:line="570" w:lineRule="exact"/>
        <w:ind w:firstLine="641" w:firstLineChars="0"/>
        <w:rPr>
          <w:snapToGrid w:val="0"/>
          <w:spacing w:val="-4"/>
          <w:kern w:val="0"/>
          <w:szCs w:val="32"/>
        </w:rPr>
      </w:pPr>
      <w:r>
        <w:rPr>
          <w:rFonts w:hint="eastAsia"/>
          <w:snapToGrid w:val="0"/>
          <w:spacing w:val="-4"/>
          <w:kern w:val="0"/>
          <w:szCs w:val="32"/>
        </w:rPr>
        <w:t xml:space="preserve">四、结余分配：指事业单位按规定对非财政补助结余资金提取的职工福利基金、事业基金和缴纳的所得税，以及减少单位按规定应缴回的基本建设竣工项目结余资金。 </w:t>
      </w:r>
    </w:p>
    <w:p>
      <w:pPr>
        <w:autoSpaceDE w:val="0"/>
        <w:autoSpaceDN w:val="0"/>
        <w:adjustRightInd w:val="0"/>
        <w:snapToGrid w:val="0"/>
        <w:spacing w:line="570" w:lineRule="exact"/>
        <w:ind w:firstLine="641" w:firstLineChars="0"/>
        <w:rPr>
          <w:snapToGrid w:val="0"/>
          <w:spacing w:val="-4"/>
          <w:kern w:val="0"/>
          <w:szCs w:val="32"/>
        </w:rPr>
      </w:pPr>
      <w:r>
        <w:rPr>
          <w:rFonts w:hint="eastAsia"/>
          <w:snapToGrid w:val="0"/>
          <w:spacing w:val="-4"/>
          <w:kern w:val="0"/>
          <w:szCs w:val="32"/>
        </w:rPr>
        <w:t xml:space="preserve">五、年末结转和结余资金：指本年度或以前年度预算安排、因客观条件发生变化无法按原计划实施，需要延迟到以后年度按有关规定继续使用的资金。 </w:t>
      </w:r>
    </w:p>
    <w:p>
      <w:pPr>
        <w:autoSpaceDE w:val="0"/>
        <w:autoSpaceDN w:val="0"/>
        <w:adjustRightInd w:val="0"/>
        <w:snapToGrid w:val="0"/>
        <w:spacing w:line="570" w:lineRule="exact"/>
        <w:ind w:firstLine="641" w:firstLineChars="0"/>
        <w:rPr>
          <w:snapToGrid w:val="0"/>
          <w:spacing w:val="-4"/>
          <w:kern w:val="0"/>
          <w:szCs w:val="32"/>
        </w:rPr>
      </w:pPr>
      <w:r>
        <w:rPr>
          <w:rFonts w:hint="eastAsia"/>
          <w:snapToGrid w:val="0"/>
          <w:spacing w:val="-4"/>
          <w:kern w:val="0"/>
          <w:szCs w:val="32"/>
        </w:rPr>
        <w:t xml:space="preserve">六、基本支出：指为保障机构正常运转、完成日常工作任务而发生的人员支出和公用支出。 </w:t>
      </w:r>
    </w:p>
    <w:p>
      <w:pPr>
        <w:autoSpaceDE w:val="0"/>
        <w:autoSpaceDN w:val="0"/>
        <w:adjustRightInd w:val="0"/>
        <w:snapToGrid w:val="0"/>
        <w:spacing w:line="570" w:lineRule="exact"/>
        <w:ind w:firstLine="641" w:firstLineChars="0"/>
        <w:rPr>
          <w:snapToGrid w:val="0"/>
          <w:spacing w:val="-4"/>
          <w:kern w:val="0"/>
          <w:szCs w:val="32"/>
        </w:rPr>
      </w:pPr>
      <w:r>
        <w:rPr>
          <w:rFonts w:hint="eastAsia"/>
          <w:snapToGrid w:val="0"/>
          <w:spacing w:val="-4"/>
          <w:kern w:val="0"/>
          <w:szCs w:val="32"/>
        </w:rPr>
        <w:t xml:space="preserve">七、项目支出：指在基本支出之外为完成特定的行政任务或事业发展目标所发生的支出。 </w:t>
      </w:r>
    </w:p>
    <w:p>
      <w:pPr>
        <w:autoSpaceDE w:val="0"/>
        <w:autoSpaceDN w:val="0"/>
        <w:adjustRightInd w:val="0"/>
        <w:snapToGrid w:val="0"/>
        <w:spacing w:line="570" w:lineRule="exact"/>
        <w:ind w:firstLine="641" w:firstLineChars="0"/>
        <w:rPr>
          <w:snapToGrid w:val="0"/>
          <w:spacing w:val="-4"/>
          <w:kern w:val="0"/>
          <w:szCs w:val="32"/>
        </w:rPr>
      </w:pPr>
      <w:r>
        <w:rPr>
          <w:rFonts w:hint="eastAsia"/>
          <w:snapToGrid w:val="0"/>
          <w:spacing w:val="-4"/>
          <w:kern w:val="0"/>
          <w:szCs w:val="32"/>
        </w:rPr>
        <w:t xml:space="preserve">八、“三公”经费：指市级部门用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autoSpaceDE w:val="0"/>
        <w:autoSpaceDN w:val="0"/>
        <w:adjustRightInd w:val="0"/>
        <w:snapToGrid w:val="0"/>
        <w:spacing w:line="570" w:lineRule="exact"/>
        <w:ind w:firstLine="641" w:firstLineChars="0"/>
        <w:rPr>
          <w:snapToGrid w:val="0"/>
          <w:spacing w:val="-4"/>
          <w:kern w:val="0"/>
          <w:szCs w:val="32"/>
        </w:rPr>
      </w:pPr>
      <w:r>
        <w:rPr>
          <w:rFonts w:hint="eastAsia"/>
          <w:snapToGrid w:val="0"/>
          <w:spacing w:val="-4"/>
          <w:kern w:val="0"/>
          <w:szCs w:val="32"/>
        </w:rPr>
        <w:t xml:space="preserve">九、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 </w:t>
      </w:r>
    </w:p>
    <w:p>
      <w:pPr>
        <w:autoSpaceDE w:val="0"/>
        <w:autoSpaceDN w:val="0"/>
        <w:adjustRightInd w:val="0"/>
        <w:snapToGrid w:val="0"/>
        <w:spacing w:line="570" w:lineRule="exact"/>
        <w:ind w:firstLine="641" w:firstLineChars="0"/>
        <w:rPr>
          <w:snapToGrid w:val="0"/>
          <w:spacing w:val="-4"/>
          <w:kern w:val="0"/>
          <w:szCs w:val="32"/>
        </w:rPr>
      </w:pPr>
    </w:p>
    <w:p>
      <w:pPr>
        <w:ind w:firstLine="0" w:firstLineChars="0"/>
      </w:pPr>
    </w:p>
    <w:p>
      <w:pPr>
        <w:ind w:firstLine="640"/>
      </w:pPr>
    </w:p>
    <w:sectPr>
      <w:headerReference r:id="rId11" w:type="first"/>
      <w:footerReference r:id="rId14" w:type="first"/>
      <w:headerReference r:id="rId9" w:type="default"/>
      <w:footerReference r:id="rId12" w:type="default"/>
      <w:headerReference r:id="rId10" w:type="even"/>
      <w:footerReference r:id="rId13" w:type="even"/>
      <w:pgSz w:w="11906" w:h="16838"/>
      <w:pgMar w:top="2098" w:right="1531" w:bottom="1985" w:left="1531" w:header="709" w:footer="1361"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GB2312">
    <w:altName w:val="宋体"/>
    <w:panose1 w:val="00000000000000000000"/>
    <w:charset w:val="86"/>
    <w:family w:val="roman"/>
    <w:pitch w:val="default"/>
    <w:sig w:usb0="00000000" w:usb1="00000000" w:usb2="00000010" w:usb3="00000000" w:csb0="00040000" w:csb1="00000000"/>
  </w:font>
  <w:font w:name="方正小标宋_GBK">
    <w:altName w:val="方正小标宋简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00007A87" w:usb1="80000000" w:usb2="00000008" w:usb3="00000000" w:csb0="400001FF" w:csb1="FFFF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6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FB8"/>
    <w:rsid w:val="000308BC"/>
    <w:rsid w:val="000377BE"/>
    <w:rsid w:val="00042449"/>
    <w:rsid w:val="00053681"/>
    <w:rsid w:val="000704E5"/>
    <w:rsid w:val="00076590"/>
    <w:rsid w:val="000A4F51"/>
    <w:rsid w:val="000D6368"/>
    <w:rsid w:val="000E56D2"/>
    <w:rsid w:val="000F3085"/>
    <w:rsid w:val="00110EE8"/>
    <w:rsid w:val="00114C06"/>
    <w:rsid w:val="001171BF"/>
    <w:rsid w:val="00134551"/>
    <w:rsid w:val="001471D2"/>
    <w:rsid w:val="0018784D"/>
    <w:rsid w:val="00192B61"/>
    <w:rsid w:val="001A0F12"/>
    <w:rsid w:val="001A192F"/>
    <w:rsid w:val="001A29AD"/>
    <w:rsid w:val="001B0C7C"/>
    <w:rsid w:val="001D5D01"/>
    <w:rsid w:val="001E4A01"/>
    <w:rsid w:val="0020538C"/>
    <w:rsid w:val="0028643C"/>
    <w:rsid w:val="002977EE"/>
    <w:rsid w:val="002D5E32"/>
    <w:rsid w:val="00304E87"/>
    <w:rsid w:val="0031112C"/>
    <w:rsid w:val="003175D3"/>
    <w:rsid w:val="00350FF2"/>
    <w:rsid w:val="00390150"/>
    <w:rsid w:val="003D1B7B"/>
    <w:rsid w:val="003D78F4"/>
    <w:rsid w:val="003F0636"/>
    <w:rsid w:val="00405D5D"/>
    <w:rsid w:val="004147BE"/>
    <w:rsid w:val="00432A56"/>
    <w:rsid w:val="004551F0"/>
    <w:rsid w:val="00457223"/>
    <w:rsid w:val="00466B0A"/>
    <w:rsid w:val="00491C28"/>
    <w:rsid w:val="00492FEB"/>
    <w:rsid w:val="00494783"/>
    <w:rsid w:val="004B498F"/>
    <w:rsid w:val="00501D3E"/>
    <w:rsid w:val="00522AC1"/>
    <w:rsid w:val="00522C68"/>
    <w:rsid w:val="00543C6E"/>
    <w:rsid w:val="00546B74"/>
    <w:rsid w:val="00557BE5"/>
    <w:rsid w:val="00567648"/>
    <w:rsid w:val="0058467F"/>
    <w:rsid w:val="00591620"/>
    <w:rsid w:val="005B1C03"/>
    <w:rsid w:val="005C1105"/>
    <w:rsid w:val="005F1EA0"/>
    <w:rsid w:val="00601FD6"/>
    <w:rsid w:val="00620F68"/>
    <w:rsid w:val="00626A4B"/>
    <w:rsid w:val="00633E75"/>
    <w:rsid w:val="0063669D"/>
    <w:rsid w:val="00645A33"/>
    <w:rsid w:val="00662460"/>
    <w:rsid w:val="0066370B"/>
    <w:rsid w:val="00676FEA"/>
    <w:rsid w:val="00683D9F"/>
    <w:rsid w:val="006A384C"/>
    <w:rsid w:val="006C7E15"/>
    <w:rsid w:val="00705502"/>
    <w:rsid w:val="007064DF"/>
    <w:rsid w:val="00721B9B"/>
    <w:rsid w:val="0072603C"/>
    <w:rsid w:val="0074591B"/>
    <w:rsid w:val="00755BD0"/>
    <w:rsid w:val="007641A5"/>
    <w:rsid w:val="007A1AE3"/>
    <w:rsid w:val="007D7E6C"/>
    <w:rsid w:val="007E1A80"/>
    <w:rsid w:val="00817462"/>
    <w:rsid w:val="00834C9B"/>
    <w:rsid w:val="008430AC"/>
    <w:rsid w:val="00865029"/>
    <w:rsid w:val="00875D85"/>
    <w:rsid w:val="00896F7C"/>
    <w:rsid w:val="008A5B52"/>
    <w:rsid w:val="008B598E"/>
    <w:rsid w:val="008C62EA"/>
    <w:rsid w:val="008D1128"/>
    <w:rsid w:val="008E517F"/>
    <w:rsid w:val="009006DB"/>
    <w:rsid w:val="00931B5E"/>
    <w:rsid w:val="009342E5"/>
    <w:rsid w:val="0094312C"/>
    <w:rsid w:val="009468CB"/>
    <w:rsid w:val="0097597B"/>
    <w:rsid w:val="00986399"/>
    <w:rsid w:val="009B0C5A"/>
    <w:rsid w:val="009C5339"/>
    <w:rsid w:val="009F0136"/>
    <w:rsid w:val="00A07D6C"/>
    <w:rsid w:val="00A1785E"/>
    <w:rsid w:val="00A30A4B"/>
    <w:rsid w:val="00A51BC3"/>
    <w:rsid w:val="00A6201B"/>
    <w:rsid w:val="00A842AE"/>
    <w:rsid w:val="00A85894"/>
    <w:rsid w:val="00A93E77"/>
    <w:rsid w:val="00AA1627"/>
    <w:rsid w:val="00AC4651"/>
    <w:rsid w:val="00AC5E4E"/>
    <w:rsid w:val="00AD2396"/>
    <w:rsid w:val="00AF1F43"/>
    <w:rsid w:val="00B46FB9"/>
    <w:rsid w:val="00B67D0F"/>
    <w:rsid w:val="00B7112B"/>
    <w:rsid w:val="00B9507A"/>
    <w:rsid w:val="00BA4AA2"/>
    <w:rsid w:val="00BB0D89"/>
    <w:rsid w:val="00BB4331"/>
    <w:rsid w:val="00BC4B73"/>
    <w:rsid w:val="00BF5DD2"/>
    <w:rsid w:val="00C101B0"/>
    <w:rsid w:val="00C24566"/>
    <w:rsid w:val="00C471E3"/>
    <w:rsid w:val="00C559B8"/>
    <w:rsid w:val="00C90D5A"/>
    <w:rsid w:val="00C94178"/>
    <w:rsid w:val="00CA0C43"/>
    <w:rsid w:val="00CB2EB2"/>
    <w:rsid w:val="00CC3EC8"/>
    <w:rsid w:val="00CD77DB"/>
    <w:rsid w:val="00CE423E"/>
    <w:rsid w:val="00D53112"/>
    <w:rsid w:val="00D6032F"/>
    <w:rsid w:val="00D62295"/>
    <w:rsid w:val="00D66B2A"/>
    <w:rsid w:val="00D8638C"/>
    <w:rsid w:val="00DB2E94"/>
    <w:rsid w:val="00DE4EBC"/>
    <w:rsid w:val="00E04C3E"/>
    <w:rsid w:val="00E11FB8"/>
    <w:rsid w:val="00E16183"/>
    <w:rsid w:val="00E4395C"/>
    <w:rsid w:val="00E46C52"/>
    <w:rsid w:val="00E80B50"/>
    <w:rsid w:val="00EA5CB9"/>
    <w:rsid w:val="00EA7F94"/>
    <w:rsid w:val="00EC053A"/>
    <w:rsid w:val="00EC4F6A"/>
    <w:rsid w:val="00ED7027"/>
    <w:rsid w:val="00EF6564"/>
    <w:rsid w:val="00F408F1"/>
    <w:rsid w:val="00F55A89"/>
    <w:rsid w:val="00F6003D"/>
    <w:rsid w:val="00F64661"/>
    <w:rsid w:val="00F96D53"/>
    <w:rsid w:val="00FE0EC7"/>
    <w:rsid w:val="00FE35F5"/>
    <w:rsid w:val="00FF4128"/>
    <w:rsid w:val="074E470E"/>
    <w:rsid w:val="122E7DE2"/>
    <w:rsid w:val="16686352"/>
    <w:rsid w:val="34111674"/>
    <w:rsid w:val="45B47C12"/>
    <w:rsid w:val="4C30632C"/>
    <w:rsid w:val="50C2657A"/>
    <w:rsid w:val="56416ED3"/>
    <w:rsid w:val="6B8B5E7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2"/>
      <w:lang w:val="en-US" w:eastAsia="zh-CN" w:bidi="ar-SA"/>
    </w:rPr>
  </w:style>
  <w:style w:type="character" w:default="1" w:styleId="10">
    <w:name w:val="Default Paragraph Font"/>
    <w:unhideWhenUsed/>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37"/>
    <w:qFormat/>
    <w:uiPriority w:val="0"/>
    <w:pPr>
      <w:ind w:firstLine="0" w:firstLineChars="0"/>
    </w:pPr>
    <w:rPr>
      <w:rFonts w:ascii="宋体" w:hAnsi="Courier New" w:eastAsia="宋体" w:cs="宋体"/>
      <w:sz w:val="21"/>
      <w:szCs w:val="21"/>
    </w:rPr>
  </w:style>
  <w:style w:type="paragraph" w:styleId="3">
    <w:name w:val="Date"/>
    <w:basedOn w:val="1"/>
    <w:next w:val="1"/>
    <w:link w:val="41"/>
    <w:qFormat/>
    <w:uiPriority w:val="0"/>
    <w:rPr>
      <w:rFonts w:ascii="仿宋_GB2312"/>
      <w:spacing w:val="-4"/>
      <w:szCs w:val="32"/>
    </w:rPr>
  </w:style>
  <w:style w:type="paragraph" w:styleId="4">
    <w:name w:val="Body Text Indent 2"/>
    <w:basedOn w:val="1"/>
    <w:link w:val="42"/>
    <w:qFormat/>
    <w:uiPriority w:val="0"/>
    <w:pPr>
      <w:spacing w:after="120" w:line="480" w:lineRule="auto"/>
      <w:ind w:left="420"/>
    </w:pPr>
  </w:style>
  <w:style w:type="paragraph" w:styleId="5">
    <w:name w:val="Balloon Text"/>
    <w:basedOn w:val="1"/>
    <w:link w:val="39"/>
    <w:semiHidden/>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8"/>
    <w:uiPriority w:val="0"/>
    <w:pPr>
      <w:snapToGrid w:val="0"/>
      <w:spacing w:line="580" w:lineRule="atLeast"/>
      <w:ind w:firstLine="624" w:firstLineChars="0"/>
    </w:pPr>
    <w:rPr>
      <w:rFonts w:ascii="仿宋_GB2312" w:cs="仿宋_GB2312"/>
      <w:spacing w:val="-5"/>
      <w:szCs w:val="32"/>
    </w:rPr>
  </w:style>
  <w:style w:type="paragraph" w:styleId="9">
    <w:name w:val="Normal (Web)"/>
    <w:basedOn w:val="1"/>
    <w:semiHidden/>
    <w:qFormat/>
    <w:uiPriority w:val="0"/>
    <w:pPr>
      <w:widowControl/>
      <w:spacing w:before="100" w:beforeAutospacing="1" w:after="100" w:afterAutospacing="1"/>
      <w:ind w:firstLine="0" w:firstLineChars="0"/>
      <w:jc w:val="left"/>
    </w:pPr>
    <w:rPr>
      <w:rFonts w:ascii="宋体" w:hAnsi="宋体" w:eastAsia="宋体" w:cs="宋体"/>
      <w:kern w:val="0"/>
      <w:sz w:val="24"/>
      <w:szCs w:val="24"/>
    </w:rPr>
  </w:style>
  <w:style w:type="character" w:styleId="11">
    <w:name w:val="page number"/>
    <w:basedOn w:val="10"/>
    <w:uiPriority w:val="0"/>
  </w:style>
  <w:style w:type="character" w:styleId="12">
    <w:name w:val="FollowedHyperlink"/>
    <w:basedOn w:val="10"/>
    <w:unhideWhenUsed/>
    <w:uiPriority w:val="99"/>
    <w:rPr>
      <w:color w:val="333333"/>
      <w:u w:val="none"/>
    </w:rPr>
  </w:style>
  <w:style w:type="character" w:styleId="13">
    <w:name w:val="Hyperlink"/>
    <w:basedOn w:val="10"/>
    <w:qFormat/>
    <w:uiPriority w:val="0"/>
    <w:rPr>
      <w:color w:val="333333"/>
      <w:u w:val="none"/>
    </w:rPr>
  </w:style>
  <w:style w:type="table" w:styleId="15">
    <w:name w:val="Table Grid"/>
    <w:basedOn w:val="14"/>
    <w:qFormat/>
    <w:locked/>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页眉 Char"/>
    <w:basedOn w:val="10"/>
    <w:link w:val="7"/>
    <w:semiHidden/>
    <w:locked/>
    <w:uiPriority w:val="99"/>
    <w:rPr>
      <w:rFonts w:ascii="Times New Roman" w:hAnsi="Times New Roman" w:eastAsia="仿宋_GB2312" w:cs="Times New Roman"/>
      <w:sz w:val="18"/>
      <w:szCs w:val="18"/>
    </w:rPr>
  </w:style>
  <w:style w:type="character" w:customStyle="1" w:styleId="17">
    <w:name w:val="页脚 Char"/>
    <w:basedOn w:val="10"/>
    <w:link w:val="6"/>
    <w:semiHidden/>
    <w:locked/>
    <w:uiPriority w:val="99"/>
    <w:rPr>
      <w:rFonts w:ascii="Times New Roman" w:hAnsi="Times New Roman" w:eastAsia="仿宋_GB2312" w:cs="Times New Roman"/>
      <w:sz w:val="18"/>
      <w:szCs w:val="18"/>
    </w:rPr>
  </w:style>
  <w:style w:type="paragraph" w:customStyle="1" w:styleId="18">
    <w:name w:val="List Paragraph"/>
    <w:basedOn w:val="1"/>
    <w:qFormat/>
    <w:uiPriority w:val="99"/>
    <w:pPr>
      <w:ind w:firstLine="420"/>
    </w:pPr>
  </w:style>
  <w:style w:type="paragraph" w:customStyle="1" w:styleId="19">
    <w:name w:val="公文正文"/>
    <w:basedOn w:val="1"/>
    <w:qFormat/>
    <w:uiPriority w:val="0"/>
    <w:pPr>
      <w:snapToGrid w:val="0"/>
      <w:spacing w:line="560" w:lineRule="atLeast"/>
    </w:pPr>
    <w:rPr>
      <w:rFonts w:ascii="仿宋_GB2312" w:hAnsi="宋体"/>
      <w:szCs w:val="21"/>
    </w:rPr>
  </w:style>
  <w:style w:type="paragraph" w:customStyle="1" w:styleId="20">
    <w:name w:val="Char Char Char Char Char Char Char Char Char Char Char Char 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4"/>
      <w:lang w:eastAsia="en-US"/>
    </w:rPr>
  </w:style>
  <w:style w:type="paragraph" w:customStyle="1" w:styleId="21">
    <w:name w:val="秘密等级★保密期限"/>
    <w:basedOn w:val="1"/>
    <w:uiPriority w:val="0"/>
    <w:pPr>
      <w:ind w:firstLine="0" w:firstLineChars="0"/>
      <w:jc w:val="right"/>
    </w:pPr>
    <w:rPr>
      <w:rFonts w:eastAsia="黑体"/>
    </w:rPr>
  </w:style>
  <w:style w:type="paragraph" w:customStyle="1" w:styleId="22">
    <w:name w:val="紧急程度"/>
    <w:basedOn w:val="1"/>
    <w:uiPriority w:val="0"/>
    <w:pPr>
      <w:jc w:val="right"/>
    </w:pPr>
    <w:rPr>
      <w:rFonts w:eastAsia="黑体"/>
    </w:rPr>
  </w:style>
  <w:style w:type="paragraph" w:customStyle="1" w:styleId="23">
    <w:name w:val="发文机关标识"/>
    <w:basedOn w:val="1"/>
    <w:uiPriority w:val="0"/>
    <w:pPr>
      <w:spacing w:line="1300" w:lineRule="exact"/>
      <w:ind w:firstLine="0" w:firstLineChars="0"/>
      <w:jc w:val="distribute"/>
    </w:pPr>
    <w:rPr>
      <w:rFonts w:eastAsia="方正小标宋简体"/>
      <w:b/>
      <w:color w:val="FF0000"/>
      <w:spacing w:val="-60"/>
      <w:w w:val="62"/>
      <w:sz w:val="120"/>
    </w:rPr>
  </w:style>
  <w:style w:type="paragraph" w:customStyle="1" w:styleId="24">
    <w:name w:val="公文标题"/>
    <w:basedOn w:val="1"/>
    <w:uiPriority w:val="0"/>
    <w:pPr>
      <w:spacing w:line="620" w:lineRule="exact"/>
      <w:ind w:firstLine="0" w:firstLineChars="0"/>
      <w:jc w:val="center"/>
    </w:pPr>
    <w:rPr>
      <w:rFonts w:eastAsia="方正小标宋简体"/>
      <w:sz w:val="44"/>
    </w:rPr>
  </w:style>
  <w:style w:type="paragraph" w:customStyle="1" w:styleId="25">
    <w:name w:val="主送机关"/>
    <w:basedOn w:val="1"/>
    <w:uiPriority w:val="0"/>
    <w:pPr>
      <w:ind w:firstLine="0" w:firstLineChars="0"/>
    </w:pPr>
  </w:style>
  <w:style w:type="paragraph" w:customStyle="1" w:styleId="26">
    <w:name w:val="附件"/>
    <w:basedOn w:val="25"/>
    <w:uiPriority w:val="0"/>
    <w:pPr>
      <w:ind w:firstLine="640"/>
    </w:pPr>
  </w:style>
  <w:style w:type="paragraph" w:customStyle="1" w:styleId="27">
    <w:name w:val="成文时间"/>
    <w:basedOn w:val="1"/>
    <w:uiPriority w:val="0"/>
    <w:pPr>
      <w:ind w:right="1304"/>
      <w:jc w:val="right"/>
    </w:pPr>
  </w:style>
  <w:style w:type="paragraph" w:customStyle="1" w:styleId="28">
    <w:name w:val="附注"/>
    <w:basedOn w:val="1"/>
    <w:uiPriority w:val="0"/>
    <w:pPr>
      <w:ind w:firstLine="640"/>
    </w:pPr>
  </w:style>
  <w:style w:type="paragraph" w:customStyle="1" w:styleId="29">
    <w:name w:val="样式1"/>
    <w:basedOn w:val="1"/>
    <w:uiPriority w:val="0"/>
    <w:pPr>
      <w:adjustRightInd w:val="0"/>
      <w:snapToGrid w:val="0"/>
      <w:spacing w:line="576" w:lineRule="atLeast"/>
      <w:ind w:firstLine="0" w:firstLineChars="0"/>
    </w:pPr>
    <w:rPr>
      <w:rFonts w:ascii="仿宋_GB2312" w:hAnsi="宋体"/>
      <w:color w:val="000000"/>
      <w:spacing w:val="-5"/>
      <w:szCs w:val="32"/>
    </w:rPr>
  </w:style>
  <w:style w:type="paragraph" w:customStyle="1" w:styleId="30">
    <w:name w:val="主题词"/>
    <w:basedOn w:val="1"/>
    <w:uiPriority w:val="0"/>
    <w:pPr>
      <w:ind w:firstLine="0" w:firstLineChars="0"/>
    </w:pPr>
    <w:rPr>
      <w:rFonts w:eastAsia="方正小标宋简体"/>
      <w:b/>
    </w:rPr>
  </w:style>
  <w:style w:type="paragraph" w:customStyle="1" w:styleId="31">
    <w:name w:val="抄送机关"/>
    <w:basedOn w:val="1"/>
    <w:uiPriority w:val="0"/>
    <w:pPr>
      <w:ind w:firstLine="0" w:firstLineChars="0"/>
    </w:pPr>
  </w:style>
  <w:style w:type="paragraph" w:customStyle="1" w:styleId="32">
    <w:name w:val="印发机关"/>
    <w:basedOn w:val="1"/>
    <w:qFormat/>
    <w:uiPriority w:val="0"/>
    <w:pPr>
      <w:ind w:firstLine="0" w:firstLineChars="0"/>
    </w:pPr>
  </w:style>
  <w:style w:type="paragraph" w:customStyle="1" w:styleId="33">
    <w:name w:val="分隔线"/>
    <w:basedOn w:val="1"/>
    <w:qFormat/>
    <w:uiPriority w:val="0"/>
    <w:pPr>
      <w:pBdr>
        <w:bottom w:val="single" w:color="FF0000" w:sz="12" w:space="1"/>
      </w:pBdr>
      <w:spacing w:line="120" w:lineRule="exact"/>
    </w:pPr>
    <w:rPr>
      <w:sz w:val="21"/>
    </w:rPr>
  </w:style>
  <w:style w:type="paragraph" w:customStyle="1" w:styleId="34">
    <w:name w:val="文尾"/>
    <w:basedOn w:val="1"/>
    <w:uiPriority w:val="0"/>
    <w:pPr>
      <w:spacing w:line="20" w:lineRule="exact"/>
    </w:pPr>
    <w:rPr>
      <w:sz w:val="18"/>
    </w:rPr>
  </w:style>
  <w:style w:type="paragraph" w:customStyle="1" w:styleId="35">
    <w:name w:val="印发份数"/>
    <w:basedOn w:val="1"/>
    <w:qFormat/>
    <w:uiPriority w:val="0"/>
    <w:pPr>
      <w:jc w:val="right"/>
    </w:pPr>
  </w:style>
  <w:style w:type="paragraph" w:customStyle="1" w:styleId="36">
    <w:name w:val="印发时间"/>
    <w:basedOn w:val="27"/>
    <w:qFormat/>
    <w:uiPriority w:val="0"/>
    <w:pPr>
      <w:ind w:right="0" w:firstLine="0" w:firstLineChars="0"/>
    </w:pPr>
  </w:style>
  <w:style w:type="character" w:customStyle="1" w:styleId="37">
    <w:name w:val="纯文本 Char"/>
    <w:basedOn w:val="10"/>
    <w:link w:val="2"/>
    <w:uiPriority w:val="0"/>
    <w:rPr>
      <w:rFonts w:ascii="宋体" w:hAnsi="Courier New" w:cs="宋体"/>
      <w:szCs w:val="21"/>
    </w:rPr>
  </w:style>
  <w:style w:type="character" w:customStyle="1" w:styleId="38">
    <w:name w:val="正文文本 2 Char"/>
    <w:basedOn w:val="10"/>
    <w:link w:val="8"/>
    <w:qFormat/>
    <w:uiPriority w:val="0"/>
    <w:rPr>
      <w:rFonts w:ascii="仿宋_GB2312" w:hAnsi="Times New Roman" w:eastAsia="仿宋_GB2312" w:cs="仿宋_GB2312"/>
      <w:spacing w:val="-5"/>
      <w:sz w:val="32"/>
      <w:szCs w:val="32"/>
    </w:rPr>
  </w:style>
  <w:style w:type="character" w:customStyle="1" w:styleId="39">
    <w:name w:val="批注框文本 Char"/>
    <w:basedOn w:val="10"/>
    <w:link w:val="5"/>
    <w:semiHidden/>
    <w:qFormat/>
    <w:uiPriority w:val="0"/>
    <w:rPr>
      <w:rFonts w:ascii="Times New Roman" w:hAnsi="Times New Roman" w:eastAsia="仿宋_GB2312"/>
      <w:sz w:val="18"/>
      <w:szCs w:val="18"/>
    </w:rPr>
  </w:style>
  <w:style w:type="paragraph" w:customStyle="1" w:styleId="40">
    <w:name w:val="样式2"/>
    <w:basedOn w:val="1"/>
    <w:uiPriority w:val="0"/>
    <w:pPr>
      <w:adjustRightInd w:val="0"/>
      <w:snapToGrid w:val="0"/>
      <w:spacing w:line="560" w:lineRule="exact"/>
      <w:ind w:firstLine="0" w:firstLineChars="0"/>
    </w:pPr>
    <w:rPr>
      <w:rFonts w:eastAsia="方正小标宋简体"/>
      <w:color w:val="000000"/>
      <w:spacing w:val="-5"/>
      <w:szCs w:val="32"/>
    </w:rPr>
  </w:style>
  <w:style w:type="character" w:customStyle="1" w:styleId="41">
    <w:name w:val="日期 Char"/>
    <w:basedOn w:val="10"/>
    <w:link w:val="3"/>
    <w:qFormat/>
    <w:uiPriority w:val="0"/>
    <w:rPr>
      <w:rFonts w:ascii="仿宋_GB2312" w:hAnsi="Times New Roman" w:eastAsia="仿宋_GB2312"/>
      <w:spacing w:val="-4"/>
      <w:sz w:val="32"/>
      <w:szCs w:val="32"/>
    </w:rPr>
  </w:style>
  <w:style w:type="character" w:customStyle="1" w:styleId="42">
    <w:name w:val="正文文本缩进 2 Char"/>
    <w:basedOn w:val="10"/>
    <w:link w:val="4"/>
    <w:uiPriority w:val="0"/>
    <w:rPr>
      <w:rFonts w:ascii="Times New Roman" w:hAnsi="Times New Roman" w:eastAsia="仿宋_GB2312"/>
      <w:sz w:val="32"/>
      <w:szCs w:val="20"/>
    </w:rPr>
  </w:style>
  <w:style w:type="paragraph" w:customStyle="1" w:styleId="43">
    <w:name w:val="1 Char Char Char Char Char Char Char"/>
    <w:basedOn w:val="1"/>
    <w:semiHidden/>
    <w:uiPriority w:val="0"/>
    <w:pPr>
      <w:ind w:firstLine="0" w:firstLineChars="0"/>
    </w:pPr>
    <w:rPr>
      <w:rFonts w:eastAsia="宋体"/>
      <w:sz w:val="21"/>
      <w:szCs w:val="24"/>
    </w:rPr>
  </w:style>
  <w:style w:type="paragraph" w:customStyle="1" w:styleId="44">
    <w:name w:val="custom_unionstyle"/>
    <w:basedOn w:val="1"/>
    <w:uiPriority w:val="0"/>
    <w:pPr>
      <w:widowControl/>
      <w:spacing w:before="100" w:beforeAutospacing="1" w:after="100" w:afterAutospacing="1"/>
      <w:ind w:firstLine="0" w:firstLineChars="0"/>
      <w:jc w:val="left"/>
    </w:pPr>
    <w:rPr>
      <w:rFonts w:ascii="宋体" w:hAnsi="宋体" w:eastAsia="宋体" w:cs="宋体"/>
      <w:kern w:val="0"/>
      <w:sz w:val="24"/>
      <w:szCs w:val="24"/>
    </w:rPr>
  </w:style>
  <w:style w:type="paragraph" w:customStyle="1" w:styleId="45">
    <w:name w:val="列出段落1"/>
    <w:basedOn w:val="1"/>
    <w:qFormat/>
    <w:uiPriority w:val="0"/>
    <w:pPr>
      <w:ind w:firstLine="420"/>
    </w:pPr>
    <w:rPr>
      <w:rFonts w:ascii="Calibri" w:hAnsi="Calibri" w:eastAsia="宋体"/>
      <w:sz w:val="21"/>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2387</Words>
  <Characters>13609</Characters>
  <Lines>113</Lines>
  <Paragraphs>31</Paragraphs>
  <ScaleCrop>false</ScaleCrop>
  <LinksUpToDate>false</LinksUpToDate>
  <CharactersWithSpaces>15965</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2016-09-18T02:15:00Z</dcterms:created>
  <dc:creator>hp</dc:creator>
  <cp:lastModifiedBy>Administrator</cp:lastModifiedBy>
  <cp:lastPrinted>2017-09-22T01:13:00Z</cp:lastPrinted>
  <dcterms:modified xsi:type="dcterms:W3CDTF">2017-09-22T09:31:12Z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