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p>
    <w:p>
      <w:pPr>
        <w:spacing w:line="560" w:lineRule="exact"/>
        <w:jc w:val="center"/>
        <w:rPr>
          <w:rFonts w:hint="eastAsia" w:ascii="仿宋_GB2312" w:hAnsi="仿宋_GB2312" w:eastAsia="仿宋_GB2312" w:cs="仿宋_GB2312"/>
          <w:b w:val="0"/>
          <w:bCs/>
          <w:sz w:val="32"/>
          <w:szCs w:val="32"/>
        </w:rPr>
      </w:pPr>
      <w:bookmarkStart w:id="0" w:name="_GoBack"/>
      <w:r>
        <w:rPr>
          <w:rFonts w:hint="default" w:ascii="Times New Roman" w:hAnsi="Times New Roman" w:eastAsia="仿宋_GB2312" w:cs="Times New Roman"/>
          <w:b w:val="0"/>
          <w:bCs/>
          <w:sz w:val="32"/>
          <w:szCs w:val="32"/>
        </w:rPr>
        <w:t>2017</w:t>
      </w:r>
      <w:r>
        <w:rPr>
          <w:rFonts w:hint="eastAsia" w:ascii="仿宋_GB2312" w:hAnsi="仿宋_GB2312" w:eastAsia="仿宋_GB2312" w:cs="仿宋_GB2312"/>
          <w:b w:val="0"/>
          <w:bCs/>
          <w:sz w:val="32"/>
          <w:szCs w:val="32"/>
        </w:rPr>
        <w:t>年钟楼区食品抽样检测工作任务分配表</w:t>
      </w:r>
    </w:p>
    <w:bookmarkEnd w:id="0"/>
    <w:p>
      <w:pPr>
        <w:spacing w:line="560" w:lineRule="exact"/>
        <w:jc w:val="center"/>
        <w:rPr>
          <w:rFonts w:hint="eastAsia" w:ascii="仿宋_GB2312" w:hAnsi="仿宋_GB2312" w:eastAsia="仿宋_GB2312" w:cs="仿宋_GB2312"/>
          <w:b w:val="0"/>
          <w:bCs/>
          <w:sz w:val="32"/>
          <w:szCs w:val="32"/>
        </w:rPr>
      </w:pPr>
    </w:p>
    <w:tbl>
      <w:tblPr>
        <w:tblStyle w:val="3"/>
        <w:tblW w:w="8770" w:type="dxa"/>
        <w:tblInd w:w="-34" w:type="dxa"/>
        <w:tblLayout w:type="fixed"/>
        <w:tblCellMar>
          <w:top w:w="0" w:type="dxa"/>
          <w:left w:w="108" w:type="dxa"/>
          <w:bottom w:w="0" w:type="dxa"/>
          <w:right w:w="108" w:type="dxa"/>
        </w:tblCellMar>
      </w:tblPr>
      <w:tblGrid>
        <w:gridCol w:w="1090"/>
        <w:gridCol w:w="960"/>
        <w:gridCol w:w="960"/>
        <w:gridCol w:w="960"/>
        <w:gridCol w:w="960"/>
        <w:gridCol w:w="960"/>
        <w:gridCol w:w="960"/>
        <w:gridCol w:w="960"/>
        <w:gridCol w:w="960"/>
      </w:tblGrid>
      <w:tr>
        <w:tblPrEx>
          <w:tblLayout w:type="fixed"/>
          <w:tblCellMar>
            <w:top w:w="0" w:type="dxa"/>
            <w:left w:w="108" w:type="dxa"/>
            <w:bottom w:w="0" w:type="dxa"/>
            <w:right w:w="108" w:type="dxa"/>
          </w:tblCellMar>
        </w:tblPrEx>
        <w:trPr>
          <w:trHeight w:val="588" w:hRule="atLeast"/>
        </w:trPr>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环 节</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邹 区</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永 红</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开发区</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南大街</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五  星</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荷花池</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新  闸</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合  计</w:t>
            </w:r>
          </w:p>
        </w:tc>
      </w:tr>
      <w:tr>
        <w:tblPrEx>
          <w:tblLayout w:type="fixed"/>
          <w:tblCellMar>
            <w:top w:w="0" w:type="dxa"/>
            <w:left w:w="108" w:type="dxa"/>
            <w:bottom w:w="0" w:type="dxa"/>
            <w:right w:w="108" w:type="dxa"/>
          </w:tblCellMar>
        </w:tblPrEx>
        <w:trPr>
          <w:trHeight w:val="588" w:hRule="atLeast"/>
        </w:trPr>
        <w:tc>
          <w:tcPr>
            <w:tcW w:w="10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食品</w:t>
            </w:r>
          </w:p>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生产</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185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475</w:t>
            </w:r>
          </w:p>
        </w:tc>
      </w:tr>
      <w:tr>
        <w:tblPrEx>
          <w:tblLayout w:type="fixed"/>
          <w:tblCellMar>
            <w:top w:w="0" w:type="dxa"/>
            <w:left w:w="108" w:type="dxa"/>
            <w:bottom w:w="0" w:type="dxa"/>
            <w:right w:w="108" w:type="dxa"/>
          </w:tblCellMar>
        </w:tblPrEx>
        <w:trPr>
          <w:trHeight w:val="588" w:hRule="atLeast"/>
        </w:trPr>
        <w:tc>
          <w:tcPr>
            <w:tcW w:w="10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食品</w:t>
            </w:r>
          </w:p>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流通</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400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235</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45</w:t>
            </w:r>
          </w:p>
        </w:tc>
        <w:tc>
          <w:tcPr>
            <w:tcW w:w="9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1540</w:t>
            </w:r>
          </w:p>
        </w:tc>
      </w:tr>
      <w:tr>
        <w:tblPrEx>
          <w:tblLayout w:type="fixed"/>
          <w:tblCellMar>
            <w:top w:w="0" w:type="dxa"/>
            <w:left w:w="108" w:type="dxa"/>
            <w:bottom w:w="0" w:type="dxa"/>
            <w:right w:w="108" w:type="dxa"/>
          </w:tblCellMar>
        </w:tblPrEx>
        <w:trPr>
          <w:trHeight w:val="588" w:hRule="atLeast"/>
        </w:trPr>
        <w:tc>
          <w:tcPr>
            <w:tcW w:w="10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餐饮</w:t>
            </w:r>
          </w:p>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服务</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85</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785</w:t>
            </w:r>
          </w:p>
        </w:tc>
      </w:tr>
      <w:tr>
        <w:tblPrEx>
          <w:tblLayout w:type="fixed"/>
          <w:tblCellMar>
            <w:top w:w="0" w:type="dxa"/>
            <w:left w:w="108" w:type="dxa"/>
            <w:bottom w:w="0" w:type="dxa"/>
            <w:right w:w="108" w:type="dxa"/>
          </w:tblCellMar>
        </w:tblPrEx>
        <w:trPr>
          <w:trHeight w:val="588" w:hRule="atLeast"/>
        </w:trPr>
        <w:tc>
          <w:tcPr>
            <w:tcW w:w="109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合  计</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600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435</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385</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270</w:t>
            </w:r>
          </w:p>
        </w:tc>
        <w:tc>
          <w:tcPr>
            <w:tcW w:w="96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2800</w:t>
            </w:r>
          </w:p>
        </w:tc>
      </w:tr>
    </w:tbl>
    <w:p>
      <w:pPr>
        <w:keepNext w:val="0"/>
        <w:keepLines w:val="0"/>
        <w:pageBreakBefore w:val="0"/>
        <w:kinsoku/>
        <w:wordWrap/>
        <w:overflowPunct/>
        <w:topLinePunct w:val="0"/>
        <w:autoSpaceDE/>
        <w:autoSpaceDN/>
        <w:bidi w:val="0"/>
        <w:adjustRightInd/>
        <w:snapToGrid/>
        <w:spacing w:line="57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有关投诉举报、食品中毒、专项和机动抽样批次，计入各辖区分局批次中。</w:t>
      </w:r>
    </w:p>
    <w:p>
      <w:pPr>
        <w:keepNext w:val="0"/>
        <w:keepLines w:val="0"/>
        <w:pageBreakBefore w:val="0"/>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各分局每月必须完成5个以上批次食用农产品的抽检工作。</w:t>
      </w:r>
    </w:p>
    <w:p>
      <w:pPr>
        <w:pStyle w:val="4"/>
        <w:keepNext w:val="0"/>
        <w:keepLines w:val="0"/>
        <w:pageBreakBefore w:val="0"/>
        <w:numPr>
          <w:ilvl w:val="0"/>
          <w:numId w:val="0"/>
        </w:numPr>
        <w:kinsoku/>
        <w:wordWrap/>
        <w:overflowPunct/>
        <w:topLinePunct w:val="0"/>
        <w:autoSpaceDE/>
        <w:autoSpaceDN/>
        <w:bidi w:val="0"/>
        <w:adjustRightInd/>
        <w:snapToGrid/>
        <w:spacing w:line="570" w:lineRule="exact"/>
        <w:ind w:right="0" w:rightChars="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辖区内的食品生产企业全年至少一次以上抽检，其中乳制品生产企业一月至少一次抽检。</w:t>
      </w:r>
    </w:p>
    <w:p>
      <w:pPr>
        <w:pStyle w:val="4"/>
        <w:keepNext w:val="0"/>
        <w:keepLines w:val="0"/>
        <w:pageBreakBefore w:val="0"/>
        <w:numPr>
          <w:ilvl w:val="0"/>
          <w:numId w:val="0"/>
        </w:numPr>
        <w:kinsoku/>
        <w:wordWrap/>
        <w:overflowPunct/>
        <w:topLinePunct w:val="0"/>
        <w:autoSpaceDE/>
        <w:autoSpaceDN/>
        <w:bidi w:val="0"/>
        <w:adjustRightInd/>
        <w:snapToGrid/>
        <w:spacing w:line="570" w:lineRule="exact"/>
        <w:ind w:right="0" w:rightChars="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重点加强对食堂、中央厨房、集体用餐配送单位、大中型以上餐饮单位和农副产品批发市场等单位的抽检。</w:t>
      </w:r>
    </w:p>
    <w:p>
      <w:pPr>
        <w:keepNext w:val="0"/>
        <w:keepLines w:val="0"/>
        <w:pageBreakBefore w:val="0"/>
        <w:widowControl/>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5、食品生产环节是食品安全监管各环节重中之重，抽检工作以乳制品、肉制品、糕点、面包、食用油、米面制品等为重点品种。</w:t>
      </w:r>
    </w:p>
    <w:p>
      <w:pPr>
        <w:keepNext w:val="0"/>
        <w:keepLines w:val="0"/>
        <w:pageBreakBefore w:val="0"/>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食品流通环节抽检重点品种以消费者投诉反应比较多，与群众日常生活关系密切度高以及市场监督检查中发现问题比较集中的食品（包括食用农产品），如乳制品、肉制品、水产品、月饼、粽子、糕点、白酒、蜂蜜、食用油、饮料、蔬菜、水果、米面制品等。</w:t>
      </w:r>
    </w:p>
    <w:p>
      <w:pPr>
        <w:keepNext w:val="0"/>
        <w:keepLines w:val="0"/>
        <w:pageBreakBefore w:val="0"/>
        <w:kinsoku/>
        <w:wordWrap/>
        <w:overflowPunct/>
        <w:topLinePunct w:val="0"/>
        <w:autoSpaceDE/>
        <w:autoSpaceDN/>
        <w:bidi w:val="0"/>
        <w:adjustRightInd/>
        <w:snapToGrid/>
        <w:spacing w:line="570" w:lineRule="exact"/>
        <w:ind w:right="0" w:rightChars="0" w:firstLine="640" w:firstLineChars="200"/>
        <w:textAlignment w:val="auto"/>
        <w:outlineLvl w:val="9"/>
        <w:rPr>
          <w:rFonts w:hint="default" w:ascii="Times New Roman" w:hAnsi="Times New Roman" w:eastAsia="仿宋_GB2312" w:cs="Times New Roman"/>
          <w:b/>
          <w:color w:val="0000FF"/>
          <w:sz w:val="32"/>
          <w:szCs w:val="32"/>
        </w:rPr>
      </w:pPr>
      <w:r>
        <w:rPr>
          <w:rFonts w:hint="default" w:ascii="Times New Roman" w:hAnsi="Times New Roman" w:eastAsia="仿宋_GB2312" w:cs="Times New Roman"/>
          <w:kern w:val="0"/>
          <w:sz w:val="32"/>
          <w:szCs w:val="32"/>
        </w:rPr>
        <w:t>7、食品餐饮服务环节以学校、养老机构、医疗机构食堂、中央厨房和大中型餐饮单位为抽检重点场所，以现场制售食品、畜禽肉、餐饮酒店代销的时令食品为重点抽检品种，特别要加大对去年以来国家总局、省局在风险评估、监督抽验、快速检测、专项整治等工作中发现的不合格食品的监督抽验力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30BA2"/>
    <w:rsid w:val="6D535020"/>
    <w:rsid w:val="7233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2018-08-07T02:49:00Z</dcterms:created>
  <dc:creator>cherry</dc:creator>
  <cp:lastModifiedBy>cherry</cp:lastModifiedBy>
  <dcterms:modified xsi:type="dcterms:W3CDTF">2018-08-07T02:50:06Z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