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5" w:lineRule="atLeast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605" w:lineRule="atLeast"/>
        <w:jc w:val="center"/>
        <w:rPr>
          <w:rFonts w:ascii="Times New Roman" w:hAnsi="Times New Roman" w:eastAsia="微软雅黑"/>
          <w:color w:val="454545"/>
          <w:kern w:val="0"/>
          <w:sz w:val="28"/>
          <w:szCs w:val="28"/>
        </w:rPr>
      </w:pPr>
      <w:r>
        <w:rPr>
          <w:rFonts w:ascii="Times New Roman" w:hAnsi="Times New Roman" w:eastAsia="方正小标宋简体"/>
          <w:color w:val="000000"/>
          <w:kern w:val="0"/>
          <w:sz w:val="48"/>
          <w:szCs w:val="48"/>
        </w:rPr>
        <w:t>2020年财政监督检查计划表</w:t>
      </w:r>
    </w:p>
    <w:tbl>
      <w:tblPr>
        <w:tblStyle w:val="11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2607"/>
        <w:gridCol w:w="4064"/>
        <w:gridCol w:w="2120"/>
        <w:gridCol w:w="1263"/>
        <w:gridCol w:w="1302"/>
        <w:gridCol w:w="13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  <w:tblHeader/>
          <w:jc w:val="center"/>
        </w:trPr>
        <w:tc>
          <w:tcPr>
            <w:tcW w:w="12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spacing w:line="75" w:lineRule="atLeas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spacing w:line="75" w:lineRule="atLeas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检查项目</w:t>
            </w:r>
          </w:p>
        </w:tc>
        <w:tc>
          <w:tcPr>
            <w:tcW w:w="40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spacing w:line="75" w:lineRule="atLeas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21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spacing w:line="75" w:lineRule="atLeas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检查对象</w:t>
            </w:r>
          </w:p>
        </w:tc>
        <w:tc>
          <w:tcPr>
            <w:tcW w:w="12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spacing w:line="75" w:lineRule="atLeas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牵头科室</w:t>
            </w:r>
          </w:p>
        </w:tc>
        <w:tc>
          <w:tcPr>
            <w:tcW w:w="13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spacing w:line="75" w:lineRule="atLeas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配合科室</w:t>
            </w:r>
          </w:p>
        </w:tc>
        <w:tc>
          <w:tcPr>
            <w:tcW w:w="13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spacing w:line="75" w:lineRule="atLeas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实施时间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spacing w:line="90" w:lineRule="atLeast"/>
              <w:ind w:firstLine="480"/>
              <w:rPr>
                <w:rFonts w:ascii="Times New Roman" w:hAnsi="Times New Roman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2688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spacing w:line="90" w:lineRule="atLeast"/>
              <w:rPr>
                <w:rFonts w:ascii="Times New Roman" w:hAnsi="Times New Roman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  <w:t>会计信息质量常态化检查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  <w:jc w:val="center"/>
        </w:trPr>
        <w:tc>
          <w:tcPr>
            <w:tcW w:w="12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（一）</w:t>
            </w:r>
          </w:p>
        </w:tc>
        <w:tc>
          <w:tcPr>
            <w:tcW w:w="2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会计信息质量常态化检查</w:t>
            </w:r>
          </w:p>
        </w:tc>
        <w:tc>
          <w:tcPr>
            <w:tcW w:w="40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对会计制度执行、财务收支核算、预算执行、小金库、三公经费、会议费、培训费等进行常态化检查</w:t>
            </w:r>
          </w:p>
        </w:tc>
        <w:tc>
          <w:tcPr>
            <w:tcW w:w="21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区级各部门单位、各基层财政分局、国资平台公司</w:t>
            </w:r>
          </w:p>
        </w:tc>
        <w:tc>
          <w:tcPr>
            <w:tcW w:w="12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经建科</w:t>
            </w:r>
          </w:p>
        </w:tc>
        <w:tc>
          <w:tcPr>
            <w:tcW w:w="13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pacing w:val="-28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28"/>
                <w:kern w:val="0"/>
                <w:sz w:val="24"/>
                <w:szCs w:val="24"/>
              </w:rPr>
              <w:t>结算中心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预算科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国库科</w:t>
            </w:r>
          </w:p>
        </w:tc>
        <w:tc>
          <w:tcPr>
            <w:tcW w:w="13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1—12月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spacing w:line="90" w:lineRule="atLeast"/>
              <w:ind w:firstLine="480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2688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  <w:t>预决算公开检查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12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（一）</w:t>
            </w:r>
          </w:p>
        </w:tc>
        <w:tc>
          <w:tcPr>
            <w:tcW w:w="2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预决算公开线上检查</w:t>
            </w:r>
          </w:p>
        </w:tc>
        <w:tc>
          <w:tcPr>
            <w:tcW w:w="40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对全区各部门单位和各板块预决算公开的及时性、完整性、规范性等进行检查</w:t>
            </w:r>
          </w:p>
        </w:tc>
        <w:tc>
          <w:tcPr>
            <w:tcW w:w="21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全区54家预算单位</w:t>
            </w:r>
          </w:p>
        </w:tc>
        <w:tc>
          <w:tcPr>
            <w:tcW w:w="12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经建科</w:t>
            </w:r>
          </w:p>
        </w:tc>
        <w:tc>
          <w:tcPr>
            <w:tcW w:w="13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预算科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国库科</w:t>
            </w:r>
          </w:p>
        </w:tc>
        <w:tc>
          <w:tcPr>
            <w:tcW w:w="13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spacing w:line="90" w:lineRule="atLeast"/>
              <w:ind w:firstLine="480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2688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  <w:t>专项监督检查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2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（一）</w:t>
            </w:r>
          </w:p>
        </w:tc>
        <w:tc>
          <w:tcPr>
            <w:tcW w:w="2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代理记账机构专项检查</w:t>
            </w:r>
          </w:p>
        </w:tc>
        <w:tc>
          <w:tcPr>
            <w:tcW w:w="40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开展代理记账机构运营情况专项检查</w:t>
            </w:r>
          </w:p>
        </w:tc>
        <w:tc>
          <w:tcPr>
            <w:tcW w:w="21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全区代理记账机构</w:t>
            </w:r>
          </w:p>
        </w:tc>
        <w:tc>
          <w:tcPr>
            <w:tcW w:w="12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经建科</w:t>
            </w:r>
          </w:p>
        </w:tc>
        <w:tc>
          <w:tcPr>
            <w:tcW w:w="13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1—3月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2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（二）</w:t>
            </w:r>
          </w:p>
        </w:tc>
        <w:tc>
          <w:tcPr>
            <w:tcW w:w="2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“三公”经费专项检查</w:t>
            </w:r>
          </w:p>
        </w:tc>
        <w:tc>
          <w:tcPr>
            <w:tcW w:w="40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对“三公”经费使用情况开展专项检查</w:t>
            </w:r>
          </w:p>
        </w:tc>
        <w:tc>
          <w:tcPr>
            <w:tcW w:w="21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全区部门单位、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乡镇街道、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国资平台公司以及村委</w:t>
            </w:r>
          </w:p>
        </w:tc>
        <w:tc>
          <w:tcPr>
            <w:tcW w:w="12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经建科</w:t>
            </w:r>
          </w:p>
        </w:tc>
        <w:tc>
          <w:tcPr>
            <w:tcW w:w="13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1—12月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12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（三）</w:t>
            </w:r>
          </w:p>
        </w:tc>
        <w:tc>
          <w:tcPr>
            <w:tcW w:w="2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企业扶持资金专项检查</w:t>
            </w:r>
          </w:p>
        </w:tc>
        <w:tc>
          <w:tcPr>
            <w:tcW w:w="40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对企业扶持资金使用情况开展检查</w:t>
            </w:r>
          </w:p>
        </w:tc>
        <w:tc>
          <w:tcPr>
            <w:tcW w:w="21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全区受到专项资金补助的企业</w:t>
            </w:r>
          </w:p>
        </w:tc>
        <w:tc>
          <w:tcPr>
            <w:tcW w:w="12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经建科</w:t>
            </w:r>
          </w:p>
        </w:tc>
        <w:tc>
          <w:tcPr>
            <w:tcW w:w="13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国库科</w:t>
            </w:r>
          </w:p>
        </w:tc>
        <w:tc>
          <w:tcPr>
            <w:tcW w:w="13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7—8月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（四）</w:t>
            </w:r>
          </w:p>
        </w:tc>
        <w:tc>
          <w:tcPr>
            <w:tcW w:w="2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债券资金使用专项检查</w:t>
            </w:r>
          </w:p>
        </w:tc>
        <w:tc>
          <w:tcPr>
            <w:tcW w:w="40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对债务资金使用情况开展检查</w:t>
            </w:r>
          </w:p>
        </w:tc>
        <w:tc>
          <w:tcPr>
            <w:tcW w:w="21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各乡镇街道、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国资平台公司</w:t>
            </w:r>
          </w:p>
        </w:tc>
        <w:tc>
          <w:tcPr>
            <w:tcW w:w="12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国资科</w:t>
            </w:r>
          </w:p>
        </w:tc>
        <w:tc>
          <w:tcPr>
            <w:tcW w:w="13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10—11月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（五）</w:t>
            </w:r>
          </w:p>
        </w:tc>
        <w:tc>
          <w:tcPr>
            <w:tcW w:w="2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国有企业运营风险防范检查</w:t>
            </w:r>
          </w:p>
        </w:tc>
        <w:tc>
          <w:tcPr>
            <w:tcW w:w="40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对区级国资平台公司运营风险进行评估</w:t>
            </w:r>
          </w:p>
        </w:tc>
        <w:tc>
          <w:tcPr>
            <w:tcW w:w="21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区级国资平台公司</w:t>
            </w:r>
          </w:p>
        </w:tc>
        <w:tc>
          <w:tcPr>
            <w:tcW w:w="12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国资科</w:t>
            </w:r>
          </w:p>
        </w:tc>
        <w:tc>
          <w:tcPr>
            <w:tcW w:w="13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1—2月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（六）</w:t>
            </w:r>
          </w:p>
        </w:tc>
        <w:tc>
          <w:tcPr>
            <w:tcW w:w="2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财政分局政府采购情况专项检查</w:t>
            </w:r>
          </w:p>
        </w:tc>
        <w:tc>
          <w:tcPr>
            <w:tcW w:w="40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对2020年政府采购情况开展检查</w:t>
            </w:r>
          </w:p>
        </w:tc>
        <w:tc>
          <w:tcPr>
            <w:tcW w:w="21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各基层财政分局</w:t>
            </w:r>
          </w:p>
        </w:tc>
        <w:tc>
          <w:tcPr>
            <w:tcW w:w="12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综合科</w:t>
            </w:r>
          </w:p>
        </w:tc>
        <w:tc>
          <w:tcPr>
            <w:tcW w:w="13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3—6月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（七）</w:t>
            </w:r>
          </w:p>
        </w:tc>
        <w:tc>
          <w:tcPr>
            <w:tcW w:w="2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三资三化村级财务专项检查</w:t>
            </w:r>
          </w:p>
        </w:tc>
        <w:tc>
          <w:tcPr>
            <w:tcW w:w="40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对部分村级财务情况开展检查</w:t>
            </w:r>
          </w:p>
        </w:tc>
        <w:tc>
          <w:tcPr>
            <w:tcW w:w="21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全区各村级组织</w:t>
            </w:r>
          </w:p>
        </w:tc>
        <w:tc>
          <w:tcPr>
            <w:tcW w:w="12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经建科</w:t>
            </w:r>
          </w:p>
        </w:tc>
        <w:tc>
          <w:tcPr>
            <w:tcW w:w="13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11—12月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2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（八）</w:t>
            </w:r>
          </w:p>
        </w:tc>
        <w:tc>
          <w:tcPr>
            <w:tcW w:w="2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票据年检</w:t>
            </w:r>
          </w:p>
        </w:tc>
        <w:tc>
          <w:tcPr>
            <w:tcW w:w="40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对2019年结算票据使用情况开展检查</w:t>
            </w:r>
          </w:p>
        </w:tc>
        <w:tc>
          <w:tcPr>
            <w:tcW w:w="21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各基层财政分局</w:t>
            </w:r>
          </w:p>
        </w:tc>
        <w:tc>
          <w:tcPr>
            <w:tcW w:w="12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国库科</w:t>
            </w:r>
          </w:p>
        </w:tc>
        <w:tc>
          <w:tcPr>
            <w:tcW w:w="13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11—12月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spacing w:line="90" w:lineRule="atLeast"/>
              <w:ind w:firstLine="480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2688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  <w:t>日常监督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12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（一）</w:t>
            </w:r>
          </w:p>
        </w:tc>
        <w:tc>
          <w:tcPr>
            <w:tcW w:w="2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组织财政结算中心互查</w:t>
            </w:r>
          </w:p>
        </w:tc>
        <w:tc>
          <w:tcPr>
            <w:tcW w:w="40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对会计基础工作、货币资金管理、收支管理以及其他与财务管理有关的事项进行检查</w:t>
            </w:r>
          </w:p>
        </w:tc>
        <w:tc>
          <w:tcPr>
            <w:tcW w:w="21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结算中心代理记账的所有单位</w:t>
            </w:r>
          </w:p>
        </w:tc>
        <w:tc>
          <w:tcPr>
            <w:tcW w:w="12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经建科</w:t>
            </w:r>
          </w:p>
        </w:tc>
        <w:tc>
          <w:tcPr>
            <w:tcW w:w="13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相关科室</w:t>
            </w:r>
          </w:p>
        </w:tc>
        <w:tc>
          <w:tcPr>
            <w:tcW w:w="13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5月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  <w:jc w:val="center"/>
        </w:trPr>
        <w:tc>
          <w:tcPr>
            <w:tcW w:w="12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（二）</w:t>
            </w:r>
          </w:p>
        </w:tc>
        <w:tc>
          <w:tcPr>
            <w:tcW w:w="2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组织开展分局自查与互查</w:t>
            </w:r>
          </w:p>
        </w:tc>
        <w:tc>
          <w:tcPr>
            <w:tcW w:w="40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检查财政财务收支核算、经费支出、财政专项资金管理、现金管理、银行存款对账、往来款，尤其是对外借款、担保、财政票据管理、国有资产管理、政府采购、内部管理制度和业务操作流程等方面情况</w:t>
            </w:r>
          </w:p>
        </w:tc>
        <w:tc>
          <w:tcPr>
            <w:tcW w:w="21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各基层财政分局</w:t>
            </w:r>
          </w:p>
        </w:tc>
        <w:tc>
          <w:tcPr>
            <w:tcW w:w="12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经建科</w:t>
            </w:r>
          </w:p>
        </w:tc>
        <w:tc>
          <w:tcPr>
            <w:tcW w:w="13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财政分局每季度末开展自查，并将检查结果交至经建科；分局参照附件2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spacing w:line="90" w:lineRule="atLeast"/>
              <w:ind w:firstLine="480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2688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spacing w:line="90" w:lineRule="atLeast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  <w:t>上级交办的监督检查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（一）</w:t>
            </w:r>
          </w:p>
        </w:tc>
        <w:tc>
          <w:tcPr>
            <w:tcW w:w="2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省级统一布置的监督检查项目</w:t>
            </w:r>
          </w:p>
        </w:tc>
        <w:tc>
          <w:tcPr>
            <w:tcW w:w="40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待定</w:t>
            </w:r>
          </w:p>
        </w:tc>
        <w:tc>
          <w:tcPr>
            <w:tcW w:w="21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spacing w:line="90" w:lineRule="atLeast"/>
              <w:ind w:firstLine="48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spacing w:line="90" w:lineRule="atLeast"/>
              <w:ind w:firstLine="48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jc w:val="center"/>
        </w:trPr>
        <w:tc>
          <w:tcPr>
            <w:tcW w:w="12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（二）</w:t>
            </w:r>
          </w:p>
        </w:tc>
        <w:tc>
          <w:tcPr>
            <w:tcW w:w="2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市级交办的监督检查项目</w:t>
            </w:r>
          </w:p>
        </w:tc>
        <w:tc>
          <w:tcPr>
            <w:tcW w:w="40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待定</w:t>
            </w:r>
          </w:p>
        </w:tc>
        <w:tc>
          <w:tcPr>
            <w:tcW w:w="21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spacing w:line="75" w:lineRule="atLeast"/>
              <w:ind w:firstLine="48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>
            <w:pPr>
              <w:widowControl/>
              <w:spacing w:line="75" w:lineRule="atLeast"/>
              <w:ind w:firstLine="48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694" w:lineRule="atLeast"/>
        <w:ind w:firstLine="480"/>
        <w:rPr>
          <w:rFonts w:ascii="Times New Roman" w:hAnsi="Times New Roman" w:eastAsia="微软雅黑"/>
          <w:color w:val="454545"/>
          <w:kern w:val="0"/>
          <w:sz w:val="28"/>
          <w:szCs w:val="28"/>
        </w:rPr>
      </w:pPr>
      <w:r>
        <w:rPr>
          <w:rFonts w:ascii="Times New Roman" w:hAnsi="Times New Roman" w:eastAsia="微软雅黑"/>
          <w:color w:val="454545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jc w:val="left"/>
        <w:rPr>
          <w:rFonts w:eastAsia="微软雅黑"/>
          <w:color w:val="454545"/>
          <w:kern w:val="0"/>
          <w:sz w:val="28"/>
          <w:szCs w:val="28"/>
        </w:rPr>
        <w:sectPr>
          <w:headerReference r:id="rId3" w:type="default"/>
          <w:footerReference r:id="rId4" w:type="default"/>
          <w:pgSz w:w="16838" w:h="11906" w:orient="landscape"/>
          <w:pgMar w:top="2098" w:right="1531" w:bottom="1984" w:left="1531" w:header="851" w:footer="992" w:gutter="0"/>
          <w:pgNumType w:fmt="numberInDash"/>
          <w:cols w:space="720" w:num="1"/>
          <w:docGrid w:type="lines" w:linePitch="319" w:charSpace="0"/>
        </w:sectPr>
      </w:pPr>
    </w:p>
    <w:p>
      <w:pPr>
        <w:pStyle w:val="23"/>
      </w:pPr>
      <w:bookmarkStart w:id="0" w:name="_GoBack"/>
      <w:bookmarkEnd w:id="0"/>
    </w:p>
    <w:p>
      <w:pPr>
        <w:pStyle w:val="23"/>
      </w:pPr>
    </w:p>
    <w:p>
      <w:pPr>
        <w:pStyle w:val="23"/>
      </w:pPr>
    </w:p>
    <w:p>
      <w:pPr>
        <w:pStyle w:val="23"/>
      </w:pPr>
    </w:p>
    <w:p>
      <w:pPr>
        <w:pStyle w:val="23"/>
      </w:pPr>
    </w:p>
    <w:p>
      <w:pPr>
        <w:pStyle w:val="23"/>
      </w:pPr>
    </w:p>
    <w:p>
      <w:pPr>
        <w:pStyle w:val="23"/>
      </w:pPr>
    </w:p>
    <w:p>
      <w:pPr>
        <w:pStyle w:val="23"/>
      </w:pPr>
    </w:p>
    <w:p>
      <w:pPr>
        <w:pStyle w:val="23"/>
      </w:pPr>
    </w:p>
    <w:p>
      <w:pPr>
        <w:pStyle w:val="23"/>
      </w:pPr>
    </w:p>
    <w:p>
      <w:pPr>
        <w:pStyle w:val="23"/>
      </w:pPr>
    </w:p>
    <w:p>
      <w:pPr>
        <w:pStyle w:val="23"/>
      </w:pPr>
    </w:p>
    <w:p>
      <w:pPr>
        <w:pStyle w:val="23"/>
      </w:pPr>
    </w:p>
    <w:p>
      <w:pPr>
        <w:pStyle w:val="23"/>
      </w:pPr>
    </w:p>
    <w:p>
      <w:pPr>
        <w:pStyle w:val="23"/>
      </w:pPr>
    </w:p>
    <w:p>
      <w:pPr>
        <w:pStyle w:val="23"/>
      </w:pPr>
    </w:p>
    <w:p>
      <w:pPr>
        <w:pStyle w:val="23"/>
      </w:pPr>
    </w:p>
    <w:sectPr>
      <w:headerReference r:id="rId5" w:type="default"/>
      <w:footerReference r:id="rId6" w:type="default"/>
      <w:pgSz w:w="11906" w:h="16838"/>
      <w:pgMar w:top="2098" w:right="1531" w:bottom="2098" w:left="1531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/>
          <v:imagedata o:title=""/>
          <o:lock v:ext="edit"/>
          <v:textbox inset="0mm,0mm,0mm,0mm" style="mso-fit-shape-to-text:t;">
            <w:txbxContent>
              <w:p>
                <w:pPr>
                  <w:widowControl w:val="0"/>
                  <w:snapToGrid w:val="0"/>
                  <w:jc w:val="left"/>
                  <w:rPr>
                    <w:rFonts w:ascii="宋体" w:hAnsi="Calibri" w:eastAsia="宋体" w:cs="宋体"/>
                    <w:kern w:val="2"/>
                    <w:sz w:val="28"/>
                    <w:szCs w:val="40"/>
                    <w:lang w:val="en-US" w:eastAsia="zh-CN" w:bidi="ar-SA"/>
                  </w:rPr>
                </w:pPr>
                <w:r>
                  <w:rPr>
                    <w:rFonts w:ascii="宋体" w:hAnsi="宋体" w:eastAsia="宋体" w:cs="宋体"/>
                    <w:kern w:val="2"/>
                    <w:sz w:val="28"/>
                    <w:szCs w:val="40"/>
                    <w:lang w:val="en-US" w:eastAsia="zh-CN" w:bidi="ar-SA"/>
                  </w:rPr>
                  <w:fldChar w:fldCharType="begin"/>
                </w:r>
                <w:r>
                  <w:rPr>
                    <w:rFonts w:ascii="宋体" w:hAnsi="宋体" w:eastAsia="宋体" w:cs="宋体"/>
                    <w:kern w:val="2"/>
                    <w:sz w:val="28"/>
                    <w:szCs w:val="40"/>
                    <w:lang w:val="en-US" w:eastAsia="zh-CN" w:bidi="ar-SA"/>
                  </w:rPr>
                  <w:instrText xml:space="preserve"> PAGE  \* MERGEFORMAT </w:instrText>
                </w:r>
                <w:r>
                  <w:rPr>
                    <w:rFonts w:ascii="宋体" w:hAnsi="宋体" w:eastAsia="宋体" w:cs="宋体"/>
                    <w:kern w:val="2"/>
                    <w:sz w:val="28"/>
                    <w:szCs w:val="40"/>
                    <w:lang w:val="en-US" w:eastAsia="zh-CN" w:bidi="ar-SA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kern w:val="2"/>
                    <w:sz w:val="28"/>
                    <w:szCs w:val="40"/>
                    <w:lang w:val="en-US" w:eastAsia="zh-CN" w:bidi="ar-SA"/>
                  </w:rPr>
                  <w:t>- 47 -</w:t>
                </w:r>
                <w:r>
                  <w:rPr>
                    <w:rFonts w:ascii="宋体" w:hAnsi="宋体" w:eastAsia="宋体" w:cs="宋体"/>
                    <w:kern w:val="2"/>
                    <w:sz w:val="28"/>
                    <w:szCs w:val="40"/>
                    <w:lang w:val="en-US" w:eastAsia="zh-CN" w:bidi="ar-S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rPr>
                    <w:rFonts w:ascii="宋体" w:cs="宋体"/>
                    <w:sz w:val="28"/>
                    <w:szCs w:val="40"/>
                  </w:rPr>
                </w:pPr>
                <w:r>
                  <w:rPr>
                    <w:rFonts w:ascii="宋体" w:hAnsi="宋体" w:cs="宋体"/>
                    <w:sz w:val="28"/>
                    <w:szCs w:val="40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40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40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40"/>
                  </w:rPr>
                  <w:t>- 6 -</w:t>
                </w:r>
                <w:r>
                  <w:rPr>
                    <w:rFonts w:ascii="宋体" w:hAnsi="宋体" w:cs="宋体"/>
                    <w:sz w:val="28"/>
                    <w:szCs w:val="40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51E"/>
    <w:rsid w:val="001B6F32"/>
    <w:rsid w:val="004D14DF"/>
    <w:rsid w:val="0072054B"/>
    <w:rsid w:val="0072223D"/>
    <w:rsid w:val="007411B1"/>
    <w:rsid w:val="00B32E34"/>
    <w:rsid w:val="00BF4819"/>
    <w:rsid w:val="00C329B9"/>
    <w:rsid w:val="00D16D74"/>
    <w:rsid w:val="00D76428"/>
    <w:rsid w:val="00DB370E"/>
    <w:rsid w:val="00E3551E"/>
    <w:rsid w:val="00FD4F57"/>
    <w:rsid w:val="013577C1"/>
    <w:rsid w:val="018F2306"/>
    <w:rsid w:val="025A0ECC"/>
    <w:rsid w:val="02607773"/>
    <w:rsid w:val="02676BC7"/>
    <w:rsid w:val="033D5900"/>
    <w:rsid w:val="038B5CCB"/>
    <w:rsid w:val="071427BB"/>
    <w:rsid w:val="073144A5"/>
    <w:rsid w:val="07A143C1"/>
    <w:rsid w:val="07A33ED5"/>
    <w:rsid w:val="0A267D59"/>
    <w:rsid w:val="0B163B28"/>
    <w:rsid w:val="0BAD32A3"/>
    <w:rsid w:val="0BCE6471"/>
    <w:rsid w:val="0BFE2189"/>
    <w:rsid w:val="0D57451F"/>
    <w:rsid w:val="0DD548D3"/>
    <w:rsid w:val="0FCD4DDF"/>
    <w:rsid w:val="11803D51"/>
    <w:rsid w:val="13C575AE"/>
    <w:rsid w:val="142C6533"/>
    <w:rsid w:val="14993C85"/>
    <w:rsid w:val="156355B5"/>
    <w:rsid w:val="1680142E"/>
    <w:rsid w:val="175A7434"/>
    <w:rsid w:val="19C87130"/>
    <w:rsid w:val="1A6745CB"/>
    <w:rsid w:val="1A6F6B61"/>
    <w:rsid w:val="1B156325"/>
    <w:rsid w:val="1B19713D"/>
    <w:rsid w:val="1C70742C"/>
    <w:rsid w:val="1CBD29FF"/>
    <w:rsid w:val="1D39233E"/>
    <w:rsid w:val="1E34784F"/>
    <w:rsid w:val="1EA57AD6"/>
    <w:rsid w:val="20AE2EAB"/>
    <w:rsid w:val="210173CD"/>
    <w:rsid w:val="21963DAD"/>
    <w:rsid w:val="22C81C38"/>
    <w:rsid w:val="231A7215"/>
    <w:rsid w:val="256C7BA7"/>
    <w:rsid w:val="26397607"/>
    <w:rsid w:val="26A671B6"/>
    <w:rsid w:val="283E1E76"/>
    <w:rsid w:val="286F7CD4"/>
    <w:rsid w:val="2B1D48A3"/>
    <w:rsid w:val="2B2472DB"/>
    <w:rsid w:val="2CF92F29"/>
    <w:rsid w:val="2D6929E2"/>
    <w:rsid w:val="2E8E24E8"/>
    <w:rsid w:val="2EB97EBE"/>
    <w:rsid w:val="30414888"/>
    <w:rsid w:val="31C80FEA"/>
    <w:rsid w:val="327A19D8"/>
    <w:rsid w:val="36C131AE"/>
    <w:rsid w:val="36C449AD"/>
    <w:rsid w:val="38D7694B"/>
    <w:rsid w:val="398E1D2F"/>
    <w:rsid w:val="3CA905D0"/>
    <w:rsid w:val="3D606885"/>
    <w:rsid w:val="3E4855E4"/>
    <w:rsid w:val="3E5F7B37"/>
    <w:rsid w:val="3F1247A2"/>
    <w:rsid w:val="409D58D5"/>
    <w:rsid w:val="41FD108F"/>
    <w:rsid w:val="434B4B2E"/>
    <w:rsid w:val="45C66285"/>
    <w:rsid w:val="46025522"/>
    <w:rsid w:val="461C0BBD"/>
    <w:rsid w:val="471201B1"/>
    <w:rsid w:val="47536BA4"/>
    <w:rsid w:val="476E4A56"/>
    <w:rsid w:val="484C04AA"/>
    <w:rsid w:val="487E28BF"/>
    <w:rsid w:val="49E03D55"/>
    <w:rsid w:val="4A892464"/>
    <w:rsid w:val="4CC95CA8"/>
    <w:rsid w:val="500A4387"/>
    <w:rsid w:val="517F3A61"/>
    <w:rsid w:val="53B11C5C"/>
    <w:rsid w:val="547E4366"/>
    <w:rsid w:val="55B55EFF"/>
    <w:rsid w:val="57EC3F37"/>
    <w:rsid w:val="5B265962"/>
    <w:rsid w:val="5BB9105C"/>
    <w:rsid w:val="5D2C7B99"/>
    <w:rsid w:val="5EDA03A7"/>
    <w:rsid w:val="5EE960BC"/>
    <w:rsid w:val="5FDC0C6D"/>
    <w:rsid w:val="5FEB6E05"/>
    <w:rsid w:val="608E3967"/>
    <w:rsid w:val="629952D4"/>
    <w:rsid w:val="62C24085"/>
    <w:rsid w:val="638072C5"/>
    <w:rsid w:val="63817391"/>
    <w:rsid w:val="643E0223"/>
    <w:rsid w:val="661A4FEB"/>
    <w:rsid w:val="66330904"/>
    <w:rsid w:val="68906550"/>
    <w:rsid w:val="68D86F94"/>
    <w:rsid w:val="69690887"/>
    <w:rsid w:val="69FE26BE"/>
    <w:rsid w:val="6B837FBE"/>
    <w:rsid w:val="6E5420D7"/>
    <w:rsid w:val="6FE05B10"/>
    <w:rsid w:val="72316344"/>
    <w:rsid w:val="728C65F9"/>
    <w:rsid w:val="72EA723E"/>
    <w:rsid w:val="73080F59"/>
    <w:rsid w:val="737366B4"/>
    <w:rsid w:val="741A239C"/>
    <w:rsid w:val="74486B85"/>
    <w:rsid w:val="75950F0D"/>
    <w:rsid w:val="75A8692C"/>
    <w:rsid w:val="76A34AA8"/>
    <w:rsid w:val="76FC4989"/>
    <w:rsid w:val="770B4F99"/>
    <w:rsid w:val="77CE3996"/>
    <w:rsid w:val="78092041"/>
    <w:rsid w:val="78560F0E"/>
    <w:rsid w:val="78CA366C"/>
    <w:rsid w:val="78CC4806"/>
    <w:rsid w:val="78D408EA"/>
    <w:rsid w:val="7BBB5013"/>
    <w:rsid w:val="7C0D126F"/>
    <w:rsid w:val="7EB27615"/>
    <w:rsid w:val="7ED13ECC"/>
    <w:rsid w:val="7F766F2F"/>
    <w:rsid w:val="7F97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qFormat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locked/>
    <w:uiPriority w:val="99"/>
    <w:pPr>
      <w:ind w:left="640" w:leftChars="200"/>
      <w:outlineLvl w:val="0"/>
    </w:pPr>
    <w:rPr>
      <w:rFonts w:ascii="Arial" w:hAnsi="Arial" w:eastAsia="仿宋_GB2312"/>
      <w:b/>
    </w:rPr>
  </w:style>
  <w:style w:type="paragraph" w:customStyle="1" w:styleId="3">
    <w:name w:val="Body Text Indent1"/>
    <w:basedOn w:val="1"/>
    <w:uiPriority w:val="99"/>
    <w:pPr>
      <w:ind w:left="420" w:leftChars="200"/>
    </w:pPr>
  </w:style>
  <w:style w:type="paragraph" w:styleId="6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9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Subtitle"/>
    <w:basedOn w:val="1"/>
    <w:next w:val="1"/>
    <w:link w:val="2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Strong"/>
    <w:basedOn w:val="12"/>
    <w:qFormat/>
    <w:uiPriority w:val="99"/>
    <w:rPr>
      <w:rFonts w:cs="Times New Roman"/>
      <w:b/>
      <w:bCs/>
    </w:rPr>
  </w:style>
  <w:style w:type="character" w:styleId="14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character" w:customStyle="1" w:styleId="15">
    <w:name w:val="Heading 1 Char"/>
    <w:basedOn w:val="12"/>
    <w:link w:val="4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6">
    <w:name w:val="Heading 2 Char"/>
    <w:basedOn w:val="12"/>
    <w:link w:val="5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Balloon Text Char"/>
    <w:basedOn w:val="12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Footer Char"/>
    <w:basedOn w:val="12"/>
    <w:link w:val="7"/>
    <w:semiHidden/>
    <w:qFormat/>
    <w:uiPriority w:val="99"/>
    <w:rPr>
      <w:rFonts w:ascii="Calibri" w:hAnsi="Calibri"/>
      <w:sz w:val="18"/>
      <w:szCs w:val="18"/>
    </w:rPr>
  </w:style>
  <w:style w:type="character" w:customStyle="1" w:styleId="19">
    <w:name w:val="Header Char"/>
    <w:basedOn w:val="12"/>
    <w:link w:val="8"/>
    <w:semiHidden/>
    <w:qFormat/>
    <w:uiPriority w:val="99"/>
    <w:rPr>
      <w:rFonts w:ascii="Calibri" w:hAnsi="Calibri"/>
      <w:sz w:val="18"/>
      <w:szCs w:val="18"/>
    </w:rPr>
  </w:style>
  <w:style w:type="character" w:customStyle="1" w:styleId="20">
    <w:name w:val="Subtitle Char"/>
    <w:basedOn w:val="12"/>
    <w:link w:val="9"/>
    <w:qFormat/>
    <w:locked/>
    <w:uiPriority w:val="99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21">
    <w:name w:val="western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2">
    <w:name w:val="txt_color"/>
    <w:basedOn w:val="12"/>
    <w:qFormat/>
    <w:uiPriority w:val="99"/>
    <w:rPr>
      <w:rFonts w:cs="Times New Roman"/>
    </w:rPr>
  </w:style>
  <w:style w:type="paragraph" w:styleId="23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列出段落1"/>
    <w:basedOn w:val="1"/>
    <w:qFormat/>
    <w:uiPriority w:val="99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MS</Company>
  <Pages>6</Pages>
  <Words>264</Words>
  <Characters>1506</Characters>
  <Lines>0</Lines>
  <Paragraphs>0</Paragraphs>
  <TotalTime>109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2019-10-21T07:38:00Z</dcterms:created>
  <dc:creator>USER-</dc:creator>
  <cp:lastModifiedBy>翻车鱼</cp:lastModifiedBy>
  <cp:lastPrinted>2020-04-20T06:50:00Z</cp:lastPrinted>
  <dcterms:modified xsi:type="dcterms:W3CDTF">2020-05-06T02:00:19Z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