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70" w:lineRule="exact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widowControl/>
        <w:spacing w:line="700" w:lineRule="exact"/>
        <w:jc w:val="center"/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</w:rPr>
        <w:t>2020</w:t>
      </w:r>
      <w:r>
        <w:rPr>
          <w:rFonts w:hint="eastAsia" w:ascii="Times New Roman" w:hAnsi="Times New Roman" w:eastAsia="方正小标宋简体"/>
          <w:sz w:val="44"/>
          <w:szCs w:val="44"/>
        </w:rPr>
        <w:t>年财政分局工作要点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Times New Roman" w:hAnsi="Times New Roman" w:eastAsia="微软雅黑"/>
          <w:sz w:val="24"/>
        </w:rPr>
      </w:pP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年是全面建成小康社会的决胜之年，是第一个百年目标的实现之年，也是全区重大项目强化攻坚年。今年我区</w:t>
      </w:r>
      <w:r>
        <w:rPr>
          <w:rFonts w:hint="eastAsia" w:ascii="Times New Roman" w:hAnsi="Times New Roman" w:eastAsia="楷体_GB2312"/>
          <w:b/>
          <w:sz w:val="32"/>
          <w:szCs w:val="32"/>
        </w:rPr>
        <w:t>基层财政工作的指导思想是</w:t>
      </w:r>
      <w:r>
        <w:rPr>
          <w:rFonts w:hint="eastAsia" w:ascii="Times New Roman" w:hAnsi="Times New Roman" w:eastAsia="仿宋_GB2312"/>
          <w:sz w:val="32"/>
          <w:szCs w:val="32"/>
        </w:rPr>
        <w:t>：以习近平新时代中国特色社会主义思想和党的十九大精神为指导，深入贯彻落实区委十届九次全会精神，坚持稳中有进工作总基调，积极发挥财政部门职能作用，统筹推进稳增长、促改革、调结构、惠民生、防风险各项工作，促进区域经济社会持续健康发展。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2020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年各财政分局要重点抓好以下六个方面工作：</w:t>
      </w:r>
    </w:p>
    <w:p>
      <w:pPr>
        <w:widowControl/>
        <w:shd w:val="clear" w:color="auto" w:fill="FFFFFF"/>
        <w:spacing w:line="570" w:lineRule="exact"/>
        <w:ind w:firstLine="640" w:firstLineChars="200"/>
        <w:jc w:val="left"/>
        <w:rPr>
          <w:rFonts w:ascii="Times New Roman" w:hAnsi="Times New Roman" w:eastAsia="微软雅黑"/>
          <w:sz w:val="24"/>
        </w:rPr>
      </w:pPr>
      <w:r>
        <w:rPr>
          <w:rFonts w:hint="eastAsia" w:ascii="Times New Roman" w:hAnsi="Times New Roman" w:eastAsia="黑体"/>
          <w:kern w:val="0"/>
          <w:sz w:val="32"/>
          <w:szCs w:val="32"/>
          <w:shd w:val="clear" w:color="auto" w:fill="FFFFFF"/>
        </w:rPr>
        <w:t>一、着力挖掘增收潜力，不断提高财政收入质量</w:t>
      </w:r>
    </w:p>
    <w:p>
      <w:pPr>
        <w:widowControl/>
        <w:shd w:val="clear" w:color="auto" w:fill="FFFFFF"/>
        <w:spacing w:line="570" w:lineRule="exact"/>
        <w:ind w:firstLine="643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 xml:space="preserve">1. 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>强化税源扶持，提升经济发展后劲。</w:t>
      </w:r>
      <w:r>
        <w:rPr>
          <w:rFonts w:hint="eastAsia" w:ascii="Times New Roman" w:hAnsi="Times New Roman" w:eastAsia="仿宋_GB2312"/>
          <w:bCs/>
          <w:sz w:val="32"/>
          <w:szCs w:val="32"/>
        </w:rPr>
        <w:t>以培植财源、壮大税基为目标，进一步加强主体税种、重点税源监控，落实重点企业走访机制，把握入库节奏，动态跟踪税收入库情况，密切关注经济形势和财税政策对本地区税收收入的影响，落实中央减税降费等积极财政政策。继续落实减税降费等降成本政策，持续加大科技、人才项目投入，重点支持创新载体平台建设，为税源经济发展营造良好的财税环境。</w:t>
      </w:r>
    </w:p>
    <w:p>
      <w:pPr>
        <w:widowControl/>
        <w:shd w:val="clear" w:color="auto" w:fill="FFFFFF"/>
        <w:spacing w:line="570" w:lineRule="exact"/>
        <w:ind w:firstLine="643" w:firstLineChars="200"/>
        <w:jc w:val="left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 xml:space="preserve">2. 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>强化协同治税，提升税收征管效能。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加强与税务、区级财政部门的联系，时刻关注税收进度，加大收入组织力度，增强组织收入的前瞻性和主动性，确保应收尽收。加强非税收入预算管理，规范收缴程序，充分挖掘本地区的非税收入来源，引导发挥街道税收代征点协税护税职能，在规范征收行为的同时做到应收尽收。</w:t>
      </w:r>
    </w:p>
    <w:p>
      <w:pPr>
        <w:widowControl/>
        <w:shd w:val="clear" w:color="auto" w:fill="FFFFFF"/>
        <w:spacing w:line="570" w:lineRule="exact"/>
        <w:ind w:firstLine="643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 xml:space="preserve">3. 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>强化调查研究，提升收入分析水平。</w:t>
      </w:r>
      <w:r>
        <w:rPr>
          <w:rFonts w:ascii="Times New Roman" w:hAnsi="Times New Roman" w:eastAsia="微软雅黑"/>
          <w:kern w:val="0"/>
          <w:sz w:val="24"/>
          <w:shd w:val="clear" w:color="auto" w:fill="FFFFFF"/>
        </w:rPr>
        <w:t> </w:t>
      </w:r>
      <w:r>
        <w:rPr>
          <w:rFonts w:hint="eastAsia" w:ascii="Times New Roman" w:hAnsi="Times New Roman" w:eastAsia="仿宋_GB2312"/>
          <w:bCs/>
          <w:sz w:val="32"/>
          <w:szCs w:val="32"/>
        </w:rPr>
        <w:t>加大调研力度，及时了解、深入分析</w:t>
      </w:r>
      <w:r>
        <w:rPr>
          <w:rFonts w:ascii="Times New Roman" w:hAnsi="Times New Roman" w:eastAsia="仿宋_GB2312"/>
          <w:bCs/>
          <w:sz w:val="32"/>
          <w:szCs w:val="32"/>
        </w:rPr>
        <w:t>“</w:t>
      </w:r>
      <w:r>
        <w:rPr>
          <w:rFonts w:hint="eastAsia" w:ascii="Times New Roman" w:hAnsi="Times New Roman" w:eastAsia="仿宋_GB2312"/>
          <w:bCs/>
          <w:sz w:val="32"/>
          <w:szCs w:val="32"/>
        </w:rPr>
        <w:t>营改增</w:t>
      </w:r>
      <w:r>
        <w:rPr>
          <w:rFonts w:ascii="Times New Roman" w:hAnsi="Times New Roman" w:eastAsia="仿宋_GB2312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/>
          <w:bCs/>
          <w:sz w:val="32"/>
          <w:szCs w:val="32"/>
        </w:rPr>
        <w:t>后主体税种税收征管面临的新情况、新问题，加强建筑、房地产、金融保险等行业的税收管理。科学制定收入计划，加强收入分析，强化对辖区内重点税源企业、成长型企业、外地企业、</w:t>
      </w:r>
      <w:r>
        <w:rPr>
          <w:rFonts w:ascii="Times New Roman" w:hAnsi="Times New Roman" w:eastAsia="仿宋_GB2312"/>
          <w:bCs/>
          <w:sz w:val="32"/>
          <w:szCs w:val="32"/>
        </w:rPr>
        <w:t>“</w:t>
      </w:r>
      <w:r>
        <w:rPr>
          <w:rFonts w:hint="eastAsia" w:ascii="Times New Roman" w:hAnsi="Times New Roman" w:eastAsia="仿宋_GB2312"/>
          <w:bCs/>
          <w:sz w:val="32"/>
          <w:szCs w:val="32"/>
        </w:rPr>
        <w:t>双零</w:t>
      </w:r>
      <w:r>
        <w:rPr>
          <w:rFonts w:ascii="Times New Roman" w:hAnsi="Times New Roman" w:eastAsia="仿宋_GB2312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企业和关联企业的梳理排查和分析，掌握企业的生产经营、用工用地、用电用水及销售纳税等基本情况，逐一排查，抓住重点，分类处置，全面堵漏补遗，做到颗粒归仓。</w:t>
      </w:r>
    </w:p>
    <w:p>
      <w:pPr>
        <w:widowControl/>
        <w:shd w:val="clear" w:color="auto" w:fill="FFFFFF"/>
        <w:spacing w:line="570" w:lineRule="exact"/>
        <w:ind w:firstLine="640" w:firstLineChars="200"/>
        <w:jc w:val="left"/>
        <w:rPr>
          <w:rFonts w:ascii="Times New Roman" w:hAnsi="Times New Roman" w:eastAsia="微软雅黑"/>
          <w:sz w:val="24"/>
        </w:rPr>
      </w:pPr>
      <w:r>
        <w:rPr>
          <w:rFonts w:hint="eastAsia" w:ascii="Times New Roman" w:hAnsi="Times New Roman" w:eastAsia="黑体"/>
          <w:kern w:val="0"/>
          <w:sz w:val="32"/>
          <w:szCs w:val="32"/>
          <w:shd w:val="clear" w:color="auto" w:fill="FFFFFF"/>
        </w:rPr>
        <w:t>二、着力优化支出结构，不断增强财政保障能力</w:t>
      </w:r>
    </w:p>
    <w:p>
      <w:pPr>
        <w:widowControl/>
        <w:shd w:val="clear" w:color="auto" w:fill="FFFFFF"/>
        <w:spacing w:line="570" w:lineRule="exact"/>
        <w:ind w:firstLine="643" w:firstLineChars="200"/>
        <w:jc w:val="left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>1. 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>坚持零基预算，大力压缩一般支出。</w:t>
      </w:r>
      <w:r>
        <w:rPr>
          <w:rFonts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Times New Roman" w:hAnsi="Times New Roman" w:eastAsia="仿宋_GB2312"/>
          <w:bCs/>
          <w:sz w:val="32"/>
          <w:szCs w:val="32"/>
        </w:rPr>
        <w:t>完善预算编制口径。加强地方一般公共预算、国有资本经营预算、政府性基金预算等组成的政府预算体系，不断改进和加强全同步预算编制、全口径预算收支和全覆盖预算管理。高度重视部门预算编制、执行和公开工作，规范编制和追加预算程序，制定合理的预算定额标准，细化项目预算，强化部门预算执行和监督，维护部门预算的严肃性。按照零基预算编制要求，强化预算编制的硬约束，从严控制预算追加和支出事项调整。充分发挥预算执行、</w:t>
      </w:r>
      <w:r>
        <w:rPr>
          <w:rFonts w:ascii="Times New Roman" w:hAnsi="Times New Roman" w:eastAsia="仿宋_GB2312"/>
          <w:bCs/>
          <w:sz w:val="32"/>
          <w:szCs w:val="32"/>
        </w:rPr>
        <w:t>“</w:t>
      </w:r>
      <w:r>
        <w:rPr>
          <w:rFonts w:hint="eastAsia" w:ascii="Times New Roman" w:hAnsi="Times New Roman" w:eastAsia="仿宋_GB2312"/>
          <w:bCs/>
          <w:sz w:val="32"/>
          <w:szCs w:val="32"/>
        </w:rPr>
        <w:t>一折通</w:t>
      </w:r>
      <w:r>
        <w:rPr>
          <w:rFonts w:ascii="Times New Roman" w:hAnsi="Times New Roman" w:eastAsia="仿宋_GB2312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/>
          <w:bCs/>
          <w:sz w:val="32"/>
          <w:szCs w:val="32"/>
        </w:rPr>
        <w:t>、资金就地就近监管、预算执行实时监控等系统作用，合理、合规保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持支出进度，按月上报支出进度。配合区级财政部门做好本区域内相关的预决算公开工作。</w:t>
      </w:r>
    </w:p>
    <w:p>
      <w:pPr>
        <w:widowControl/>
        <w:shd w:val="clear" w:color="auto" w:fill="FFFFFF"/>
        <w:spacing w:line="570" w:lineRule="exact"/>
        <w:ind w:firstLine="643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 xml:space="preserve">2. 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>坚持绩效管理，发挥财监效能。</w:t>
      </w:r>
      <w:r>
        <w:rPr>
          <w:rFonts w:hint="eastAsia" w:ascii="Times New Roman" w:hAnsi="Times New Roman" w:eastAsia="仿宋_GB2312"/>
          <w:bCs/>
          <w:sz w:val="32"/>
          <w:szCs w:val="32"/>
        </w:rPr>
        <w:t>健全预算安排与执行进度、财政监督检查和绩效评价结果挂钩机制，整合取消低效无效项目资金。不断盘活财政存量资金，有效推进财政资金统筹使用，确保</w:t>
      </w:r>
      <w:r>
        <w:rPr>
          <w:rFonts w:ascii="Times New Roman" w:hAnsi="Times New Roman" w:eastAsia="仿宋_GB2312"/>
          <w:bCs/>
          <w:sz w:val="32"/>
          <w:szCs w:val="32"/>
        </w:rPr>
        <w:t>“</w:t>
      </w:r>
      <w:r>
        <w:rPr>
          <w:rFonts w:hint="eastAsia" w:ascii="Times New Roman" w:hAnsi="Times New Roman" w:eastAsia="仿宋_GB2312"/>
          <w:bCs/>
          <w:sz w:val="32"/>
          <w:szCs w:val="32"/>
        </w:rPr>
        <w:t>保工资、保运转</w:t>
      </w:r>
      <w:r>
        <w:rPr>
          <w:rFonts w:ascii="Times New Roman" w:hAnsi="Times New Roman" w:eastAsia="仿宋_GB2312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/>
          <w:bCs/>
          <w:sz w:val="32"/>
          <w:szCs w:val="32"/>
        </w:rPr>
        <w:t>支出及时到位。实施全面绩效监管。强化绩效管理的主体责任意识，研究制定考核办法，强化资金管理，实行</w:t>
      </w:r>
      <w:r>
        <w:rPr>
          <w:rFonts w:ascii="Times New Roman" w:hAnsi="Times New Roman" w:eastAsia="仿宋_GB2312"/>
          <w:bCs/>
          <w:sz w:val="32"/>
          <w:szCs w:val="32"/>
        </w:rPr>
        <w:t>“</w:t>
      </w:r>
      <w:r>
        <w:rPr>
          <w:rFonts w:hint="eastAsia" w:ascii="Times New Roman" w:hAnsi="Times New Roman" w:eastAsia="仿宋_GB2312"/>
          <w:bCs/>
          <w:sz w:val="32"/>
          <w:szCs w:val="32"/>
        </w:rPr>
        <w:t>大专项</w:t>
      </w:r>
      <w:r>
        <w:rPr>
          <w:rFonts w:ascii="Times New Roman" w:hAnsi="Times New Roman" w:eastAsia="仿宋_GB2312"/>
          <w:bCs/>
          <w:sz w:val="32"/>
          <w:szCs w:val="32"/>
        </w:rPr>
        <w:t>+</w:t>
      </w:r>
      <w:r>
        <w:rPr>
          <w:rFonts w:hint="eastAsia" w:ascii="Times New Roman" w:hAnsi="Times New Roman" w:eastAsia="仿宋_GB2312"/>
          <w:bCs/>
          <w:sz w:val="32"/>
          <w:szCs w:val="32"/>
        </w:rPr>
        <w:t>任务清单</w:t>
      </w:r>
      <w:r>
        <w:rPr>
          <w:rFonts w:ascii="Times New Roman" w:hAnsi="Times New Roman" w:eastAsia="仿宋_GB2312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/>
          <w:bCs/>
          <w:sz w:val="32"/>
          <w:szCs w:val="32"/>
        </w:rPr>
        <w:t>管理模式，利用好常州市</w:t>
      </w:r>
      <w:r>
        <w:rPr>
          <w:rFonts w:ascii="Times New Roman" w:hAnsi="Times New Roman" w:eastAsia="仿宋_GB2312"/>
          <w:bCs/>
          <w:sz w:val="32"/>
          <w:szCs w:val="32"/>
        </w:rPr>
        <w:t>“</w:t>
      </w:r>
      <w:r>
        <w:rPr>
          <w:rFonts w:hint="eastAsia" w:ascii="Times New Roman" w:hAnsi="Times New Roman" w:eastAsia="仿宋_GB2312"/>
          <w:bCs/>
          <w:sz w:val="32"/>
          <w:szCs w:val="32"/>
        </w:rPr>
        <w:t>三农</w:t>
      </w:r>
      <w:r>
        <w:rPr>
          <w:rFonts w:ascii="Times New Roman" w:hAnsi="Times New Roman" w:eastAsia="仿宋_GB2312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/>
          <w:bCs/>
          <w:sz w:val="32"/>
          <w:szCs w:val="32"/>
        </w:rPr>
        <w:t>项目管理平台、</w:t>
      </w:r>
      <w:r>
        <w:rPr>
          <w:rFonts w:ascii="Times New Roman" w:hAnsi="Times New Roman" w:eastAsia="仿宋_GB2312"/>
          <w:bCs/>
          <w:sz w:val="32"/>
          <w:szCs w:val="32"/>
        </w:rPr>
        <w:t>“</w:t>
      </w:r>
      <w:r>
        <w:rPr>
          <w:rFonts w:hint="eastAsia" w:ascii="Times New Roman" w:hAnsi="Times New Roman" w:eastAsia="仿宋_GB2312"/>
          <w:bCs/>
          <w:sz w:val="32"/>
          <w:szCs w:val="32"/>
        </w:rPr>
        <w:t>一折通</w:t>
      </w:r>
      <w:r>
        <w:rPr>
          <w:rFonts w:ascii="Times New Roman" w:hAnsi="Times New Roman" w:eastAsia="仿宋_GB2312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/>
          <w:bCs/>
          <w:sz w:val="32"/>
          <w:szCs w:val="32"/>
        </w:rPr>
        <w:t>系统、资金就地就近监管系统，进一步落实基层财政就地就近县乡联动监管工作。财政资金的监管是各分局的一项重要职能。除在财政资金监管系统中按季上报财政资金就地就近监管台帐外，各分局应指派专人将监管行动落到实处。按照《江苏省财政监督检查条例》和《</w:t>
      </w:r>
      <w:r>
        <w:rPr>
          <w:rFonts w:ascii="Times New Roman" w:hAnsi="Times New Roman" w:eastAsia="仿宋_GB2312"/>
          <w:bCs/>
          <w:sz w:val="32"/>
          <w:szCs w:val="32"/>
        </w:rPr>
        <w:t>2020</w:t>
      </w:r>
      <w:r>
        <w:rPr>
          <w:rFonts w:hint="eastAsia" w:ascii="Times New Roman" w:hAnsi="Times New Roman" w:eastAsia="仿宋_GB2312"/>
          <w:bCs/>
          <w:sz w:val="32"/>
          <w:szCs w:val="32"/>
        </w:rPr>
        <w:t>年钟楼区财政监督检查计划》的有关要求，做好分局的自查、互查，加强对个人和家庭补助资金、项目资金的抽巡查力度，强化基本支出的监管。按照</w:t>
      </w:r>
      <w:r>
        <w:rPr>
          <w:rFonts w:ascii="Times New Roman" w:hAnsi="Times New Roman" w:eastAsia="仿宋_GB2312"/>
          <w:bCs/>
          <w:sz w:val="32"/>
          <w:szCs w:val="32"/>
        </w:rPr>
        <w:t>“</w:t>
      </w:r>
      <w:r>
        <w:rPr>
          <w:rFonts w:hint="eastAsia" w:ascii="Times New Roman" w:hAnsi="Times New Roman" w:eastAsia="仿宋_GB2312"/>
          <w:bCs/>
          <w:sz w:val="32"/>
          <w:szCs w:val="32"/>
        </w:rPr>
        <w:t>三资三化</w:t>
      </w:r>
      <w:r>
        <w:rPr>
          <w:rFonts w:ascii="Times New Roman" w:hAnsi="Times New Roman" w:eastAsia="仿宋_GB2312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/>
          <w:bCs/>
          <w:sz w:val="32"/>
          <w:szCs w:val="32"/>
        </w:rPr>
        <w:t>相关要求，做好村级资金监管。防疏堵漏，确保财政资金的安全。强化政府采购工作管理，严格执行《常州市</w:t>
      </w:r>
      <w:r>
        <w:rPr>
          <w:rFonts w:ascii="Times New Roman" w:hAnsi="Times New Roman" w:eastAsia="仿宋_GB2312"/>
          <w:bCs/>
          <w:sz w:val="32"/>
          <w:szCs w:val="32"/>
        </w:rPr>
        <w:t>2019-2020</w:t>
      </w:r>
      <w:r>
        <w:rPr>
          <w:rFonts w:hint="eastAsia" w:ascii="Times New Roman" w:hAnsi="Times New Roman" w:eastAsia="仿宋_GB2312"/>
          <w:bCs/>
          <w:sz w:val="32"/>
          <w:szCs w:val="32"/>
        </w:rPr>
        <w:t>年政府采购目录及标准》及相关文件要求，认真编制年度政府采购预算及月度采购计划，按法定程序履行政府采购审批手续，依法合规执行政府采购。强化采购单位主体责任意识，加强单位内部控制，规范内部采购流程，促进政府采购制度化和规范化管理。</w:t>
      </w:r>
    </w:p>
    <w:p>
      <w:pPr>
        <w:widowControl/>
        <w:shd w:val="clear" w:color="auto" w:fill="FFFFFF"/>
        <w:spacing w:line="570" w:lineRule="exact"/>
        <w:ind w:firstLine="643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>3. 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>坚持共享发展，持续推进民生改善。</w:t>
      </w:r>
      <w:r>
        <w:rPr>
          <w:rFonts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Times New Roman" w:hAnsi="Times New Roman" w:eastAsia="仿宋_GB2312"/>
          <w:bCs/>
          <w:sz w:val="32"/>
          <w:szCs w:val="32"/>
        </w:rPr>
        <w:t>各财政分局应当坚持共享发展理念，统筹整合财政资金，保障城乡困难群体、部分重点优抚对象生活保障等重点产业、重点领域支出所需，贯彻落实教育、卫生经费保障机制，加大财政资金投入，落实相关扶持政策，提高医疗卫生均等度，促进优质教育均衡化。落实惠农政策，宣传农业保险政策，用好用活</w:t>
      </w:r>
      <w:r>
        <w:rPr>
          <w:rFonts w:ascii="Times New Roman" w:hAnsi="Times New Roman" w:eastAsia="仿宋_GB2312"/>
          <w:bCs/>
          <w:sz w:val="32"/>
          <w:szCs w:val="32"/>
        </w:rPr>
        <w:t>“</w:t>
      </w:r>
      <w:r>
        <w:rPr>
          <w:rFonts w:hint="eastAsia" w:ascii="Times New Roman" w:hAnsi="Times New Roman" w:eastAsia="仿宋_GB2312"/>
          <w:bCs/>
          <w:sz w:val="32"/>
          <w:szCs w:val="32"/>
        </w:rPr>
        <w:t>一事一议</w:t>
      </w:r>
      <w:r>
        <w:rPr>
          <w:rFonts w:ascii="Times New Roman" w:hAnsi="Times New Roman" w:eastAsia="仿宋_GB2312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/>
          <w:bCs/>
          <w:sz w:val="32"/>
          <w:szCs w:val="32"/>
        </w:rPr>
        <w:t>等各级财政支农惠农资金和农口各监管平台，为农村建设做实事。贯彻落实乡村振兴相关政策，及时发放各类支农惠农补贴。深入开展</w:t>
      </w:r>
      <w:r>
        <w:rPr>
          <w:rFonts w:ascii="Times New Roman" w:hAnsi="Times New Roman" w:eastAsia="仿宋_GB2312"/>
          <w:bCs/>
          <w:sz w:val="32"/>
          <w:szCs w:val="32"/>
        </w:rPr>
        <w:t>“</w:t>
      </w:r>
      <w:r>
        <w:rPr>
          <w:rFonts w:hint="eastAsia" w:ascii="Times New Roman" w:hAnsi="Times New Roman" w:eastAsia="仿宋_GB2312"/>
          <w:bCs/>
          <w:sz w:val="32"/>
          <w:szCs w:val="32"/>
        </w:rPr>
        <w:t>阳光扶贫</w:t>
      </w:r>
      <w:r>
        <w:rPr>
          <w:rFonts w:ascii="Times New Roman" w:hAnsi="Times New Roman" w:eastAsia="仿宋_GB2312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/>
          <w:bCs/>
          <w:sz w:val="32"/>
          <w:szCs w:val="32"/>
        </w:rPr>
        <w:t>工作，加大扶贫投入，尤其是邹区财政分局，加大对低收入建档立卡户和经济薄弱村的政策倾斜，坚决打赢精准脱贫攻坚战。</w:t>
      </w:r>
    </w:p>
    <w:p>
      <w:pPr>
        <w:widowControl/>
        <w:shd w:val="clear" w:color="auto" w:fill="FFFFFF"/>
        <w:spacing w:line="570" w:lineRule="exact"/>
        <w:ind w:firstLine="640" w:firstLineChars="200"/>
        <w:jc w:val="left"/>
        <w:rPr>
          <w:rFonts w:ascii="Times New Roman" w:hAnsi="Times New Roman" w:eastAsia="微软雅黑"/>
          <w:sz w:val="24"/>
        </w:rPr>
      </w:pPr>
      <w:r>
        <w:rPr>
          <w:rFonts w:hint="eastAsia" w:ascii="Times New Roman" w:hAnsi="Times New Roman" w:eastAsia="黑体"/>
          <w:kern w:val="0"/>
          <w:sz w:val="32"/>
          <w:szCs w:val="32"/>
          <w:shd w:val="clear" w:color="auto" w:fill="FFFFFF"/>
        </w:rPr>
        <w:t>三、着力管控政府债务，不断夯实风险防范基础</w:t>
      </w:r>
    </w:p>
    <w:p>
      <w:pPr>
        <w:widowControl/>
        <w:shd w:val="clear" w:color="auto" w:fill="FFFFFF"/>
        <w:spacing w:line="570" w:lineRule="exact"/>
        <w:ind w:firstLine="643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 xml:space="preserve">1. 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>提升资产效益。</w:t>
      </w:r>
      <w:r>
        <w:rPr>
          <w:rFonts w:hint="eastAsia" w:ascii="Times New Roman" w:hAnsi="Times New Roman" w:eastAsia="仿宋_GB2312"/>
          <w:bCs/>
          <w:sz w:val="32"/>
          <w:szCs w:val="32"/>
        </w:rPr>
        <w:t>贯彻落实国有资产管理规定，依托新上线资产云系统，加强全区行政事业单位资产动态监管，盘活存量国有资产，降低资产闲置率，提高资产出租率，实现国有资产保值增值。落实区委区政府国资国企整合实施意见，督促街道抓紧完成科技街集团剩余</w:t>
      </w:r>
      <w:r>
        <w:rPr>
          <w:rFonts w:ascii="Times New Roman" w:hAnsi="Times New Roman" w:eastAsia="仿宋_GB2312"/>
          <w:bCs/>
          <w:sz w:val="32"/>
          <w:szCs w:val="32"/>
        </w:rPr>
        <w:t>17</w:t>
      </w:r>
      <w:r>
        <w:rPr>
          <w:rFonts w:hint="eastAsia" w:ascii="Times New Roman" w:hAnsi="Times New Roman" w:eastAsia="仿宋_GB2312"/>
          <w:bCs/>
          <w:sz w:val="32"/>
          <w:szCs w:val="32"/>
        </w:rPr>
        <w:t>家国企整合并有序推进开发区（镇）街道所属国企合并注销工作。做好区行政事业单位国有经营性资产注入国企工作，增加国企资产，壮大国企实力。开展防范区属国企运营管理风险督查，督促开发区、镇、街道建立健全国资国企管理体系，制定国资国企监管实施方案，加大监督力度，防范运管风险，增强抗险能力，实现国企经济和社会效益双提升。</w:t>
      </w:r>
    </w:p>
    <w:p>
      <w:pPr>
        <w:widowControl/>
        <w:shd w:val="clear" w:color="auto" w:fill="FFFFFF"/>
        <w:spacing w:line="570" w:lineRule="exact"/>
        <w:ind w:firstLine="643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 xml:space="preserve">2. 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>防范债务风险。</w:t>
      </w:r>
      <w:r>
        <w:rPr>
          <w:rFonts w:hint="eastAsia" w:ascii="Times New Roman" w:hAnsi="Times New Roman" w:eastAsia="仿宋_GB2312"/>
          <w:bCs/>
          <w:sz w:val="32"/>
          <w:szCs w:val="32"/>
        </w:rPr>
        <w:t>一是紧盯全区</w:t>
      </w:r>
      <w:r>
        <w:rPr>
          <w:rFonts w:ascii="Times New Roman" w:hAnsi="Times New Roman" w:eastAsia="仿宋_GB2312"/>
          <w:bCs/>
          <w:sz w:val="32"/>
          <w:szCs w:val="32"/>
        </w:rPr>
        <w:t>14.48</w:t>
      </w:r>
      <w:r>
        <w:rPr>
          <w:rFonts w:hint="eastAsia" w:ascii="Times New Roman" w:hAnsi="Times New Roman" w:eastAsia="仿宋_GB2312"/>
          <w:bCs/>
          <w:sz w:val="32"/>
          <w:szCs w:val="32"/>
        </w:rPr>
        <w:t>亿化债目标任务，多渠道汇聚化债资金，科学合理谋划，做实做细化债方案，不折不扣完成年度化债任务，有效控制债务规模；二是强化债务监管系统结果分析运用，有效发挥其实时监测、分析比对、风险预警等功能，为防范化解隐性债务风险提供决策依据；三是立足“</w:t>
      </w:r>
      <w:r>
        <w:rPr>
          <w:rFonts w:ascii="Times New Roman" w:hAnsi="Times New Roman" w:eastAsia="仿宋_GB2312"/>
          <w:bCs/>
          <w:sz w:val="32"/>
          <w:szCs w:val="32"/>
        </w:rPr>
        <w:t>2020</w:t>
      </w:r>
      <w:r>
        <w:rPr>
          <w:rFonts w:hint="eastAsia" w:ascii="Times New Roman" w:hAnsi="Times New Roman" w:eastAsia="仿宋_GB2312"/>
          <w:bCs/>
          <w:sz w:val="32"/>
          <w:szCs w:val="32"/>
        </w:rPr>
        <w:t>成本控制年”，对标上级部门关于加强政府性债务融资成本管控的实施细则，清理高成本债务，限制使用非标类融资手段，有效压降债务成本。</w:t>
      </w:r>
    </w:p>
    <w:p>
      <w:pPr>
        <w:widowControl/>
        <w:shd w:val="clear" w:color="auto" w:fill="FFFFFF"/>
        <w:spacing w:line="570" w:lineRule="exact"/>
        <w:ind w:firstLine="643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 xml:space="preserve">3. 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>规范政府债券使用。</w:t>
      </w:r>
      <w:r>
        <w:rPr>
          <w:rFonts w:hint="eastAsia" w:ascii="Times New Roman" w:hAnsi="Times New Roman" w:eastAsia="仿宋_GB2312"/>
          <w:bCs/>
          <w:sz w:val="32"/>
          <w:szCs w:val="32"/>
        </w:rPr>
        <w:t>抢抓</w:t>
      </w:r>
      <w:r>
        <w:rPr>
          <w:rFonts w:ascii="Times New Roman" w:hAnsi="Times New Roman" w:eastAsia="仿宋_GB2312"/>
          <w:bCs/>
          <w:sz w:val="32"/>
          <w:szCs w:val="32"/>
        </w:rPr>
        <w:t>2020</w:t>
      </w:r>
      <w:r>
        <w:rPr>
          <w:rFonts w:hint="eastAsia" w:ascii="Times New Roman" w:hAnsi="Times New Roman" w:eastAsia="仿宋_GB2312"/>
          <w:bCs/>
          <w:sz w:val="32"/>
          <w:szCs w:val="32"/>
        </w:rPr>
        <w:t>年扩大内需机遇，梳理本地区政府性投资项目需求，做好专项债资金平衡方案，积极组织债券申报。同时，严格按照上级部门要求，加快已落地债券资金拨付进程，做到债券资金支出季报制。完善支出台账管理和账务处理，杜绝挪用债券，达成合法合规使用。</w:t>
      </w:r>
    </w:p>
    <w:p>
      <w:pPr>
        <w:widowControl/>
        <w:shd w:val="clear" w:color="auto" w:fill="FFFFFF"/>
        <w:spacing w:line="570" w:lineRule="exact"/>
        <w:ind w:firstLine="640" w:firstLineChars="200"/>
        <w:jc w:val="left"/>
        <w:rPr>
          <w:rFonts w:ascii="Times New Roman" w:hAnsi="Times New Roman" w:eastAsia="微软雅黑"/>
          <w:sz w:val="24"/>
        </w:rPr>
      </w:pPr>
      <w:r>
        <w:rPr>
          <w:rFonts w:hint="eastAsia" w:ascii="Times New Roman" w:hAnsi="Times New Roman" w:eastAsia="黑体"/>
          <w:kern w:val="0"/>
          <w:sz w:val="32"/>
          <w:szCs w:val="32"/>
          <w:shd w:val="clear" w:color="auto" w:fill="FFFFFF"/>
        </w:rPr>
        <w:t>四、提高站位抓党建，正风肃纪提效能</w:t>
      </w:r>
    </w:p>
    <w:p>
      <w:pPr>
        <w:spacing w:line="57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 xml:space="preserve">1. 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>落实全面从严治党主体责任。</w:t>
      </w:r>
      <w:r>
        <w:rPr>
          <w:rFonts w:hint="eastAsia" w:ascii="Times New Roman" w:hAnsi="Times New Roman" w:eastAsia="仿宋_GB2312"/>
          <w:bCs/>
          <w:sz w:val="32"/>
          <w:szCs w:val="32"/>
        </w:rPr>
        <w:t>加强作风和党风廉政建设，</w:t>
      </w:r>
      <w:r>
        <w:rPr>
          <w:rFonts w:hint="eastAsia" w:ascii="Times New Roman" w:hAnsi="Times New Roman" w:eastAsia="仿宋_GB2312"/>
          <w:sz w:val="32"/>
          <w:szCs w:val="32"/>
        </w:rPr>
        <w:t>认真贯彻习近平新时代中国特色社会主义思想，深入落实中央八项规定精神，持之以恒纠正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四风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，加快推进作风建设常态化，深入整治形式主义、官僚主义，加强对党员干部的教育监督管理，严格执行党风廉政建设责任制和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一岗双责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制度。按照建设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法治财政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的要求，认真落实行政执法责任制相关规定，坚持依法行政、依法理财。</w:t>
      </w:r>
    </w:p>
    <w:p>
      <w:pPr>
        <w:spacing w:line="57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 xml:space="preserve">2. 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>注重学习调研和内部制度建设。</w:t>
      </w:r>
      <w:r>
        <w:rPr>
          <w:rFonts w:hint="eastAsia" w:ascii="Times New Roman" w:hAnsi="Times New Roman" w:eastAsia="仿宋_GB2312"/>
          <w:bCs/>
          <w:sz w:val="32"/>
          <w:szCs w:val="32"/>
        </w:rPr>
        <w:t>落实内部学习制度。在参加本级政府和条线组织的各类培训的基础上，制定学习计划，合理安排学习时间、人数、方式，针对现行政策法规有重点地进行集中学习，如现行的预决算公开规定、政府债务管理相关文件、政府采购规章、《江苏省财政监督检查条例》以及其他相关财经法规、财政业务等方面的内容，以满足将来可能的岗位轮换和首问负责制的需要，推进能力建设和</w:t>
      </w:r>
      <w:r>
        <w:rPr>
          <w:rFonts w:ascii="Times New Roman" w:hAnsi="Times New Roman" w:eastAsia="仿宋_GB2312"/>
          <w:bCs/>
          <w:sz w:val="32"/>
          <w:szCs w:val="32"/>
        </w:rPr>
        <w:t>“</w:t>
      </w:r>
      <w:r>
        <w:rPr>
          <w:rFonts w:hint="eastAsia" w:ascii="Times New Roman" w:hAnsi="Times New Roman" w:eastAsia="仿宋_GB2312"/>
          <w:bCs/>
          <w:sz w:val="32"/>
          <w:szCs w:val="32"/>
        </w:rPr>
        <w:t>学习型</w:t>
      </w:r>
      <w:r>
        <w:rPr>
          <w:rFonts w:ascii="Times New Roman" w:hAnsi="Times New Roman" w:eastAsia="仿宋_GB2312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/>
          <w:bCs/>
          <w:sz w:val="32"/>
          <w:szCs w:val="32"/>
        </w:rPr>
        <w:t>机关建设。</w:t>
      </w:r>
    </w:p>
    <w:p>
      <w:pPr>
        <w:spacing w:line="570" w:lineRule="exact"/>
        <w:ind w:firstLine="643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 xml:space="preserve">3. 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>加强调查研究。</w:t>
      </w:r>
      <w:r>
        <w:rPr>
          <w:rFonts w:hint="eastAsia" w:ascii="Times New Roman" w:hAnsi="Times New Roman" w:eastAsia="仿宋_GB2312"/>
          <w:bCs/>
          <w:sz w:val="32"/>
          <w:szCs w:val="32"/>
        </w:rPr>
        <w:t>着眼当前宏观经济环境和十九大以来新的政策风向，围绕地方财政工作和农村工作的重点、难点，扎实开展调研，寻找问题，解决问题。各分局间互相交流学习，集思广益，取长补短，争取拿出高质量的调研文章供领导作为决策参考。</w:t>
      </w:r>
    </w:p>
    <w:p>
      <w:pPr>
        <w:spacing w:line="570" w:lineRule="exact"/>
        <w:ind w:firstLine="643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 xml:space="preserve">4. 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shd w:val="clear" w:color="auto" w:fill="FFFFFF"/>
        </w:rPr>
        <w:t>强化分局制度化建设。</w:t>
      </w:r>
      <w:r>
        <w:rPr>
          <w:rFonts w:hint="eastAsia" w:ascii="Times New Roman" w:hAnsi="Times New Roman" w:eastAsia="仿宋_GB2312"/>
          <w:bCs/>
          <w:sz w:val="32"/>
          <w:szCs w:val="32"/>
        </w:rPr>
        <w:t>研究制定强化财政管理、加强资金运行监管的相关制度，加强内部监督，落实分局内控管理，继续推进新闸财政分局日常业务流程建设试点工作，完善全区基层财政分局规范化标准建设，进而逐步推广，完善内控制度，落实科室化管理，创造条件合理安排人员岗位和办公场所，进一步细化各自工作范围，明确工作职责，提高财政部门运转效率。严格执行内审自查制度，拓展自查工作开展形式，加强基层财政内部管控。</w:t>
      </w:r>
    </w:p>
    <w:p>
      <w:pPr>
        <w:spacing w:line="570" w:lineRule="exact"/>
        <w:ind w:firstLine="420" w:firstLineChars="200"/>
        <w:rPr>
          <w:rFonts w:ascii="Times New Roman" w:hAnsi="Times New Roman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5" w:left="1531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- 8 -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A8F078F"/>
    <w:rsid w:val="000D3260"/>
    <w:rsid w:val="000D35FF"/>
    <w:rsid w:val="00120952"/>
    <w:rsid w:val="001A5910"/>
    <w:rsid w:val="002B65E3"/>
    <w:rsid w:val="0039244C"/>
    <w:rsid w:val="00490BD3"/>
    <w:rsid w:val="00584E2B"/>
    <w:rsid w:val="00A253B2"/>
    <w:rsid w:val="00B006A1"/>
    <w:rsid w:val="00B33304"/>
    <w:rsid w:val="00BC1247"/>
    <w:rsid w:val="00BF4819"/>
    <w:rsid w:val="00CD21AC"/>
    <w:rsid w:val="00D313D0"/>
    <w:rsid w:val="00DB60C8"/>
    <w:rsid w:val="00DC3C52"/>
    <w:rsid w:val="00F20F27"/>
    <w:rsid w:val="00FD298E"/>
    <w:rsid w:val="045344F9"/>
    <w:rsid w:val="045B0E7C"/>
    <w:rsid w:val="04DE2EEA"/>
    <w:rsid w:val="069F0AA4"/>
    <w:rsid w:val="074F4B66"/>
    <w:rsid w:val="083121BA"/>
    <w:rsid w:val="09E7212E"/>
    <w:rsid w:val="0A8F078F"/>
    <w:rsid w:val="12FC3713"/>
    <w:rsid w:val="146E1199"/>
    <w:rsid w:val="156240AE"/>
    <w:rsid w:val="158703EF"/>
    <w:rsid w:val="1C940707"/>
    <w:rsid w:val="1D172793"/>
    <w:rsid w:val="1D235C12"/>
    <w:rsid w:val="1FC56F42"/>
    <w:rsid w:val="239A1E5B"/>
    <w:rsid w:val="26C034CE"/>
    <w:rsid w:val="2D224116"/>
    <w:rsid w:val="2E080FC3"/>
    <w:rsid w:val="35446463"/>
    <w:rsid w:val="37E811C3"/>
    <w:rsid w:val="38D134C9"/>
    <w:rsid w:val="3B141520"/>
    <w:rsid w:val="423C585B"/>
    <w:rsid w:val="42C8341D"/>
    <w:rsid w:val="440C76F4"/>
    <w:rsid w:val="459F2C74"/>
    <w:rsid w:val="4BE872B9"/>
    <w:rsid w:val="558538DD"/>
    <w:rsid w:val="5ED72D8F"/>
    <w:rsid w:val="5F5F02F4"/>
    <w:rsid w:val="65655070"/>
    <w:rsid w:val="684141D5"/>
    <w:rsid w:val="6C1122F8"/>
    <w:rsid w:val="6F1F56D8"/>
    <w:rsid w:val="7437531B"/>
    <w:rsid w:val="74A53B3A"/>
    <w:rsid w:val="75DB494E"/>
    <w:rsid w:val="76255E1E"/>
    <w:rsid w:val="781974E7"/>
    <w:rsid w:val="7DA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locked/>
    <w:uiPriority w:val="99"/>
    <w:pPr>
      <w:ind w:left="640" w:leftChars="200"/>
      <w:outlineLvl w:val="0"/>
    </w:pPr>
    <w:rPr>
      <w:rFonts w:ascii="Arial" w:hAnsi="Arial" w:eastAsia="仿宋_GB2312"/>
      <w:b/>
    </w:rPr>
  </w:style>
  <w:style w:type="paragraph" w:customStyle="1" w:styleId="3">
    <w:name w:val="Body Text Indent1"/>
    <w:basedOn w:val="1"/>
    <w:uiPriority w:val="99"/>
    <w:pPr>
      <w:ind w:left="420" w:leftChars="200"/>
    </w:p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Footer Char"/>
    <w:basedOn w:val="7"/>
    <w:link w:val="4"/>
    <w:semiHidden/>
    <w:uiPriority w:val="99"/>
    <w:rPr>
      <w:rFonts w:ascii="Calibri" w:hAnsi="Calibri"/>
      <w:sz w:val="18"/>
      <w:szCs w:val="18"/>
    </w:rPr>
  </w:style>
  <w:style w:type="character" w:customStyle="1" w:styleId="10">
    <w:name w:val="Header Char"/>
    <w:basedOn w:val="7"/>
    <w:link w:val="5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8</Pages>
  <Words>525</Words>
  <Characters>2994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2020-01-22T01:19:00Z</dcterms:created>
  <dc:creator>何梦淮</dc:creator>
  <cp:lastModifiedBy>翻车鱼</cp:lastModifiedBy>
  <cp:lastPrinted>2020-04-20T07:00:00Z</cp:lastPrinted>
  <dcterms:modified xsi:type="dcterms:W3CDTF">2020-05-06T02:06:49Z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