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70" w:lineRule="exact"/>
        <w:ind w:firstLine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附件2</w:t>
      </w:r>
    </w:p>
    <w:tbl>
      <w:tblPr>
        <w:tblStyle w:val="2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570"/>
        <w:gridCol w:w="3447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区财政局公务员个性化指标考核量化评分表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7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楷体简体" w:hAnsi="Arial" w:eastAsia="方正楷体简体" w:cs="Arial"/>
                <w:kern w:val="0"/>
                <w:sz w:val="24"/>
              </w:rPr>
            </w:pPr>
            <w:r>
              <w:rPr>
                <w:rFonts w:hint="eastAsia" w:ascii="方正楷体简体" w:hAnsi="Arial" w:eastAsia="方正楷体简体" w:cs="Arial"/>
                <w:kern w:val="0"/>
                <w:sz w:val="24"/>
              </w:rPr>
              <w:t>姓名：                                           科室负责人：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工作纪实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得分小计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主职主业35分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其他10分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主要考核本人承担重点工作按序时进度推进情况和完成质量（5分）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（需个人提供佐证材料）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参加市、区、局组织的各类公益、志愿文体（比赛、演讲、主持、献血等）活动，每次1分；比赛活动获得三、二、一等奖的，分别另加0.5、1、1.5分。（5分）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（需个人提供佐证材料）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2020-11-17T08:27:27Z</dcterms:created>
  <dc:creator>admin</dc:creator>
  <cp:lastModifiedBy>翻车鱼</cp:lastModifiedBy>
  <dcterms:modified xsi:type="dcterms:W3CDTF">2020-11-17T08:27:46Z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