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hAnsi="黑体"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snapToGrid w:val="0"/>
          <w:color w:val="000000"/>
          <w:kern w:val="0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劳务派遣单位经营情况报告</w:t>
      </w:r>
    </w:p>
    <w:p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hint="eastAsia" w:ascii="楷体_GB2312" w:eastAsia="楷体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color w:val="000000"/>
          <w:kern w:val="0"/>
          <w:sz w:val="32"/>
          <w:szCs w:val="32"/>
        </w:rPr>
        <w:t>（样本）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420" w:firstLineChars="200"/>
        <w:rPr>
          <w:rFonts w:eastAsia="方正仿宋_GBK"/>
          <w:snapToGrid w:val="0"/>
          <w:color w:val="000000"/>
          <w:kern w:val="0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人力资源和社会保障局：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现将我单位</w:t>
      </w:r>
      <w:r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年经营情况报告如下：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  <w:t>一、公司基本情况简介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……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  <w:t>二、报告期内经营情况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公司营业收入、利润总额、净利润、资产总额情况以及相应增减幅度等主要经济情况；劳务派遣业务经营收入、利润、纳税以及相应增减幅度等情况。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  <w:t>三、劳务派遣业务经营情况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一）被派遣劳动者的有关情况，包括：被派遣劳动者人数、签订劳动合同情况；被派遣劳动者社会保险参保人数以及缴纳社会保险费情况；支付被派遣劳动者报酬情况；被派遣劳动者分别在“临时性、辅助性、替代性”岗位的人数和占用工单位职工总数的比例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（二）用工单位相关情况，包括订立劳务派遣协议数量、派遣期限等情况；用工单位履行法定义务的情况。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（三）设立子公司、分公司情况。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  <w:t>四、其他事项说明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（一）是否成立工会、是否签订集体合同的情况；被派遣劳动者参加工会情况。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（二）企业名称、地址、法定代表人、经营范围、注册资本等变更情况。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（三）近两年劳动监察投诉举报立案情况、劳动仲裁裁决情况、重大集体劳动争议情况等。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特此报告。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单位名称：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   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（盖章）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192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right="1331" w:firstLine="4480" w:firstLineChars="1400"/>
        <w:jc w:val="righ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年   月 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4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2021-03-25T01:49:33Z</dcterms:created>
  <dc:creator>yihonge</dc:creator>
  <cp:lastModifiedBy>AgreeT0Disagree</cp:lastModifiedBy>
  <dcterms:modified xsi:type="dcterms:W3CDTF">2021-03-25T01:50:15Z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