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关于开展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2022年钟楼区知识产权宣传周活动暨举办企业知识产权风险防范与管控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专题讲座的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通知</w:t>
      </w:r>
    </w:p>
    <w:p>
      <w:pPr>
        <w:rPr>
          <w:rFonts w:hint="default" w:ascii="Times New Roman" w:hAnsi="Times New Roman" w:cs="Times New Roman"/>
        </w:rPr>
      </w:pPr>
    </w:p>
    <w:p>
      <w:pPr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开发区、高新园（邹区镇）、各街道知识产权相关部门，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区市场监管局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各分局：</w:t>
      </w:r>
    </w:p>
    <w:p>
      <w:pPr>
        <w:spacing w:line="7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为迎接“4</w:t>
      </w:r>
      <w:r>
        <w:rPr>
          <w:rFonts w:hint="default" w:ascii="Times New Roman" w:hAnsi="Times New Roman" w:eastAsia="宋体" w:cs="Times New Roman"/>
          <w:sz w:val="32"/>
          <w:szCs w:val="32"/>
        </w:rPr>
        <w:t>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26”世界知识产权日，进一步鼓励企业科技创新，推进知识产权战略，服务我区高质量发展，经研究，决定开展202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年钟楼区知识产权宣传周活动暨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举办企业知识产权风险防范与管控专题讲座。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现将有关事项通知如下：</w:t>
      </w:r>
    </w:p>
    <w:p>
      <w:pPr>
        <w:spacing w:line="570" w:lineRule="exact"/>
        <w:ind w:left="638" w:leftChars="304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活动</w:t>
      </w:r>
      <w:r>
        <w:rPr>
          <w:rFonts w:hint="default" w:ascii="Times New Roman" w:hAnsi="Times New Roman" w:eastAsia="黑体" w:cs="Times New Roman"/>
          <w:sz w:val="32"/>
          <w:szCs w:val="32"/>
        </w:rPr>
        <w:t>时间</w:t>
      </w:r>
    </w:p>
    <w:p>
      <w:pPr>
        <w:spacing w:line="570" w:lineRule="exact"/>
        <w:ind w:left="638" w:leftChars="304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年4月2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日（星期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）下午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（请提前10分钟进入会议）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70" w:lineRule="exact"/>
        <w:ind w:left="638" w:leftChars="304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活动形式</w:t>
      </w:r>
    </w:p>
    <w:p>
      <w:pPr>
        <w:spacing w:line="570" w:lineRule="exact"/>
        <w:ind w:firstLine="636" w:firstLineChars="19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腾讯会议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三、参</w:t>
      </w:r>
      <w:r>
        <w:rPr>
          <w:rFonts w:hint="default" w:ascii="Times New Roman" w:hAnsi="Times New Roman" w:eastAsia="黑体" w:cs="Times New Roman"/>
          <w:sz w:val="32"/>
          <w:szCs w:val="32"/>
        </w:rPr>
        <w:t>加</w:t>
      </w:r>
      <w:r>
        <w:rPr>
          <w:rFonts w:hint="default" w:ascii="Times New Roman" w:hAnsi="Times New Roman" w:eastAsia="黑体" w:cs="Times New Roman"/>
          <w:sz w:val="32"/>
          <w:szCs w:val="32"/>
        </w:rPr>
        <w:t>人员</w:t>
      </w:r>
    </w:p>
    <w:p>
      <w:pPr>
        <w:spacing w:line="570" w:lineRule="exact"/>
        <w:ind w:firstLine="636" w:firstLineChars="19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钟楼区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市场监督管理局（钟楼区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知识产权局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分管领导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知识产权发展科全体工作人员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开发区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高新园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邹区镇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、各街道办事处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知识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产权工作人员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spacing w:line="57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知识产权工作人员1名；</w:t>
      </w:r>
    </w:p>
    <w:p>
      <w:pPr>
        <w:spacing w:line="57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.辖区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企业（由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负责通知）。</w:t>
      </w:r>
    </w:p>
    <w:p>
      <w:pPr>
        <w:spacing w:line="70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四、讲座内容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专题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企业知识产权风险防范与管控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培训主讲人：江苏佰腾科技有限公司，高级副总裁 陈苏宁。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苏宁简介：原江苏省知识产权局政策法规处（专利执法处）处长、江苏省知识产权研究会秘书长、江苏省法学会理事，江苏省中高级干部学法讲师团讲师，南京师范大学法律硕士专业学位硕士研究生导师，江苏省知识产权研究中心研究员，国家知识产权局第四次专利法修改专家组成员，专利代理人，南京市仲裁委仲裁员、常州市仲裁委仲裁员。</w:t>
      </w:r>
    </w:p>
    <w:p>
      <w:pPr>
        <w:pStyle w:val="11"/>
        <w:spacing w:before="0" w:beforeAutospacing="0" w:after="0" w:afterAutospacing="0" w:line="540" w:lineRule="exact"/>
        <w:ind w:left="660" w:firstLine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其他事项</w:t>
      </w:r>
    </w:p>
    <w:p>
      <w:pPr>
        <w:snapToGrid w:val="0"/>
        <w:spacing w:line="560" w:lineRule="exact"/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zh-TW" w:bidi="zh-TW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zh-TW" w:eastAsia="zh-TW" w:bidi="zh-TW"/>
        </w:rPr>
        <w:t>请参加人员提前使用电脑或手机端下载“腾讯会议”</w:t>
      </w:r>
      <w:r>
        <w:rPr>
          <w:rFonts w:hint="default" w:ascii="Times New Roman" w:hAnsi="Times New Roman" w:eastAsia="仿宋" w:cs="Times New Roman"/>
          <w:sz w:val="32"/>
          <w:szCs w:val="32"/>
          <w:lang w:val="zh-TW" w:bidi="zh-TW"/>
        </w:rPr>
        <w:t>软件进入会议观看。观看方式如下：</w:t>
      </w:r>
    </w:p>
    <w:p>
      <w:pPr>
        <w:snapToGrid w:val="0"/>
        <w:spacing w:line="560" w:lineRule="exact"/>
        <w:ind w:left="210" w:leftChars="100" w:firstLine="320" w:firstLineChars="100"/>
        <w:jc w:val="left"/>
        <w:rPr>
          <w:rFonts w:hint="default" w:ascii="Times New Roman" w:hAnsi="Times New Roman" w:eastAsia="仿宋" w:cs="Times New Roman"/>
          <w:sz w:val="32"/>
          <w:szCs w:val="32"/>
          <w:lang w:val="zh-TW" w:bidi="zh-TW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zh-TW"/>
        </w:rPr>
        <w:t>在腾讯会议软件中输入会议号</w:t>
      </w:r>
      <w:r>
        <w:rPr>
          <w:rFonts w:hint="default" w:ascii="Times New Roman" w:hAnsi="Times New Roman" w:eastAsia="仿宋" w:cs="Times New Roman"/>
          <w:sz w:val="32"/>
          <w:szCs w:val="32"/>
          <w:lang w:val="zh-TW" w:eastAsia="zh-TW" w:bidi="zh-TW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bidi="zh-TW"/>
        </w:rPr>
        <w:t>409-104-367</w:t>
      </w:r>
      <w:r>
        <w:rPr>
          <w:rFonts w:hint="default" w:ascii="Times New Roman" w:hAnsi="Times New Roman" w:eastAsia="仿宋" w:cs="Times New Roman"/>
          <w:sz w:val="32"/>
          <w:szCs w:val="32"/>
          <w:lang w:val="zh-TW" w:bidi="zh-TW"/>
        </w:rPr>
        <w:t>，或者</w:t>
      </w:r>
      <w:r>
        <w:rPr>
          <w:rFonts w:hint="default" w:ascii="Times New Roman" w:hAnsi="Times New Roman" w:eastAsia="仿宋" w:cs="Times New Roman"/>
          <w:sz w:val="32"/>
          <w:szCs w:val="32"/>
          <w:lang w:val="zh-TW" w:eastAsia="zh-TW" w:bidi="zh-TW"/>
        </w:rPr>
        <w:t>点击链接</w:t>
      </w:r>
      <w:r>
        <w:rPr>
          <w:rFonts w:hint="default" w:ascii="Times New Roman" w:hAnsi="Times New Roman" w:eastAsia="仿宋" w:cs="Times New Roman"/>
          <w:sz w:val="32"/>
          <w:szCs w:val="32"/>
          <w:lang w:val="zh-TW" w:bidi="zh-TW"/>
        </w:rPr>
        <w:t>https://meeting.tencent.com/dm/U1rW2z0V9hmA</w:t>
      </w:r>
      <w:r>
        <w:rPr>
          <w:rFonts w:hint="default" w:ascii="Times New Roman" w:hAnsi="Times New Roman" w:eastAsia="仿宋" w:cs="Times New Roman"/>
          <w:sz w:val="32"/>
          <w:szCs w:val="32"/>
          <w:lang w:val="zh-TW" w:bidi="zh-TW"/>
        </w:rPr>
        <w:t xml:space="preserve">  进行观看。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zh-TW" w:bidi="zh-TW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腾讯会议使用手册</w:t>
      </w:r>
    </w:p>
    <w:p>
      <w:pPr>
        <w:snapToGrid w:val="0"/>
        <w:spacing w:line="560" w:lineRule="exact"/>
        <w:ind w:firstLine="1600" w:firstLineChars="500"/>
        <w:jc w:val="left"/>
        <w:rPr>
          <w:rFonts w:hint="default" w:ascii="Times New Roman" w:hAnsi="Times New Roman" w:eastAsia="仿宋" w:cs="Times New Roman"/>
          <w:sz w:val="32"/>
          <w:szCs w:val="32"/>
          <w:lang w:val="zh-TW" w:bidi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参加企业名单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zh-TW" w:bidi="zh-TW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zh-TW" w:bidi="zh-TW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napToGrid w:val="0"/>
        <w:spacing w:line="560" w:lineRule="exact"/>
        <w:ind w:firstLine="320" w:firstLineChars="1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常州市钟楼区市场监督管理局    </w:t>
      </w:r>
    </w:p>
    <w:p>
      <w:pPr>
        <w:snapToGrid w:val="0"/>
        <w:spacing w:line="560" w:lineRule="exact"/>
        <w:ind w:firstLine="320" w:firstLineChars="1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常州市钟楼区知识产权局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snapToGrid w:val="0"/>
        <w:spacing w:line="560" w:lineRule="exact"/>
        <w:ind w:firstLine="5760" w:firstLineChars="18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2022年4月18日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腾讯会议使用手册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安装腾讯会议软件，点击左方“加入会议”</w:t>
      </w:r>
    </w:p>
    <w:p>
      <w:pPr>
        <w:pStyle w:val="12"/>
        <w:snapToGrid w:val="0"/>
        <w:spacing w:line="570" w:lineRule="exact"/>
        <w:ind w:left="360" w:firstLine="0" w:firstLine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1151255</wp:posOffset>
            </wp:positionH>
            <wp:positionV relativeFrom="paragraph">
              <wp:posOffset>513080</wp:posOffset>
            </wp:positionV>
            <wp:extent cx="3725545" cy="3648075"/>
            <wp:effectExtent l="19050" t="19050" r="27305" b="28575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545" cy="3648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12"/>
        <w:snapToGrid w:val="0"/>
        <w:spacing w:line="570" w:lineRule="exact"/>
        <w:ind w:left="360" w:firstLine="0" w:firstLineChars="0"/>
        <w:jc w:val="left"/>
        <w:rPr>
          <w:rFonts w:hint="default" w:ascii="Times New Roman" w:hAnsi="Times New Roman" w:cs="Times New Roman"/>
        </w:rPr>
      </w:pPr>
    </w:p>
    <w:p>
      <w:pPr>
        <w:pStyle w:val="12"/>
        <w:snapToGrid w:val="0"/>
        <w:spacing w:line="570" w:lineRule="exact"/>
        <w:ind w:left="360" w:firstLine="0" w:firstLineChars="0"/>
        <w:jc w:val="left"/>
        <w:rPr>
          <w:rFonts w:hint="default" w:ascii="Times New Roman" w:hAnsi="Times New Roman" w:cs="Times New Roman"/>
        </w:rPr>
      </w:pPr>
    </w:p>
    <w:p>
      <w:pPr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2.输入“会议号”和“您的名称”，然后点击“加入会议”。</w:t>
      </w:r>
    </w:p>
    <w:p>
      <w:pPr>
        <w:spacing w:line="560" w:lineRule="exact"/>
        <w:rPr>
          <w:rFonts w:hint="default" w:ascii="Times New Roman" w:hAnsi="Times New Roman" w:cs="Times New Roman"/>
          <w:bdr w:val="single" w:color="auto" w:sz="4" w:space="0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1475105</wp:posOffset>
            </wp:positionH>
            <wp:positionV relativeFrom="paragraph">
              <wp:posOffset>443865</wp:posOffset>
            </wp:positionV>
            <wp:extent cx="2733675" cy="4500880"/>
            <wp:effectExtent l="19050" t="19050" r="28575" b="13970"/>
            <wp:wrapTopAndBottom/>
            <wp:docPr id="1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4500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TW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参加企业名单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6900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0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赛兹（常州）塑料传动器件有限公司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北新弹性地板有限公司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常州鼎唐电机有限公司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常州通源水设备科技有限公司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常州雅得印刷有限公司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常州英中纳米科技有限公司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江苏精研科技股份有限公司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云之端网络（江苏）股份有限公司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常州匠心独具智能家居股份有限公司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常州美能特机电制造有限公司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常州市远尔博轨道交通设备有限公司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江苏英特莱杰信息科技有限公司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常州瑞点精密科技有限公司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常州海卡太阳能热泵有限公司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常州市鹏睿机械有限公司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常州华达科捷光电仪器有限公司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常州豪润包装材料股份有限公司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江苏睿世力科技有限公司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常州市星图测绘科技有限公司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常州亿精珠钢球有限公司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江苏和而同环境建设有限公司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江苏卓联精密机械有限公司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常州市龙顺环保服务有限公司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常州精睿新能源汽车技术有限公司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常州昌瑞汽车部品制造有限公司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常州奥立思特电气股份有限公司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常州科研试制中心有限公司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常州万安汽车部件科技有限公司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江苏三联星海医疗器械股份有限公司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江苏恒兆新材料科技有限公司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常州微亿智造科技有限公司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江苏易交易信息科技有限公司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江苏赛瑞机器人装备有限公司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江苏波速传感器有限公司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常州雷宁电磁屏蔽设备有限公司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常州盛悦金属新材料有限公司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江苏国光信息产业股份有限公司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常州优达电子科技有限公司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景林包装机械(常州)有限公司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常州化工设备有限公司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畅达峰电力科技有限公司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常州斑马智能科技有限公司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常州明景物联传感有限公司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常州市晨光机械制造有限公司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常州市创联电源科技股份有限公司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常州市三利精机有限公司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常州市三维技术成套设备有限公司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常州钟恒新材料股份有限公司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江苏裕兴薄膜科技股份有限公司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常州创标新能源科技有限公司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常州国光数据通信有限公司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常州晶硕机电有限公司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常州商隆产业用纺织品有限公司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常州市创捷防雷电子有限公司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常州市新能源吻合器总厂有限公司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江苏博朗森思医疗器械有限公司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江苏杰安信息科技有限公司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江苏龙冶节能科技有限公司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江苏沁尔康环境电器有限公司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江苏信客云软件科技有限公司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江苏昊宇光伏科技有限公司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科达斯特恩（常州）汽车塑件系统有限公司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科得邦（江苏）环境科技有限公司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常州市爱莱特电子有限公司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常州智汇涂复工业有限公司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江苏阳湖电缆有限公司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翌途液压工程技术（常州）有限公司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常州加美科技有限公司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常州可威尔仪表制造有限公司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常州市明丽环境科技有限公司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格力博（江苏）股份有限公司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江苏洛克电气集团有限公司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常州市远东塑料科技股份有限公司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弗格森输送机械（常州）有限公司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北港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江苏匠算天诚信息科技有限公司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荷花池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江苏网擎信息技术有限公司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荷花池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常州市荣瑞信息自动化有限公司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荷花池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常州天利智能控制股份有限公司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荷花池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常州政务大数据有限公司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荷花池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江苏今浪信息技术有限公司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荷花池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常州市维多视频科技有限公司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南大街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江苏多卖软件有限公司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南大街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常州网联云控信息科技有限公司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南大街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常州赛邦环保科技有限公司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南大街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常柴股份有限公司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南大街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江苏祥康科技有限公司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南大街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常州宝罗电机有限公司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常州市长昊机械有限公司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全景（江苏）节能科技有限公司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中海油常州涂料化工研究院有限公司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江苏楚风信息科技有限公司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常州市南方电器元件厂有限公司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常州市昊鑫信息科技有限公司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江苏道特检测有限公司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江苏远传智能科技有限公司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常州霍克展示系统股份有限公司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常州市通力机电设备制造有限公司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江苏微悦信息技术有限公司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常州恒迅电子科技有限公司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常州纳乐科思光学有限公司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江苏科雷斯普能源科技股份有限公司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常州市鼎亨机电设备有限公司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常州策马自动化科技有限公司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常州朗业机械有限公司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常州宏巨电子科技有限公司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常州市泰裕电器有限公司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常州德研自动化科技有限公司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常州市智霖网业新材料有限公司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常州聚武机械有限公司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常州中铁一建混凝土有限公司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江苏鑫洋盛自动化科技有限公司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江苏亿塔电子科技有限公司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常州市同裕塑件有限公司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常州必能信汽车电器有限公司 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常州市矫马工程机械有限公司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常州特发华银电线电缆有限公司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常州艾控智能仪表有限公司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常州海川卓越密封材料有限公司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常州基腾电气有限公司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常州市神工造粒设备有限公司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江苏康博医疗器械有限公司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江苏中高电力装备科技有限公司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江苏徕兹测控科技有限公司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江苏昊邦智能控制系统股份有限公司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常州市众华建材科技有限公司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常州市长江铸工材料有限公司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常州攸米新能源科技有限公司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常州海杰冶金机械制造有限公司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常州云杰电器有限公司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常州常华光电塑胶有限公司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常州中铁蓝焰构件有限公司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常州中英科技股份有限公司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常州海尔斯医疗器械科技有限公司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常州市灵衡仪器有限公司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常州市佳华电子有限公司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常州艾柯轧辊有限公司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常州荣创自动化装备股份有限公司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江苏腾奇电力设备科技有限公司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宝钢轧辊科技有限责任公司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常州东芝变压器有限公司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常州市英中电气有限公司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常州西电变压器有限责任公司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江苏大使同丰涂料有限公司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常州容和高分子材料科技有限公司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江苏长江智能制造研究院有限责任公司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韦士肯（常州）智能科技有限公司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上田环境修复有限公司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中海油常州环保涂料有限公司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常州市舒霖机械有限公司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常州市世晔汽车配件有限公司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常州畅信网络技术有限公司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常州航天岳达精密机械有限公司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常州江南环境工程有限公司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常州沃腾化工科技有限公司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常州亚同数控科技有限公司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谷波技术（常州）有限公司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江苏电力装备有限公司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江苏曼威德电气有限公司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常州东风农机集团有限公司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常州华东人防设备有限公司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常州思源东芝变压器有限公司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常州新电自动化设备有限公司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常州正利行智造科技有限公司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江苏永信医疗科技有限公司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江苏皓月涂料有限公司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常州奥润特冶金精密机械有限公司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常州登翔机械有限公司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常州阔达智能科技有限公司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常州市穗华自动化科技有限公司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常州赛迪工具有限公司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常州蓝翼飞机装备制造有限公司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新闸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常州市建筑科学研究院集团股份有限公司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金翌车业有限公司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江苏鼎达建筑新技术有限公司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常州弘仁智能科技有限公司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常州市易用科技有限公司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常州华龙通信科技股份有限公司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常州第二电子仪器有限公司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常州国光软件系统工程有限公司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常州领航电子有限公司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常州柒玛信息科技有限公司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江苏三合声源超声波科技有限公司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中煤科工集团常州研究院有限公司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常州启扬塑胶有限公司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常州清流环保科技有限公司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常州市川意来自动化机械制造有限公司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常州市江南三翔电机有限公司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常州华联医疗器械集团股份有限公司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常州健力邦德医疗器械有限公司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瑞华塑业（常州）有限公司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常州市日月反光材料有限公司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江苏卓见医疗用品有限公司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常州电梯厂有限公司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常州市润亿机械制造有限公司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常州市金流明光电科技有限公司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常州市浩东净化设备科技有限公司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常州市锦纶厂有限公司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常州市天方印刷有限公司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常州市武进永升化工有限公司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常州市红飞金属制品有限公司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常州晔兴重工科技股份有限公司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常州畅韵工程材料有限公司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常州宝达光电科技有限公司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常州市莱士尚豫光电科技有限公司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江苏质肯新能源科技有限公司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常州华日升反光材料有限公司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常州华威新材料有限公司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江苏尼高科技有限公司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中稀（常州）稀土新材料有限公司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江苏佳得顺热能设备有限公司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江苏诺亚方舟农业科技有限公司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常州市金沃焊割设备有限公司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常州市威尔莱炉业有限公司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常州市方正型钢有限公司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常州华威电子有限公司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江苏环球龙圣环境科技发展有限公司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江苏巨弘捆带制造有限公司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常州泰利减速机有限公司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江苏江南创新海绵有限公司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常州星启电子科技有限公司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常州三博金属制品有限公司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常州艾吉服装有限公司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常州和余环保科技有限公司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常州精迪华普塑料机械有限公司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常州市弘意德塑料机械制造有限公司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江苏豪凯机械有限公司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盛德鑫泰新材料股份有限公司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常州杰特塑业有限公司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常州市宝丽胶粘剂有限公司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江苏新山塑业科技有限公司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江苏易创照明科技有限公司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常州市泰雄电子有限公司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常州国彬热能设备有限公司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常州耐特金属科技有限公司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常州江润精密机械有限公司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江苏美舜生物科技有限公司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常州美杰医疗用品有限公司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常州市展明薄膜科技有限公司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邹区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701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6C01"/>
    <w:rsid w:val="00066BEE"/>
    <w:rsid w:val="000A7A96"/>
    <w:rsid w:val="0011274F"/>
    <w:rsid w:val="001D71B8"/>
    <w:rsid w:val="001F77D1"/>
    <w:rsid w:val="0021488C"/>
    <w:rsid w:val="00313C78"/>
    <w:rsid w:val="00376867"/>
    <w:rsid w:val="00426BFD"/>
    <w:rsid w:val="004D5E94"/>
    <w:rsid w:val="0050055E"/>
    <w:rsid w:val="00517993"/>
    <w:rsid w:val="00532288"/>
    <w:rsid w:val="00671162"/>
    <w:rsid w:val="00766C01"/>
    <w:rsid w:val="0078408F"/>
    <w:rsid w:val="00791DAB"/>
    <w:rsid w:val="007B7238"/>
    <w:rsid w:val="0081107A"/>
    <w:rsid w:val="00833724"/>
    <w:rsid w:val="008518AD"/>
    <w:rsid w:val="008632D1"/>
    <w:rsid w:val="008D075F"/>
    <w:rsid w:val="008E0C3C"/>
    <w:rsid w:val="00925C13"/>
    <w:rsid w:val="00985169"/>
    <w:rsid w:val="009968F8"/>
    <w:rsid w:val="00A607E4"/>
    <w:rsid w:val="00A60905"/>
    <w:rsid w:val="00AC6B4C"/>
    <w:rsid w:val="00B67C68"/>
    <w:rsid w:val="00BF4F8A"/>
    <w:rsid w:val="00C262F6"/>
    <w:rsid w:val="00C27127"/>
    <w:rsid w:val="00C37EA8"/>
    <w:rsid w:val="00DE31F1"/>
    <w:rsid w:val="00E804FE"/>
    <w:rsid w:val="00EC235F"/>
    <w:rsid w:val="00EF3587"/>
    <w:rsid w:val="00F428D1"/>
    <w:rsid w:val="00F87834"/>
    <w:rsid w:val="02BA6E10"/>
    <w:rsid w:val="4B55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1">
    <w:name w:val="text1"/>
    <w:qFormat/>
    <w:uiPriority w:val="0"/>
    <w:pPr>
      <w:spacing w:before="100" w:beforeAutospacing="1" w:after="100" w:afterAutospacing="1" w:line="330" w:lineRule="atLeast"/>
      <w:ind w:firstLine="450"/>
    </w:pPr>
    <w:rPr>
      <w:rFonts w:ascii="宋体" w:hAnsi="宋体" w:eastAsia="宋体" w:cs="宋体"/>
      <w:color w:val="323232"/>
      <w:kern w:val="0"/>
      <w:sz w:val="21"/>
      <w:szCs w:val="21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3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72A9B6-2682-449C-9C0D-FF86FA5DE6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757</Words>
  <Characters>4319</Characters>
  <Lines>35</Lines>
  <Paragraphs>10</Paragraphs>
  <TotalTime>5</TotalTime>
  <ScaleCrop>false</ScaleCrop>
  <LinksUpToDate>false</LinksUpToDate>
  <CharactersWithSpaces>5066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2022-04-12T08:12:00Z</dcterms:created>
  <dc:creator>727142722@qq.com</dc:creator>
  <cp:lastModifiedBy>兔子莓</cp:lastModifiedBy>
  <cp:lastPrinted>2022-04-18T09:24:26Z</cp:lastPrinted>
  <dcterms:modified xsi:type="dcterms:W3CDTF">2022-04-18T09:24:35Z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