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pacing w:line="560" w:lineRule="exact"/>
        <w:jc w:val="both"/>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附件</w:t>
      </w:r>
    </w:p>
    <w:p>
      <w:pPr>
        <w:pStyle w:val="7"/>
        <w:spacing w:before="240" w:after="240" w:line="560" w:lineRule="exact"/>
        <w:rPr>
          <w:rFonts w:hint="default" w:ascii="Times New Roman" w:hAnsi="Times New Roman" w:eastAsia="方正小标宋简体"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方正小标宋简体" w:cs="Times New Roman"/>
          <w:color w:val="000000" w:themeColor="text1"/>
          <w14:textFill>
            <w14:solidFill>
              <w14:schemeClr w14:val="tx1"/>
            </w14:solidFill>
          </w14:textFill>
        </w:rPr>
        <w:instrText xml:space="preserve">ADDIN CNKISM.UserStyle</w:instrText>
      </w:r>
      <w:r>
        <w:rPr>
          <w:rFonts w:hint="default" w:ascii="Times New Roman" w:hAnsi="Times New Roman" w:eastAsia="方正小标宋简体" w:cs="Times New Roman"/>
          <w:color w:val="000000" w:themeColor="text1"/>
          <w14:textFill>
            <w14:solidFill>
              <w14:schemeClr w14:val="tx1"/>
            </w14:solidFill>
          </w14:textFill>
        </w:rPr>
        <w:fldChar w:fldCharType="end"/>
      </w:r>
      <w:r>
        <w:rPr>
          <w:rFonts w:hint="default" w:ascii="Times New Roman" w:hAnsi="Times New Roman" w:eastAsia="方正小标宋简体" w:cs="Times New Roman"/>
          <w:color w:val="000000" w:themeColor="text1"/>
          <w14:textFill>
            <w14:solidFill>
              <w14:schemeClr w14:val="tx1"/>
            </w14:solidFill>
          </w14:textFill>
        </w:rPr>
        <w:t>2022年钟楼区深入打好污染防治攻坚战工程项目表</w:t>
      </w:r>
    </w:p>
    <w:p>
      <w:pPr>
        <w:spacing w:after="80" w:line="500" w:lineRule="exact"/>
        <w:outlineLvl w:val="0"/>
        <w:rPr>
          <w:rFonts w:hint="default" w:ascii="Times New Roman" w:hAnsi="Times New Roman" w:eastAsia="黑体" w:cs="Times New Roman"/>
          <w:bCs/>
          <w:color w:val="000000" w:themeColor="text1"/>
          <w:sz w:val="28"/>
          <w:szCs w:val="28"/>
          <w14:textFill>
            <w14:solidFill>
              <w14:schemeClr w14:val="tx1"/>
            </w14:solidFill>
          </w14:textFill>
        </w:rPr>
      </w:pPr>
      <w:r>
        <w:rPr>
          <w:rFonts w:hint="default" w:ascii="Times New Roman" w:hAnsi="Times New Roman" w:eastAsia="黑体" w:cs="Times New Roman"/>
          <w:bCs/>
          <w:color w:val="000000" w:themeColor="text1"/>
          <w:sz w:val="28"/>
          <w:szCs w:val="28"/>
          <w14:textFill>
            <w14:solidFill>
              <w14:schemeClr w14:val="tx1"/>
            </w14:solidFill>
          </w14:textFill>
        </w:rPr>
        <w:t>（一）加快推动绿色低碳发展</w:t>
      </w:r>
    </w:p>
    <w:tbl>
      <w:tblPr>
        <w:tblStyle w:val="4"/>
        <w:tblW w:w="146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0"/>
        <w:gridCol w:w="1580"/>
        <w:gridCol w:w="1733"/>
        <w:gridCol w:w="5472"/>
        <w:gridCol w:w="670"/>
        <w:gridCol w:w="1160"/>
        <w:gridCol w:w="952"/>
        <w:gridCol w:w="1780"/>
        <w:gridCol w:w="7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191" w:type="pct"/>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538"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项目类型</w:t>
            </w:r>
          </w:p>
        </w:tc>
        <w:tc>
          <w:tcPr>
            <w:tcW w:w="590"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工程项目名称</w:t>
            </w:r>
          </w:p>
        </w:tc>
        <w:tc>
          <w:tcPr>
            <w:tcW w:w="1863"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主要建设内容</w:t>
            </w:r>
          </w:p>
        </w:tc>
        <w:tc>
          <w:tcPr>
            <w:tcW w:w="228"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项目数量</w:t>
            </w:r>
          </w:p>
        </w:tc>
        <w:tc>
          <w:tcPr>
            <w:tcW w:w="395"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计划投资</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（万元）</w:t>
            </w:r>
          </w:p>
        </w:tc>
        <w:tc>
          <w:tcPr>
            <w:tcW w:w="324"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建设</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期限</w:t>
            </w:r>
          </w:p>
        </w:tc>
        <w:tc>
          <w:tcPr>
            <w:tcW w:w="60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责任部门/</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建设主体</w:t>
            </w:r>
          </w:p>
        </w:tc>
        <w:tc>
          <w:tcPr>
            <w:tcW w:w="262"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 w:type="pc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8" w:type="pct"/>
            <w:vMerge w:val="restar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推进产业绿色转型升级</w:t>
            </w: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印染行业绿色发展</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组织实施《常州市印染行业发展规划（2020-2024年）》。推进</w:t>
            </w:r>
            <w:r>
              <w:rPr>
                <w:rFonts w:hint="default" w:ascii="Times New Roman" w:hAnsi="Times New Roman" w:cs="Times New Roman"/>
              </w:rPr>
              <w:fldChar w:fldCharType="begin"/>
            </w:r>
            <w:r>
              <w:rPr>
                <w:rFonts w:hint="default" w:ascii="Times New Roman" w:hAnsi="Times New Roman" w:cs="Times New Roman"/>
              </w:rPr>
              <w:instrText xml:space="preserve"> HYPERLINK "https://www.so.com/link?m=b7ZJFIbS6HhwjBKpRrqh82p7YJ03mb9VGRQ9d9h9+rX16aZf21rUPjvCjjmbTJlQ2IC2YM47o0/xs+jDxwPB4ZS9R/PrkciPCIodKltF6+eKqVPSIY/UW7HU/B1SkaO3kLM9F0ACGT4s6WFRk2S+0/nyCs+rHjYpURA4nCszXLc+7h8yyEIbavg==" \t "https://www.so.com/_blank"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常州市国礼纺织染整有限公司</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升级改造。</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区发改局、</w:t>
            </w:r>
          </w:p>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区工信局</w:t>
            </w:r>
          </w:p>
        </w:tc>
        <w:tc>
          <w:tcPr>
            <w:tcW w:w="262"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 w:type="pc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8"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“危污乱散低”出清提升行动</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大力实施钟楼区邹区灯具加工行业（产业集群）整治。</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区应急管理局、钟楼生态环境局</w:t>
            </w:r>
          </w:p>
        </w:tc>
        <w:tc>
          <w:tcPr>
            <w:tcW w:w="262"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91" w:type="pct"/>
            <w:vMerge w:val="restar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8"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绿色发展领军企业计划</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绿色发展领军企业力争申报不少于4家。</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ind w:left="-160" w:leftChars="-50" w:right="-160" w:rightChars="-5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钟楼生态环境局、北港街道、新闸街道</w:t>
            </w:r>
          </w:p>
        </w:tc>
        <w:tc>
          <w:tcPr>
            <w:tcW w:w="262"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191" w:type="pct"/>
            <w:vMerge w:val="continue"/>
            <w:vAlign w:val="center"/>
          </w:tcPr>
          <w:p>
            <w:pPr>
              <w:pStyle w:val="8"/>
              <w:rPr>
                <w:rFonts w:hint="default" w:ascii="Times New Roman" w:hAnsi="Times New Roman" w:cs="Times New Roman"/>
                <w:color w:val="000000" w:themeColor="text1"/>
                <w14:textFill>
                  <w14:solidFill>
                    <w14:schemeClr w14:val="tx1"/>
                  </w14:solidFill>
                </w14:textFill>
              </w:rPr>
            </w:pPr>
          </w:p>
        </w:tc>
        <w:tc>
          <w:tcPr>
            <w:tcW w:w="538" w:type="pct"/>
            <w:vMerge w:val="continue"/>
            <w:vAlign w:val="center"/>
          </w:tcPr>
          <w:p>
            <w:pPr>
              <w:pStyle w:val="8"/>
              <w:rPr>
                <w:rFonts w:hint="default" w:ascii="Times New Roman" w:hAnsi="Times New Roman" w:cs="Times New Roman"/>
                <w:color w:val="000000" w:themeColor="text1"/>
                <w14:textFill>
                  <w14:solidFill>
                    <w14:schemeClr w14:val="tx1"/>
                  </w14:solidFill>
                </w14:textFill>
              </w:rPr>
            </w:pP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铸造企业“一企一策”整治情况“回头看”</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对2021年编制“一企一策”并整治的20家铸造企业整治完成情况开展“回头看”。</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w:t>
            </w:r>
          </w:p>
        </w:tc>
        <w:tc>
          <w:tcPr>
            <w:tcW w:w="324"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2022年6月底</w:t>
            </w:r>
          </w:p>
        </w:tc>
        <w:tc>
          <w:tcPr>
            <w:tcW w:w="606"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钟楼生态环境局、邹区镇、北港街道、新闸街道、西林街道、南大街街道</w:t>
            </w:r>
          </w:p>
        </w:tc>
        <w:tc>
          <w:tcPr>
            <w:tcW w:w="262"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 w:type="pc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w:t>
            </w:r>
          </w:p>
        </w:tc>
        <w:tc>
          <w:tcPr>
            <w:tcW w:w="53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加快能源绿色低碳转型</w:t>
            </w: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整县屋顶分布式光伏试点</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2022年分布式光伏装机容量达到9MW。</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3600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区发改局</w:t>
            </w:r>
          </w:p>
        </w:tc>
        <w:tc>
          <w:tcPr>
            <w:tcW w:w="262"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 w:type="pc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8" w:type="pct"/>
            <w:vMerge w:val="restar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推进清洁生产和能源资源集约高效利用</w:t>
            </w: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清洁生产改造</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持续推进企业清洁生产审核，完成17家企业清洁生产审核评估。</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17</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340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ind w:left="-160" w:leftChars="-50" w:right="-160" w:rightChars="-5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钟楼生态环境局、邹区镇、北港街道、新闸街道</w:t>
            </w:r>
          </w:p>
        </w:tc>
        <w:tc>
          <w:tcPr>
            <w:tcW w:w="262"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 w:type="pc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8"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深化用能单位节能改造</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推动钢铁、有色行业和其他行业3家重点用能单位深化节能改造。</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150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区工信局、邹区镇、新闸街道</w:t>
            </w:r>
          </w:p>
        </w:tc>
        <w:tc>
          <w:tcPr>
            <w:tcW w:w="262"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91" w:type="pct"/>
            <w:vAlign w:val="center"/>
          </w:tcPr>
          <w:p>
            <w:pPr>
              <w:pStyle w:val="9"/>
              <w:numPr>
                <w:ilvl w:val="0"/>
                <w:numId w:val="1"/>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加快培育绿色低碳生活方式</w:t>
            </w:r>
          </w:p>
        </w:tc>
        <w:tc>
          <w:tcPr>
            <w:tcW w:w="590"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推广绿色建筑</w:t>
            </w:r>
          </w:p>
        </w:tc>
        <w:tc>
          <w:tcPr>
            <w:tcW w:w="18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新增绿色建筑面积90万平方米。</w:t>
            </w:r>
          </w:p>
        </w:tc>
        <w:tc>
          <w:tcPr>
            <w:tcW w:w="22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9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w:t>
            </w:r>
          </w:p>
        </w:tc>
        <w:tc>
          <w:tcPr>
            <w:tcW w:w="3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60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w:t>
            </w:r>
          </w:p>
        </w:tc>
        <w:tc>
          <w:tcPr>
            <w:tcW w:w="262"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bl>
    <w:p>
      <w:pPr>
        <w:spacing w:after="80" w:line="500" w:lineRule="exact"/>
        <w:outlineLvl w:val="0"/>
        <w:rPr>
          <w:rFonts w:hint="default" w:ascii="Times New Roman" w:hAnsi="Times New Roman" w:eastAsia="黑体" w:cs="Times New Roman"/>
          <w:bCs/>
          <w:color w:val="000000" w:themeColor="text1"/>
          <w:sz w:val="28"/>
          <w:szCs w:val="28"/>
          <w14:textFill>
            <w14:solidFill>
              <w14:schemeClr w14:val="tx1"/>
            </w14:solidFill>
          </w14:textFill>
        </w:rPr>
      </w:pPr>
      <w:r>
        <w:rPr>
          <w:rFonts w:hint="default" w:ascii="Times New Roman" w:hAnsi="Times New Roman" w:eastAsia="黑体" w:cs="Times New Roman"/>
          <w:bCs/>
          <w:color w:val="000000" w:themeColor="text1"/>
          <w:sz w:val="28"/>
          <w:szCs w:val="28"/>
          <w14:textFill>
            <w14:solidFill>
              <w14:schemeClr w14:val="tx1"/>
            </w14:solidFill>
          </w14:textFill>
        </w:rPr>
        <w:t>（二）深入打好蓝天保卫战</w:t>
      </w:r>
    </w:p>
    <w:tbl>
      <w:tblPr>
        <w:tblStyle w:val="4"/>
        <w:tblW w:w="528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9"/>
        <w:gridCol w:w="1587"/>
        <w:gridCol w:w="1676"/>
        <w:gridCol w:w="5514"/>
        <w:gridCol w:w="767"/>
        <w:gridCol w:w="1093"/>
        <w:gridCol w:w="965"/>
        <w:gridCol w:w="1747"/>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26" w:type="pct"/>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53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项目类型</w:t>
            </w:r>
          </w:p>
        </w:tc>
        <w:tc>
          <w:tcPr>
            <w:tcW w:w="56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项目名称</w:t>
            </w:r>
          </w:p>
        </w:tc>
        <w:tc>
          <w:tcPr>
            <w:tcW w:w="1862"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主要建设内容</w:t>
            </w:r>
          </w:p>
        </w:tc>
        <w:tc>
          <w:tcPr>
            <w:tcW w:w="259"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项目数量</w:t>
            </w:r>
          </w:p>
        </w:tc>
        <w:tc>
          <w:tcPr>
            <w:tcW w:w="369"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计划投资</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（万元）</w:t>
            </w:r>
          </w:p>
        </w:tc>
        <w:tc>
          <w:tcPr>
            <w:tcW w:w="32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建设</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期限</w:t>
            </w:r>
          </w:p>
        </w:tc>
        <w:tc>
          <w:tcPr>
            <w:tcW w:w="590"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责任部门/</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建设主体</w:t>
            </w:r>
          </w:p>
        </w:tc>
        <w:tc>
          <w:tcPr>
            <w:tcW w:w="263"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26" w:type="pct"/>
            <w:vAlign w:val="center"/>
          </w:tcPr>
          <w:p>
            <w:pPr>
              <w:pStyle w:val="9"/>
              <w:numPr>
                <w:ilvl w:val="0"/>
                <w:numId w:val="2"/>
              </w:numPr>
              <w:spacing w:line="240" w:lineRule="auto"/>
              <w:ind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536" w:type="pct"/>
            <w:vMerge w:val="restar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着力打好重污染天气消除攻坚战</w:t>
            </w: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“对标进位”工作方案</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2月底前制订钟楼站“对标进位”工作方案，确保完成环境质量考核目标要求。</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26"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w:t>
            </w:r>
          </w:p>
        </w:tc>
        <w:tc>
          <w:tcPr>
            <w:tcW w:w="536"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增设除霾装置</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对除霾装置布设点位进行论证，设置不少于5台除霾装置。</w:t>
            </w:r>
          </w:p>
        </w:tc>
        <w:tc>
          <w:tcPr>
            <w:tcW w:w="259"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w:t>
            </w:r>
          </w:p>
        </w:tc>
        <w:tc>
          <w:tcPr>
            <w:tcW w:w="369"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1000</w:t>
            </w:r>
          </w:p>
        </w:tc>
        <w:tc>
          <w:tcPr>
            <w:tcW w:w="326"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钟楼生态环境局、钟楼自然资源和规划分局、区城管局、区住建局、北港街道、五星街道</w:t>
            </w:r>
          </w:p>
        </w:tc>
        <w:tc>
          <w:tcPr>
            <w:tcW w:w="263" w:type="pct"/>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 w:type="pct"/>
            <w:vAlign w:val="center"/>
          </w:tcPr>
          <w:p>
            <w:pPr>
              <w:pStyle w:val="9"/>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536" w:type="pct"/>
            <w:vMerge w:val="restart"/>
            <w:vAlign w:val="center"/>
          </w:tcPr>
          <w:p>
            <w:pPr>
              <w:pStyle w:val="8"/>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臭氧污染防治攻坚战</w:t>
            </w: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清洁原料替代</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完成13家企业排查并完成源头替代工作，对不可替代的，要求证实并实施综合治理，建立管理台账。</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260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区工信局、钟楼生态环境局、邹区镇、北港街道、新闸街道、五星街道、永红街道、西林街道</w:t>
            </w:r>
          </w:p>
        </w:tc>
        <w:tc>
          <w:tcPr>
            <w:tcW w:w="26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9" w:hRule="atLeast"/>
          <w:jc w:val="center"/>
        </w:trPr>
        <w:tc>
          <w:tcPr>
            <w:tcW w:w="226" w:type="pct"/>
            <w:vAlign w:val="center"/>
          </w:tcPr>
          <w:p>
            <w:pPr>
              <w:pStyle w:val="9"/>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w:t>
            </w:r>
          </w:p>
        </w:tc>
        <w:tc>
          <w:tcPr>
            <w:tcW w:w="536"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培育示范型企业</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2022年完成常州雅得印刷有限公司和常州科研试制中心有限公司源头替代示范型企业。</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区工信局、北港街道</w:t>
            </w:r>
          </w:p>
        </w:tc>
        <w:tc>
          <w:tcPr>
            <w:tcW w:w="26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26" w:type="pct"/>
            <w:vMerge w:val="restart"/>
            <w:vAlign w:val="center"/>
          </w:tcPr>
          <w:p>
            <w:pPr>
              <w:pStyle w:val="9"/>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p>
        </w:tc>
        <w:tc>
          <w:tcPr>
            <w:tcW w:w="536"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66" w:type="pct"/>
            <w:vMerge w:val="restar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储罐深度治理</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完成24个有机储罐分类浓度治理。</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24</w:t>
            </w:r>
          </w:p>
        </w:tc>
        <w:tc>
          <w:tcPr>
            <w:tcW w:w="369" w:type="pct"/>
            <w:vMerge w:val="restar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600</w:t>
            </w:r>
          </w:p>
        </w:tc>
        <w:tc>
          <w:tcPr>
            <w:tcW w:w="326" w:type="pct"/>
            <w:vMerge w:val="restar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钟楼生态环境局、邹区镇、北港街道、新闸街道</w:t>
            </w:r>
          </w:p>
        </w:tc>
        <w:tc>
          <w:tcPr>
            <w:tcW w:w="263" w:type="pct"/>
            <w:vMerge w:val="restar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226" w:type="pct"/>
            <w:vMerge w:val="continue"/>
            <w:vAlign w:val="center"/>
          </w:tcPr>
          <w:p>
            <w:pPr>
              <w:pStyle w:val="8"/>
              <w:rPr>
                <w:rFonts w:hint="default" w:ascii="Times New Roman" w:hAnsi="Times New Roman" w:cs="Times New Roman"/>
                <w:color w:val="000000" w:themeColor="text1"/>
                <w14:textFill>
                  <w14:solidFill>
                    <w14:schemeClr w14:val="tx1"/>
                  </w14:solidFill>
                </w14:textFill>
              </w:rPr>
            </w:pPr>
          </w:p>
        </w:tc>
        <w:tc>
          <w:tcPr>
            <w:tcW w:w="536" w:type="pct"/>
            <w:vMerge w:val="continue"/>
            <w:vAlign w:val="center"/>
          </w:tcPr>
          <w:p>
            <w:pPr>
              <w:pStyle w:val="8"/>
              <w:rPr>
                <w:rFonts w:hint="default" w:ascii="Times New Roman" w:hAnsi="Times New Roman" w:cs="Times New Roman"/>
                <w:color w:val="000000" w:themeColor="text1"/>
                <w14:textFill>
                  <w14:solidFill>
                    <w14:schemeClr w14:val="tx1"/>
                  </w14:solidFill>
                </w14:textFill>
              </w:rPr>
            </w:pPr>
          </w:p>
        </w:tc>
        <w:tc>
          <w:tcPr>
            <w:tcW w:w="566"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打造1家（江苏皓月涂料有限公司）储罐治理示范企业。</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9"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326"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新闸街道</w:t>
            </w:r>
          </w:p>
        </w:tc>
        <w:tc>
          <w:tcPr>
            <w:tcW w:w="263" w:type="pct"/>
            <w:vMerge w:val="continue"/>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 w:type="pct"/>
            <w:vAlign w:val="center"/>
          </w:tcPr>
          <w:p>
            <w:pPr>
              <w:pStyle w:val="9"/>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p>
        </w:tc>
        <w:tc>
          <w:tcPr>
            <w:tcW w:w="536"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企业集群排查整治</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对涉VOCs企业集群的61家企业，5月底前完成排查整治并建立管理台账。</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w:t>
            </w:r>
            <w:r>
              <w:rPr>
                <w:rFonts w:hint="default" w:ascii="Times New Roman" w:hAnsi="Times New Roman" w:cs="Times New Roman"/>
              </w:rPr>
              <w:fldChar w:fldCharType="begin"/>
            </w:r>
            <w:r>
              <w:rPr>
                <w:rFonts w:hint="default" w:ascii="Times New Roman" w:hAnsi="Times New Roman" w:cs="Times New Roman"/>
              </w:rPr>
              <w:instrText xml:space="preserve"> HYPERLINK \h </w:instrText>
            </w:r>
            <w:r>
              <w:rPr>
                <w:rFonts w:hint="default" w:ascii="Times New Roman" w:hAnsi="Times New Roman" w:cs="Times New Roman"/>
              </w:rPr>
              <w:fldChar w:fldCharType="separate"/>
            </w:r>
            <w:r>
              <w:rPr>
                <w:rFonts w:hint="default" w:ascii="Times New Roman" w:hAnsi="Times New Roman" w:eastAsia="仿宋_GB2312" w:cs="Times New Roman"/>
                <w:color w:val="000000" w:themeColor="text1"/>
                <w14:textFill>
                  <w14:solidFill>
                    <w14:schemeClr w14:val="tx1"/>
                  </w14:solidFill>
                </w14:textFill>
              </w:rPr>
              <w:t>2</w:t>
            </w:r>
            <w:r>
              <w:rPr>
                <w:rFonts w:hint="default" w:ascii="Times New Roman" w:hAnsi="Times New Roman" w:eastAsia="仿宋_GB2312" w:cs="Times New Roman"/>
                <w:color w:val="000000" w:themeColor="text1"/>
                <w14:textFill>
                  <w14:solidFill>
                    <w14:schemeClr w14:val="tx1"/>
                  </w14:solidFill>
                </w14:textFill>
              </w:rPr>
              <w:fldChar w:fldCharType="end"/>
            </w:r>
            <w:r>
              <w:rPr>
                <w:rFonts w:hint="default" w:ascii="Times New Roman" w:hAnsi="Times New Roman" w:eastAsia="仿宋_GB2312" w:cs="Times New Roman"/>
                <w:color w:val="000000" w:themeColor="text1"/>
                <w14:textFill>
                  <w14:solidFill>
                    <w14:schemeClr w14:val="tx1"/>
                  </w14:solidFill>
                </w14:textFill>
              </w:rPr>
              <w:t>年5月底前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钟楼生态环境局、邹区镇、新闸街道、五星街道</w:t>
            </w:r>
          </w:p>
        </w:tc>
        <w:tc>
          <w:tcPr>
            <w:tcW w:w="26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 w:hRule="atLeast"/>
          <w:jc w:val="center"/>
        </w:trPr>
        <w:tc>
          <w:tcPr>
            <w:tcW w:w="226" w:type="pct"/>
            <w:vAlign w:val="center"/>
          </w:tcPr>
          <w:p>
            <w:pPr>
              <w:pStyle w:val="9"/>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7</w:t>
            </w:r>
          </w:p>
        </w:tc>
        <w:tc>
          <w:tcPr>
            <w:tcW w:w="536"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重点监管企业“一企一策”整治</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完成省第一批6家企业的检查抽查工作，开展第二批10家企业的论证及治理工作。35家重点VOCs排放企业“一企一策”整治情况“回头看”。</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1500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2022年6月底</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6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2" w:hRule="atLeast"/>
          <w:jc w:val="center"/>
        </w:trPr>
        <w:tc>
          <w:tcPr>
            <w:tcW w:w="226" w:type="pct"/>
            <w:vAlign w:val="center"/>
          </w:tcPr>
          <w:p>
            <w:pPr>
              <w:pStyle w:val="9"/>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8</w:t>
            </w:r>
          </w:p>
        </w:tc>
        <w:tc>
          <w:tcPr>
            <w:tcW w:w="536"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VOCs企业整治</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完成VOCs综合治理项目30项以上，完成40个挥发性有机物无组织排放治理项目。</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70</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钟楼生态环境局、邹区镇、北港街道、新闸街道、五星街道、永红街道、西林街道</w:t>
            </w:r>
          </w:p>
        </w:tc>
        <w:tc>
          <w:tcPr>
            <w:tcW w:w="26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226" w:type="pct"/>
            <w:vAlign w:val="center"/>
          </w:tcPr>
          <w:p>
            <w:pPr>
              <w:pStyle w:val="8"/>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w:t>
            </w:r>
          </w:p>
        </w:tc>
        <w:tc>
          <w:tcPr>
            <w:tcW w:w="536" w:type="pct"/>
            <w:vMerge w:val="continue"/>
            <w:vAlign w:val="center"/>
          </w:tcPr>
          <w:p>
            <w:pPr>
              <w:pStyle w:val="8"/>
              <w:rPr>
                <w:rFonts w:hint="default" w:ascii="Times New Roman" w:hAnsi="Times New Roman" w:cs="Times New Roman"/>
                <w:color w:val="000000" w:themeColor="text1"/>
                <w14:textFill>
                  <w14:solidFill>
                    <w14:schemeClr w14:val="tx1"/>
                  </w14:solidFill>
                </w14:textFill>
              </w:rPr>
            </w:pPr>
          </w:p>
        </w:tc>
        <w:tc>
          <w:tcPr>
            <w:tcW w:w="566"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建设钣喷绿岛</w:t>
            </w:r>
          </w:p>
        </w:tc>
        <w:tc>
          <w:tcPr>
            <w:tcW w:w="1862"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设立钣喷绿岛1个，统一收集喷涂废气。</w:t>
            </w:r>
          </w:p>
        </w:tc>
        <w:tc>
          <w:tcPr>
            <w:tcW w:w="2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59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北港街道</w:t>
            </w:r>
          </w:p>
        </w:tc>
        <w:tc>
          <w:tcPr>
            <w:tcW w:w="26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bl>
    <w:p>
      <w:pPr>
        <w:spacing w:after="80" w:line="500" w:lineRule="exact"/>
        <w:outlineLv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黑体" w:cs="Times New Roman"/>
          <w:bCs/>
          <w:color w:val="000000" w:themeColor="text1"/>
          <w:sz w:val="28"/>
          <w:szCs w:val="28"/>
          <w14:textFill>
            <w14:solidFill>
              <w14:schemeClr w14:val="tx1"/>
            </w14:solidFill>
          </w14:textFill>
        </w:rPr>
        <w:t>（三）深入打好碧水保卫战</w:t>
      </w:r>
    </w:p>
    <w:tbl>
      <w:tblPr>
        <w:tblStyle w:val="4"/>
        <w:tblW w:w="531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09"/>
        <w:gridCol w:w="1496"/>
        <w:gridCol w:w="1416"/>
        <w:gridCol w:w="5316"/>
        <w:gridCol w:w="622"/>
        <w:gridCol w:w="1651"/>
        <w:gridCol w:w="1651"/>
        <w:gridCol w:w="1612"/>
        <w:gridCol w:w="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2"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序号</w:t>
            </w:r>
          </w:p>
        </w:tc>
        <w:tc>
          <w:tcPr>
            <w:tcW w:w="564"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项目类型</w:t>
            </w:r>
          </w:p>
        </w:tc>
        <w:tc>
          <w:tcPr>
            <w:tcW w:w="537"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工程项目名称</w:t>
            </w:r>
          </w:p>
        </w:tc>
        <w:tc>
          <w:tcPr>
            <w:tcW w:w="1849"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主要建设内容</w:t>
            </w:r>
          </w:p>
        </w:tc>
        <w:tc>
          <w:tcPr>
            <w:tcW w:w="270"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项目数量</w:t>
            </w:r>
          </w:p>
        </w:tc>
        <w:tc>
          <w:tcPr>
            <w:tcW w:w="359"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计划投资</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（万元）</w:t>
            </w:r>
          </w:p>
        </w:tc>
        <w:tc>
          <w:tcPr>
            <w:tcW w:w="326"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建设</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期限</w:t>
            </w:r>
          </w:p>
        </w:tc>
        <w:tc>
          <w:tcPr>
            <w:tcW w:w="603"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责任部门/</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建设主体</w:t>
            </w:r>
          </w:p>
        </w:tc>
        <w:tc>
          <w:tcPr>
            <w:tcW w:w="258"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w:t>
            </w:r>
          </w:p>
        </w:tc>
        <w:tc>
          <w:tcPr>
            <w:tcW w:w="564"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加强重点考核断面达标整治</w:t>
            </w: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方案编制</w:t>
            </w:r>
          </w:p>
        </w:tc>
        <w:tc>
          <w:tcPr>
            <w:tcW w:w="1849"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编制实施扁担河大沟坝桥断面年度达标整治方案。</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6" w:type="pct"/>
            <w:vAlign w:val="center"/>
          </w:tcPr>
          <w:p>
            <w:pPr>
              <w:pStyle w:val="8"/>
              <w:ind w:left="-160" w:leftChars="-50" w:right="-160" w:rightChars="-50"/>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2022年3月底</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邹区镇、钟楼生态环境局</w:t>
            </w:r>
          </w:p>
        </w:tc>
        <w:tc>
          <w:tcPr>
            <w:tcW w:w="25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2</w:t>
            </w:r>
          </w:p>
        </w:tc>
        <w:tc>
          <w:tcPr>
            <w:tcW w:w="564" w:type="pct"/>
            <w:vMerge w:val="restar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打好太湖流域综合整治攻坚战</w:t>
            </w: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河道疏浚清淤及岸坡整治</w:t>
            </w:r>
          </w:p>
        </w:tc>
        <w:tc>
          <w:tcPr>
            <w:tcW w:w="1849"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通济河、洪庄河、东十字河、后塘河、护场河（高架以东段）、会馆浜、 皇粮浜幸福河湖达标创建工程：通济河、洪庄河、东十字河实施疏浚清淤；后塘河、护场河（高架以东段）、会馆浜、 皇粮浜实施岸坡整治。</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2700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区农业农村局、五星街道、永红街道、西林街道、南大街街道、荷花池街道</w:t>
            </w:r>
          </w:p>
        </w:tc>
        <w:tc>
          <w:tcPr>
            <w:tcW w:w="2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3</w:t>
            </w:r>
          </w:p>
        </w:tc>
        <w:tc>
          <w:tcPr>
            <w:tcW w:w="564" w:type="pct"/>
            <w:vMerge w:val="continue"/>
            <w:vAlign w:val="center"/>
          </w:tcPr>
          <w:p>
            <w:pPr>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restar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污水治理示范区建设</w:t>
            </w:r>
          </w:p>
        </w:tc>
        <w:tc>
          <w:tcPr>
            <w:tcW w:w="1849"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选择一个典型小流域（毛龙河），开展工业、生活、农业面源污染综合治理，涵盖涉磷企业综合整治，涉水企业雨污分流改造，排放口规范化整治，监测监控体系建设，实施污水排放全流程标准化管理，开展河道生态化改造，打造区域水环境治理样板工程。示范区内全部绘制市政雨污管网、工业企业雨污管网布局走向图，并上墙公示。</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1100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钟楼生态环境局、区住建局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4</w:t>
            </w:r>
          </w:p>
        </w:tc>
        <w:tc>
          <w:tcPr>
            <w:tcW w:w="564" w:type="pct"/>
            <w:vMerge w:val="continue"/>
            <w:vAlign w:val="center"/>
          </w:tcPr>
          <w:p>
            <w:pPr>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围绕问题突出的邹区片区，编制综合整治方案，推进水环境综合整治工作。</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邹区镇、钟楼生态环境局、区住建局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232" w:type="pct"/>
            <w:vMerge w:val="restar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5</w:t>
            </w:r>
          </w:p>
        </w:tc>
        <w:tc>
          <w:tcPr>
            <w:tcW w:w="564" w:type="pct"/>
            <w:vMerge w:val="restar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打好黑臭水体治理攻坚战</w:t>
            </w:r>
          </w:p>
        </w:tc>
        <w:tc>
          <w:tcPr>
            <w:tcW w:w="537" w:type="pct"/>
            <w:vMerge w:val="restar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重点支流支浜整治</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针对岳溪河、岳津河、卜泰河、毛龙河等4条支流，2月底前制订实施“一河一策”整治计划，3月底前截污纳管措施无法实施到位的，必须同步落实分布式污水处理设施。</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2022年3月底前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邹区镇、新闸街道、钟楼生态环境局、区住建局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232" w:type="pct"/>
            <w:vMerge w:val="continue"/>
            <w:vAlign w:val="center"/>
          </w:tcPr>
          <w:p>
            <w:pPr>
              <w:pStyle w:val="8"/>
              <w:ind w:firstLine="420"/>
              <w:jc w:val="center"/>
              <w:rPr>
                <w:rFonts w:hint="default" w:ascii="Times New Roman" w:hAnsi="Times New Roman" w:cs="Times New Roman"/>
                <w:color w:val="000000" w:themeColor="text1"/>
                <w14:textFill>
                  <w14:solidFill>
                    <w14:schemeClr w14:val="tx1"/>
                  </w14:solidFill>
                </w14:textFill>
              </w:rPr>
            </w:pPr>
          </w:p>
        </w:tc>
        <w:tc>
          <w:tcPr>
            <w:tcW w:w="564" w:type="pct"/>
            <w:vMerge w:val="continue"/>
            <w:vAlign w:val="center"/>
          </w:tcPr>
          <w:p>
            <w:pPr>
              <w:pStyle w:val="8"/>
              <w:ind w:firstLine="420"/>
              <w:rPr>
                <w:rFonts w:hint="default" w:ascii="Times New Roman" w:hAnsi="Times New Roman" w:cs="Times New Roman"/>
                <w:color w:val="000000" w:themeColor="text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岳溪河、西涵洞河、三八河按计划实施分布式污水处理设施安装工作。</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2022年4月底前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邹区镇、五星街道、西林街道、钟楼生态环境局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2" w:type="pct"/>
            <w:vMerge w:val="continue"/>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c>
          <w:tcPr>
            <w:tcW w:w="564" w:type="pct"/>
            <w:vMerge w:val="continue"/>
            <w:vAlign w:val="center"/>
          </w:tcPr>
          <w:p>
            <w:pPr>
              <w:pStyle w:val="8"/>
              <w:ind w:firstLine="420"/>
              <w:rPr>
                <w:rFonts w:hint="default" w:ascii="Times New Roman" w:hAnsi="Times New Roman" w:eastAsia="仿宋_GB2312" w:cs="Times New Roman"/>
                <w:color w:val="000000" w:themeColor="text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加快推进南运河剩余支流支浜水环境综合整治工作，年内完成蒋家浜水环境整治任务。</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350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2022年12月底前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永红街道、钟楼生态环境局</w:t>
            </w:r>
          </w:p>
        </w:tc>
        <w:tc>
          <w:tcPr>
            <w:tcW w:w="25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2" w:type="pct"/>
            <w:vMerge w:val="continue"/>
            <w:vAlign w:val="center"/>
          </w:tcPr>
          <w:p>
            <w:pPr>
              <w:pStyle w:val="8"/>
              <w:rPr>
                <w:rFonts w:hint="default" w:ascii="Times New Roman" w:hAnsi="Times New Roman" w:cs="Times New Roman"/>
              </w:rPr>
            </w:pPr>
          </w:p>
        </w:tc>
        <w:tc>
          <w:tcPr>
            <w:tcW w:w="564" w:type="pct"/>
            <w:vMerge w:val="continue"/>
            <w:vAlign w:val="center"/>
          </w:tcPr>
          <w:p>
            <w:pPr>
              <w:pStyle w:val="8"/>
              <w:rPr>
                <w:rFonts w:hint="default" w:ascii="Times New Roman" w:hAnsi="Times New Roman" w:cs="Times New Roman"/>
              </w:rPr>
            </w:pPr>
          </w:p>
        </w:tc>
        <w:tc>
          <w:tcPr>
            <w:tcW w:w="537" w:type="pct"/>
            <w:vMerge w:val="continue"/>
            <w:vAlign w:val="center"/>
          </w:tcPr>
          <w:p>
            <w:pPr>
              <w:pStyle w:val="8"/>
              <w:rPr>
                <w:rFonts w:hint="default" w:ascii="Times New Roman" w:hAnsi="Times New Roman" w:cs="Times New Roman"/>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对各支流支浜、泵闸站定期开展水质监测。</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2022年12月底前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各板块</w:t>
            </w:r>
            <w:r>
              <w:rPr>
                <w:rFonts w:hint="default" w:ascii="Times New Roman" w:hAnsi="Times New Roman" w:eastAsia="仿宋_GB2312" w:cs="Times New Roman"/>
                <w:color w:val="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6</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restar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河道综合整治</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毛龙河水环境综合整治工程：实施毛龙河外源污染物控制与内源污染物治理工作，主要包括：生活污染源控制、其他外源污染物控制、河道清淤、河道水生态修复、支浜水环境整治、汛期水质保障、河道长效管护等。2022年完成80%。</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1100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2022-2023</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区住建局、新闸街道、五星街道</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7</w:t>
            </w:r>
          </w:p>
        </w:tc>
        <w:tc>
          <w:tcPr>
            <w:tcW w:w="564" w:type="pct"/>
            <w:vMerge w:val="continue"/>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新孟河（钟楼段）排放口整治工程：根治新孟河清水通道排污口，开展新孟河（钟楼段）排放口整治，实现殷村片区污水管网全覆盖，对新孟河西侧排污口实施雨污分流改造。</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邹区镇、区住建局、钟楼生态环境局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8</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restar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加快建设城镇生活污水收集处理设施</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对常州邹区污水处理厂实施再生水利用，借此对岳溪河进行生态补水，同步实施钟楼区邹区镇污水处理厂尾水利用工程。2022年年度目标：完成主体工程的30%。</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2022-2023年</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邹区镇、区住建局、钟楼生态环境局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9</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常州邹区水务工程有限公司邹区污水处理厂3期扩建1万吨/日及并提标改造。2022年3月底前完成基坑开挖，2022年完成50%。</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9600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2021-2023年</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邹区镇、区住建局、钟楼生态环境局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10</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水污染物平衡核算</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bookmarkStart w:id="0" w:name="_Hlk97325791"/>
            <w:r>
              <w:rPr>
                <w:rFonts w:hint="default" w:ascii="Times New Roman" w:hAnsi="Times New Roman" w:eastAsia="仿宋_GB2312" w:cs="Times New Roman"/>
                <w:color w:val="000000" w:themeColor="text1"/>
                <w14:textFill>
                  <w14:solidFill>
                    <w14:schemeClr w14:val="tx1"/>
                  </w14:solidFill>
                </w14:textFill>
              </w:rPr>
              <w:t>推进首次城镇区域水污染物平衡核算成果应用，3月底前，制定完成“一区一策”差别化的补短板治理方案。</w:t>
            </w:r>
            <w:bookmarkEnd w:id="0"/>
            <w:r>
              <w:rPr>
                <w:rFonts w:hint="default" w:ascii="Times New Roman" w:hAnsi="Times New Roman" w:eastAsia="仿宋_GB2312" w:cs="Times New Roman"/>
                <w:color w:val="000000" w:themeColor="text1"/>
                <w14:textFill>
                  <w14:solidFill>
                    <w14:schemeClr w14:val="tx1"/>
                  </w14:solidFill>
                </w14:textFill>
              </w:rPr>
              <w:t>6月底前完成2021年度区域水污染物平衡核算工作。</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钟楼生态环境局、区住建局</w:t>
            </w:r>
          </w:p>
        </w:tc>
        <w:tc>
          <w:tcPr>
            <w:tcW w:w="25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11</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新昌路雨污分流改造</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对新昌路沿线污水排口整治提升，以及文盛花苑、新昌花苑、新庆花苑、新康花苑等4个小区的雨污水分流。2022年完成30%。</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3600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2022-2023年</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区住建局、新闸街道</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12</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restar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提质增效"333"行动</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持续推进城镇污水处理提质增效达标区建设4个，面积8.5平方公里。城市污水厂进水浓度有效提升。</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区住建局、北港街道、新闸街道、五星街道、永红街道</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13</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spacing w:val="-8"/>
                <w14:textFill>
                  <w14:solidFill>
                    <w14:schemeClr w14:val="tx1"/>
                  </w14:solidFill>
                </w14:textFill>
              </w:rPr>
            </w:pPr>
            <w:r>
              <w:rPr>
                <w:rFonts w:hint="default" w:ascii="Times New Roman" w:hAnsi="Times New Roman" w:eastAsia="仿宋_GB2312" w:cs="Times New Roman"/>
                <w:color w:val="000000" w:themeColor="text1"/>
                <w:spacing w:val="-8"/>
                <w14:textFill>
                  <w14:solidFill>
                    <w14:schemeClr w14:val="tx1"/>
                  </w14:solidFill>
                </w14:textFill>
              </w:rPr>
              <w:t>推进通济河、后塘河等20条建成区水体消劣提质。</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w:t>
            </w:r>
          </w:p>
        </w:tc>
        <w:tc>
          <w:tcPr>
            <w:tcW w:w="2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14</w:t>
            </w:r>
          </w:p>
        </w:tc>
        <w:tc>
          <w:tcPr>
            <w:tcW w:w="564" w:type="pct"/>
            <w:vMerge w:val="continue"/>
            <w:vAlign w:val="center"/>
          </w:tcPr>
          <w:p>
            <w:pPr>
              <w:spacing w:line="240" w:lineRule="auto"/>
              <w:ind w:firstLine="420"/>
              <w:rPr>
                <w:rFonts w:hint="default" w:ascii="Times New Roman" w:hAnsi="Times New Roman" w:cs="Times New Roman"/>
                <w:color w:val="000000" w:themeColor="text1"/>
                <w:sz w:val="21"/>
                <w:szCs w:val="21"/>
                <w14:textFill>
                  <w14:solidFill>
                    <w14:schemeClr w14:val="tx1"/>
                  </w14:solidFill>
                </w14:textFill>
              </w:rPr>
            </w:pPr>
          </w:p>
        </w:tc>
        <w:tc>
          <w:tcPr>
            <w:tcW w:w="537" w:type="pct"/>
            <w:vMerge w:val="continue"/>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城镇污水管网建设工程：钟楼区新建污水管网10公里。</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2020-2022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w:t>
            </w:r>
          </w:p>
        </w:tc>
        <w:tc>
          <w:tcPr>
            <w:tcW w:w="258"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15</w:t>
            </w:r>
          </w:p>
        </w:tc>
        <w:tc>
          <w:tcPr>
            <w:tcW w:w="564" w:type="pct"/>
            <w:vMerge w:val="restar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强化陆域水域污染协同治理</w:t>
            </w: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跨界水体联防联控</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实施“一口一策”整治方案并完成年度整治任务，实施入河入湖排污口长效管理。</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钟楼生态环境局、区住建局</w:t>
            </w:r>
          </w:p>
        </w:tc>
        <w:tc>
          <w:tcPr>
            <w:tcW w:w="2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16</w:t>
            </w:r>
          </w:p>
        </w:tc>
        <w:tc>
          <w:tcPr>
            <w:tcW w:w="564" w:type="pct"/>
            <w:vMerge w:val="continue"/>
            <w:vAlign w:val="center"/>
          </w:tcPr>
          <w:p>
            <w:pPr>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排污口整治</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年底前完成70%以上太湖流域入河（湖）排污口整治任务。（钟楼区共涉及106个排污口，年度完成75个）</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75</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钟楼生态环境局、区住建局</w:t>
            </w:r>
          </w:p>
        </w:tc>
        <w:tc>
          <w:tcPr>
            <w:tcW w:w="2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2"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17</w:t>
            </w:r>
          </w:p>
        </w:tc>
        <w:tc>
          <w:tcPr>
            <w:tcW w:w="564" w:type="pct"/>
            <w:vMerge w:val="continue"/>
            <w:vAlign w:val="center"/>
          </w:tcPr>
          <w:p>
            <w:pPr>
              <w:spacing w:line="240" w:lineRule="auto"/>
              <w:rPr>
                <w:rFonts w:hint="default" w:ascii="Times New Roman" w:hAnsi="Times New Roman" w:cs="Times New Roman"/>
                <w:color w:val="000000" w:themeColor="text1"/>
                <w:sz w:val="21"/>
                <w:szCs w:val="2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深化涉磷企业调查整治</w:t>
            </w:r>
          </w:p>
        </w:tc>
        <w:tc>
          <w:tcPr>
            <w:tcW w:w="1849"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持续推进涉磷企业标准化、规范化整治，将涉磷企业纳入清单化动态管理，4月底前制定整治方案，年底前完成70%整治任务（140家）。</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钟楼生态环境局、各板块</w:t>
            </w:r>
          </w:p>
        </w:tc>
        <w:tc>
          <w:tcPr>
            <w:tcW w:w="258"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1" w:hRule="atLeast"/>
          <w:jc w:val="center"/>
        </w:trPr>
        <w:tc>
          <w:tcPr>
            <w:tcW w:w="232" w:type="pct"/>
            <w:vMerge w:val="restar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18</w:t>
            </w:r>
          </w:p>
        </w:tc>
        <w:tc>
          <w:tcPr>
            <w:tcW w:w="564" w:type="pct"/>
            <w:vMerge w:val="restart"/>
            <w:vAlign w:val="center"/>
          </w:tcPr>
          <w:p>
            <w:pPr>
              <w:spacing w:line="240" w:lineRule="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推进政府投资生态环境保护类项目实施</w:t>
            </w: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北港街道后塘河生态绿廊工程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完善后塘河（玉龙路-月季路）北沿线绿化约1.5万㎡，内容含绿化提升、滨水步道、健身步道等。</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3350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2022年12月</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北港街道、区住建局</w:t>
            </w:r>
          </w:p>
        </w:tc>
        <w:tc>
          <w:tcPr>
            <w:tcW w:w="2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向阳河水环境整治工程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整治工程含商户接管、截流调蓄和活水补水：以商户卫生间改造为重点，新建DN200，DN400，DN600和DN800污水管约2km，DN200活水压力管约1.9km，31*10m调蓄池（500t/d截流泵站）1座，10*9调蓄池（1000t/d截流泵站）1座，10*3m换水泵站（规模2400t/d）1座，可调式不锈钢堰门（B=1.0m，H=2.0m）1只。</w:t>
            </w:r>
          </w:p>
        </w:tc>
        <w:tc>
          <w:tcPr>
            <w:tcW w:w="270"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1550</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2022.06-2022.12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邹区镇、钟楼生态环境局、区住建局、区农业农村局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新孟河（钟楼段）排放口整治工程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主要对集中在新孟河（钟楼段）常金线北侧至殷村大道北侧的4处排放口进行整治；新建DN250-DN300污水重力管约2.7km，新建DN150污水压力管300m，应急泵站2座（100m³/d）。</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1125</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2022.06-2022.12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邹区镇、钟楼生态环境局、区住建局、区农业农村局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S239污水管网建设工程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沿S239（镇界-南环路）敷设Φ450-d800污水管道约5.4km。</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3063</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2022.06-2022.12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红星大沟东侧道路污水管网建设工程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沿红星大沟东侧道路（S340-泰来路）敷设Φ600污水管道约0.7km。</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861</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2022.06-2022.12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南环路西延污水管网建设工程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在殷村污水处理站内、育才路、和裕路、德裕路敷设DN250-Φ400污水压力管约2km，新建一体化泵站1座（规模为3000m³/d）。</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504</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2022.06-2022.12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邹区污水处理厂三期</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对邹区污水处理厂进行提标改造及扩建，三期建成后达到处理能力为3万t/d，达标排放。</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12417</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2021.12-2023.12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运河新闸片区小流域综合整治</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1.治理新闸街道12个自然村组生活污水，改造雨污分流，对农村生活污水进行接管，没有接管条件的，建立截污泵站。全长1550米。</w:t>
            </w:r>
            <w:r>
              <w:rPr>
                <w:rFonts w:hint="default" w:ascii="Times New Roman" w:hAnsi="Times New Roman" w:cs="Times New Roman"/>
                <w:color w:val="000000" w:themeColor="text1"/>
                <w:sz w:val="21"/>
                <w:szCs w:val="21"/>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t>2.对南凤河，大西沟，徐林沟，护村河，边沟等12条河道整治清淤。</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2200</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2021.03-2022.12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新闸街道、区农业农村局、钟楼生态环境局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丁沟河疏浚工程</w:t>
            </w:r>
          </w:p>
        </w:tc>
        <w:tc>
          <w:tcPr>
            <w:tcW w:w="1849" w:type="pct"/>
            <w:vAlign w:val="center"/>
          </w:tcPr>
          <w:p>
            <w:pPr>
              <w:spacing w:line="240" w:lineRule="auto"/>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丁沟河东至新庆路，西至凤凰河，全长1011米。</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6054</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 xml:space="preserve"> 2021.10-2022.12 </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新闸街道、区农业农村局、钟楼生态环境局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高新园（邹区镇）小微黑臭水体整治工程</w:t>
            </w:r>
          </w:p>
        </w:tc>
        <w:tc>
          <w:tcPr>
            <w:tcW w:w="1849" w:type="pct"/>
            <w:vAlign w:val="center"/>
          </w:tcPr>
          <w:p>
            <w:pPr>
              <w:spacing w:line="240" w:lineRule="auto"/>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三年完成全镇小微水体整治，主要工程包括截污纳管、岸坡整治、活水清淤、生态修复等工程。</w:t>
            </w:r>
          </w:p>
        </w:tc>
        <w:tc>
          <w:tcPr>
            <w:tcW w:w="270"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2020.05-2022.12</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2000</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邹区镇、区住建局、区农业农村局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邹区扁担河支流支浜水环境综合整治</w:t>
            </w:r>
          </w:p>
        </w:tc>
        <w:tc>
          <w:tcPr>
            <w:tcW w:w="1849" w:type="pct"/>
            <w:vAlign w:val="center"/>
          </w:tcPr>
          <w:p>
            <w:pPr>
              <w:spacing w:line="240" w:lineRule="auto"/>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对卜泰河河道进行截污，团结河、新普河进行活水、生态管护等建设。</w:t>
            </w:r>
          </w:p>
        </w:tc>
        <w:tc>
          <w:tcPr>
            <w:tcW w:w="270"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4000</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2021.08-2022.10</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邹区镇、钟楼生态环境局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五星街道后塘河清淤整治工程</w:t>
            </w:r>
          </w:p>
        </w:tc>
        <w:tc>
          <w:tcPr>
            <w:tcW w:w="1849" w:type="pct"/>
            <w:vAlign w:val="center"/>
          </w:tcPr>
          <w:p>
            <w:pPr>
              <w:spacing w:line="240" w:lineRule="auto"/>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对后塘河五星段进行清淤整治。</w:t>
            </w:r>
          </w:p>
        </w:tc>
        <w:tc>
          <w:tcPr>
            <w:tcW w:w="270" w:type="pct"/>
            <w:vAlign w:val="center"/>
          </w:tcPr>
          <w:p>
            <w:pPr>
              <w:pStyle w:val="8"/>
              <w:jc w:val="center"/>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color w:val="000000" w:themeColor="text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660</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2021.10-2022.03</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五星街道、区农业农村局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jc w:val="center"/>
        </w:trPr>
        <w:tc>
          <w:tcPr>
            <w:tcW w:w="232"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64" w:type="pct"/>
            <w:vMerge w:val="continue"/>
            <w:vAlign w:val="center"/>
          </w:tcPr>
          <w:p>
            <w:pPr>
              <w:pStyle w:val="8"/>
              <w:rPr>
                <w:rFonts w:hint="default" w:ascii="Times New Roman" w:hAnsi="Times New Roman" w:eastAsia="宋体" w:cs="Times New Roman"/>
                <w:color w:val="000000" w:themeColor="text1"/>
                <w14:textFill>
                  <w14:solidFill>
                    <w14:schemeClr w14:val="tx1"/>
                  </w14:solidFill>
                </w14:textFill>
              </w:rPr>
            </w:pPr>
          </w:p>
        </w:tc>
        <w:tc>
          <w:tcPr>
            <w:tcW w:w="537" w:type="pct"/>
            <w:vAlign w:val="center"/>
          </w:tcPr>
          <w:p>
            <w:pPr>
              <w:pStyle w:val="8"/>
              <w:rPr>
                <w:rFonts w:hint="default" w:ascii="Times New Roman" w:hAnsi="Times New Roman" w:eastAsia="仿宋_GB2312" w:cs="Times New Roman"/>
                <w:color w:val="000000" w:themeColor="text1"/>
                <w:spacing w:val="-6"/>
                <w14:textFill>
                  <w14:solidFill>
                    <w14:schemeClr w14:val="tx1"/>
                  </w14:solidFill>
                </w14:textFill>
              </w:rPr>
            </w:pPr>
            <w:r>
              <w:rPr>
                <w:rFonts w:hint="default" w:ascii="Times New Roman" w:hAnsi="Times New Roman" w:eastAsia="仿宋_GB2312" w:cs="Times New Roman"/>
                <w:color w:val="000000" w:themeColor="text1"/>
                <w:spacing w:val="-6"/>
                <w14:textFill>
                  <w14:solidFill>
                    <w14:schemeClr w14:val="tx1"/>
                  </w14:solidFill>
                </w14:textFill>
              </w:rPr>
              <w:t>岳溪河水环境提升工程</w:t>
            </w:r>
          </w:p>
        </w:tc>
        <w:tc>
          <w:tcPr>
            <w:tcW w:w="1849" w:type="pct"/>
            <w:vAlign w:val="center"/>
          </w:tcPr>
          <w:p>
            <w:pPr>
              <w:spacing w:line="240" w:lineRule="auto"/>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对岳溪河及其支流进行补充截污及岸坡生态建设，污水管网建设全覆盖。</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3000</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2022.06-2023.12</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邹区镇、区农业农村局</w:t>
            </w:r>
          </w:p>
        </w:tc>
        <w:tc>
          <w:tcPr>
            <w:tcW w:w="258"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232" w:type="pct"/>
            <w:vMerge w:val="continue"/>
            <w:vAlign w:val="center"/>
          </w:tcPr>
          <w:p>
            <w:pPr>
              <w:spacing w:line="240" w:lineRule="auto"/>
              <w:jc w:val="center"/>
              <w:rPr>
                <w:rFonts w:hint="default" w:ascii="Times New Roman" w:hAnsi="Times New Roman" w:cs="Times New Roman"/>
                <w:color w:val="000000" w:themeColor="text1"/>
                <w14:textFill>
                  <w14:solidFill>
                    <w14:schemeClr w14:val="tx1"/>
                  </w14:solidFill>
                </w14:textFill>
              </w:rPr>
            </w:pPr>
          </w:p>
        </w:tc>
        <w:tc>
          <w:tcPr>
            <w:tcW w:w="564" w:type="pct"/>
            <w:vMerge w:val="continue"/>
            <w:vAlign w:val="center"/>
          </w:tcPr>
          <w:p>
            <w:pPr>
              <w:spacing w:line="240" w:lineRule="auto"/>
              <w:rPr>
                <w:rFonts w:hint="default" w:ascii="Times New Roman" w:hAnsi="Times New Roman" w:cs="Times New Roman"/>
                <w:color w:val="000000" w:themeColor="text1"/>
                <w14:textFill>
                  <w14:solidFill>
                    <w14:schemeClr w14:val="tx1"/>
                  </w14:solidFill>
                </w14:textFill>
              </w:rPr>
            </w:pPr>
          </w:p>
        </w:tc>
        <w:tc>
          <w:tcPr>
            <w:tcW w:w="537" w:type="pct"/>
            <w:vAlign w:val="center"/>
          </w:tcPr>
          <w:p>
            <w:pPr>
              <w:spacing w:line="240" w:lineRule="auto"/>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北港街道童子河生态绿廊工程</w:t>
            </w:r>
          </w:p>
        </w:tc>
        <w:tc>
          <w:tcPr>
            <w:tcW w:w="1849" w:type="pct"/>
            <w:vAlign w:val="center"/>
          </w:tcPr>
          <w:p>
            <w:pPr>
              <w:spacing w:line="240" w:lineRule="auto"/>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先行启动童子河（玉兰路-星港路）段生态廊道建设，内容含绿化提升、人工湿地、生态隔离带及园路改造。</w:t>
            </w:r>
          </w:p>
        </w:tc>
        <w:tc>
          <w:tcPr>
            <w:tcW w:w="270" w:type="pct"/>
            <w:vAlign w:val="center"/>
          </w:tcPr>
          <w:p>
            <w:pPr>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359"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2022.05-2022.12</w:t>
            </w:r>
          </w:p>
        </w:tc>
        <w:tc>
          <w:tcPr>
            <w:tcW w:w="326" w:type="pct"/>
            <w:vAlign w:val="center"/>
          </w:tcPr>
          <w:p>
            <w:pPr>
              <w:spacing w:line="240" w:lineRule="auto"/>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3000</w:t>
            </w:r>
          </w:p>
        </w:tc>
        <w:tc>
          <w:tcPr>
            <w:tcW w:w="60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北港街道</w:t>
            </w:r>
          </w:p>
        </w:tc>
        <w:tc>
          <w:tcPr>
            <w:tcW w:w="258" w:type="pct"/>
            <w:vAlign w:val="center"/>
          </w:tcPr>
          <w:p>
            <w:pPr>
              <w:spacing w:line="240" w:lineRule="auto"/>
              <w:jc w:val="center"/>
              <w:rPr>
                <w:rFonts w:hint="default" w:ascii="Times New Roman" w:hAnsi="Times New Roman" w:cs="Times New Roman"/>
                <w:color w:val="000000" w:themeColor="text1"/>
                <w:spacing w:val="-6"/>
                <w14:textFill>
                  <w14:solidFill>
                    <w14:schemeClr w14:val="tx1"/>
                  </w14:solidFill>
                </w14:textFill>
              </w:rPr>
            </w:pPr>
          </w:p>
        </w:tc>
      </w:tr>
    </w:tbl>
    <w:p>
      <w:pPr>
        <w:spacing w:after="80" w:line="500" w:lineRule="exact"/>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（四）深入打好净土保卫战</w:t>
      </w:r>
    </w:p>
    <w:tbl>
      <w:tblPr>
        <w:tblStyle w:val="4"/>
        <w:tblW w:w="532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
        <w:gridCol w:w="1659"/>
        <w:gridCol w:w="1528"/>
        <w:gridCol w:w="5564"/>
        <w:gridCol w:w="791"/>
        <w:gridCol w:w="1069"/>
        <w:gridCol w:w="973"/>
        <w:gridCol w:w="1832"/>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48"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序号</w:t>
            </w:r>
          </w:p>
        </w:tc>
        <w:tc>
          <w:tcPr>
            <w:tcW w:w="55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项目类型</w:t>
            </w:r>
          </w:p>
        </w:tc>
        <w:tc>
          <w:tcPr>
            <w:tcW w:w="512"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工程项目名称</w:t>
            </w:r>
          </w:p>
        </w:tc>
        <w:tc>
          <w:tcPr>
            <w:tcW w:w="1864"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主要建设内容</w:t>
            </w:r>
          </w:p>
        </w:tc>
        <w:tc>
          <w:tcPr>
            <w:tcW w:w="265"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项目数量</w:t>
            </w:r>
          </w:p>
        </w:tc>
        <w:tc>
          <w:tcPr>
            <w:tcW w:w="358"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计划投资</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（万元）</w:t>
            </w:r>
          </w:p>
        </w:tc>
        <w:tc>
          <w:tcPr>
            <w:tcW w:w="326"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建设</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期限</w:t>
            </w:r>
          </w:p>
        </w:tc>
        <w:tc>
          <w:tcPr>
            <w:tcW w:w="614"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责任部门</w:t>
            </w:r>
          </w:p>
        </w:tc>
        <w:tc>
          <w:tcPr>
            <w:tcW w:w="253"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556"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打好农业农村污染治理攻坚战</w:t>
            </w:r>
          </w:p>
        </w:tc>
        <w:tc>
          <w:tcPr>
            <w:tcW w:w="512"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农村生活污水治理</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新增完成3个行政村生活污水治理及31个自然村农村生活污水治理，达到行政村覆盖率85%、规划发展村覆盖率100%的治理目标。</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34</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3600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邹区镇、钟楼生态环境局</w:t>
            </w:r>
          </w:p>
        </w:tc>
        <w:tc>
          <w:tcPr>
            <w:tcW w:w="25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新建农村公厕2座。</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区住建局、邹区镇</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创建生活垃圾分类示范村1个。</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区城管局、邹区镇</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8"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邹区镇农村生活污水处理设施改造提升工程</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 对所有已建设施加强管理，确保正常运行；2.对24套2021年7月运维到期的农村生活污水处理设施进行改造提升；3. 建设在线监管平台，对设施进行统一监管。</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钟楼生态环境局、邹区镇</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w:t>
            </w:r>
          </w:p>
        </w:tc>
        <w:tc>
          <w:tcPr>
            <w:tcW w:w="556"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打好农业农村污染治理攻坚战</w:t>
            </w: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农村黑臭水体综合治理工程</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完成36个黑臭水体整治并销号。</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36</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农村河道疏浚</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完成疏浚土方7万方。</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150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区农业农村局、邹区镇</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7</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小微水体整治</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推选2个市级小微水体示范村。</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区农业农村局、邹区镇</w:t>
            </w:r>
          </w:p>
        </w:tc>
        <w:tc>
          <w:tcPr>
            <w:tcW w:w="25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8</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完成40个问题小微水体整治任务。</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40</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120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区农业农村局、邹区镇</w:t>
            </w:r>
          </w:p>
        </w:tc>
        <w:tc>
          <w:tcPr>
            <w:tcW w:w="25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9</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断头河浜排查治理</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开展断头河浜专项排查治理，明确年度计划，推动对断头河浜实施清淤、生态修复等治理工程，贯通“小水系”，让水体“活”起来（荷园及周边地块配套丁沟河（凤凰河-新庆路）工程）。</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6053</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区农业农村局、邹区镇</w:t>
            </w:r>
          </w:p>
        </w:tc>
        <w:tc>
          <w:tcPr>
            <w:tcW w:w="25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农业面源综合治理</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9月底前，编制完成新一轮《畜禽养殖污染防治规划》。</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钟楼生态环境局、区农业农村局、邹区镇</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11</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在环境敏感的国省考断面上游沿线地区进行农田退水污染监测评估，划定优先管控区域，在优先管控区域采取种植结构调整、直播稻转机插秧、秸秆离田利用、化肥限量等措施，减少农田退水影响。</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钟楼生态环境局、区农业农村局、邹区镇</w:t>
            </w:r>
          </w:p>
        </w:tc>
        <w:tc>
          <w:tcPr>
            <w:tcW w:w="25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12</w:t>
            </w:r>
          </w:p>
        </w:tc>
        <w:tc>
          <w:tcPr>
            <w:tcW w:w="556"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推进土壤污染防治和安全利用</w:t>
            </w: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污染地块土壤修复工程</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启动皇粮浜片区南片区（西林电镀厂及周边地块）土壤和地下水修复工程：白云南路西侧地块、常州市钟楼区新体西路南侧地块。</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3263</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钟楼生态环境局、永红街道、西林街道</w:t>
            </w:r>
          </w:p>
        </w:tc>
        <w:tc>
          <w:tcPr>
            <w:tcW w:w="253"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13</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关闭化工等重污染企业腾退地块土壤污染状况调查</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完成33个关闭搬迁遗留地块和详查超标地块土壤污染状况调查。</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33</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330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14</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土壤污染重点监管单位自行监测及周边监测</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完成20个土壤污染重点监管单位自行监测及7个土壤污染重点监管单位周边土壤和地下水监测。</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27</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见附表13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15</w:t>
            </w:r>
          </w:p>
        </w:tc>
        <w:tc>
          <w:tcPr>
            <w:tcW w:w="556"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推进“无废城市”建设</w:t>
            </w: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“绿岛”建设</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江苏恒源活性炭有限公司新建集中收集贮存试点项目。</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450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3"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16</w:t>
            </w:r>
          </w:p>
        </w:tc>
        <w:tc>
          <w:tcPr>
            <w:tcW w:w="556"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2"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城市生活垃圾</w:t>
            </w:r>
          </w:p>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回收利用</w:t>
            </w:r>
          </w:p>
        </w:tc>
        <w:tc>
          <w:tcPr>
            <w:tcW w:w="1864"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钟楼区垃圾中转站改建、扩建、迁建项目：会馆浜、金色新城垃圾转运站改建，土建安装施工，各增加一个压缩工位。</w:t>
            </w:r>
          </w:p>
        </w:tc>
        <w:tc>
          <w:tcPr>
            <w:tcW w:w="26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5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w:t>
            </w:r>
          </w:p>
        </w:tc>
        <w:tc>
          <w:tcPr>
            <w:tcW w:w="32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区城管局</w:t>
            </w:r>
          </w:p>
        </w:tc>
        <w:tc>
          <w:tcPr>
            <w:tcW w:w="25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bl>
    <w:p>
      <w:pPr>
        <w:spacing w:after="80" w:line="500" w:lineRule="exact"/>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（五）深入打好生态环境安全保卫战</w:t>
      </w:r>
    </w:p>
    <w:tbl>
      <w:tblPr>
        <w:tblStyle w:val="4"/>
        <w:tblW w:w="149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27"/>
        <w:gridCol w:w="1659"/>
        <w:gridCol w:w="1545"/>
        <w:gridCol w:w="5583"/>
        <w:gridCol w:w="720"/>
        <w:gridCol w:w="1126"/>
        <w:gridCol w:w="965"/>
        <w:gridCol w:w="1840"/>
        <w:gridCol w:w="7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43"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bookmarkStart w:id="1" w:name="_Hlk64905874"/>
            <w:r>
              <w:rPr>
                <w:rFonts w:hint="default" w:ascii="Times New Roman" w:hAnsi="Times New Roman" w:eastAsia="黑体" w:cs="Times New Roman"/>
                <w:bCs/>
                <w:color w:val="000000" w:themeColor="text1"/>
                <w14:textFill>
                  <w14:solidFill>
                    <w14:schemeClr w14:val="tx1"/>
                  </w14:solidFill>
                </w14:textFill>
              </w:rPr>
              <w:t>序号</w:t>
            </w:r>
          </w:p>
        </w:tc>
        <w:tc>
          <w:tcPr>
            <w:tcW w:w="555"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项目类型</w:t>
            </w:r>
          </w:p>
        </w:tc>
        <w:tc>
          <w:tcPr>
            <w:tcW w:w="517"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项目名称</w:t>
            </w:r>
          </w:p>
        </w:tc>
        <w:tc>
          <w:tcPr>
            <w:tcW w:w="1869"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主要建设内容</w:t>
            </w:r>
          </w:p>
        </w:tc>
        <w:tc>
          <w:tcPr>
            <w:tcW w:w="241"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项目数量</w:t>
            </w:r>
          </w:p>
        </w:tc>
        <w:tc>
          <w:tcPr>
            <w:tcW w:w="377"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计划投资</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（万元）</w:t>
            </w:r>
          </w:p>
        </w:tc>
        <w:tc>
          <w:tcPr>
            <w:tcW w:w="323"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建设</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期限</w:t>
            </w:r>
          </w:p>
        </w:tc>
        <w:tc>
          <w:tcPr>
            <w:tcW w:w="616"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责任部门/</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建设主体</w:t>
            </w:r>
          </w:p>
        </w:tc>
        <w:tc>
          <w:tcPr>
            <w:tcW w:w="257"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3" w:type="pct"/>
            <w:vAlign w:val="center"/>
          </w:tcPr>
          <w:p>
            <w:pPr>
              <w:pStyle w:val="8"/>
              <w:numPr>
                <w:ilvl w:val="0"/>
                <w:numId w:val="3"/>
              </w:numPr>
              <w:jc w:val="center"/>
              <w:rPr>
                <w:rFonts w:hint="default" w:ascii="Times New Roman" w:hAnsi="Times New Roman" w:eastAsia="仿宋_GB2312" w:cs="Times New Roman"/>
                <w:color w:val="000000" w:themeColor="text1"/>
                <w14:textFill>
                  <w14:solidFill>
                    <w14:schemeClr w14:val="tx1"/>
                  </w14:solidFill>
                </w14:textFill>
              </w:rPr>
            </w:pPr>
          </w:p>
        </w:tc>
        <w:tc>
          <w:tcPr>
            <w:tcW w:w="555"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着力打好生态质量提升攻坚战</w:t>
            </w:r>
          </w:p>
        </w:tc>
        <w:tc>
          <w:tcPr>
            <w:tcW w:w="51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生态安全缓冲区建设</w:t>
            </w:r>
          </w:p>
        </w:tc>
        <w:tc>
          <w:tcPr>
            <w:tcW w:w="1869"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钟楼区邹区镇污水处理厂尾水利用工程开工建设。</w:t>
            </w:r>
          </w:p>
        </w:tc>
        <w:tc>
          <w:tcPr>
            <w:tcW w:w="241"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7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4000</w:t>
            </w:r>
          </w:p>
        </w:tc>
        <w:tc>
          <w:tcPr>
            <w:tcW w:w="32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2022-2023年</w:t>
            </w:r>
          </w:p>
        </w:tc>
        <w:tc>
          <w:tcPr>
            <w:tcW w:w="61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邹区镇、区住建局</w:t>
            </w:r>
          </w:p>
        </w:tc>
        <w:tc>
          <w:tcPr>
            <w:tcW w:w="25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3" w:type="pct"/>
            <w:vAlign w:val="center"/>
          </w:tcPr>
          <w:p>
            <w:pPr>
              <w:pStyle w:val="8"/>
              <w:numPr>
                <w:ilvl w:val="0"/>
                <w:numId w:val="3"/>
              </w:numPr>
              <w:jc w:val="center"/>
              <w:rPr>
                <w:rFonts w:hint="default" w:ascii="Times New Roman" w:hAnsi="Times New Roman" w:eastAsia="仿宋_GB2312" w:cs="Times New Roman"/>
                <w:color w:val="000000" w:themeColor="text1"/>
                <w14:textFill>
                  <w14:solidFill>
                    <w14:schemeClr w14:val="tx1"/>
                  </w14:solidFill>
                </w14:textFill>
              </w:rPr>
            </w:pPr>
          </w:p>
        </w:tc>
        <w:tc>
          <w:tcPr>
            <w:tcW w:w="555"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城乡公园绿地工程</w:t>
            </w:r>
          </w:p>
        </w:tc>
        <w:tc>
          <w:tcPr>
            <w:tcW w:w="1869"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年内实施时代超市配套绿化等10项城乡公园绿地工程。（详见“生态绿城”建设目标任务书）</w:t>
            </w:r>
          </w:p>
        </w:tc>
        <w:tc>
          <w:tcPr>
            <w:tcW w:w="241"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w:t>
            </w:r>
          </w:p>
        </w:tc>
        <w:tc>
          <w:tcPr>
            <w:tcW w:w="37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6690</w:t>
            </w:r>
          </w:p>
        </w:tc>
        <w:tc>
          <w:tcPr>
            <w:tcW w:w="32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区住建局、钟楼生态环境局</w:t>
            </w:r>
          </w:p>
        </w:tc>
        <w:tc>
          <w:tcPr>
            <w:tcW w:w="25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3" w:type="pct"/>
            <w:vAlign w:val="center"/>
          </w:tcPr>
          <w:p>
            <w:pPr>
              <w:pStyle w:val="8"/>
              <w:numPr>
                <w:ilvl w:val="0"/>
                <w:numId w:val="3"/>
              </w:numPr>
              <w:jc w:val="center"/>
              <w:rPr>
                <w:rFonts w:hint="default" w:ascii="Times New Roman" w:hAnsi="Times New Roman" w:eastAsia="仿宋_GB2312" w:cs="Times New Roman"/>
                <w:color w:val="000000" w:themeColor="text1"/>
                <w14:textFill>
                  <w14:solidFill>
                    <w14:schemeClr w14:val="tx1"/>
                  </w14:solidFill>
                </w14:textFill>
              </w:rPr>
            </w:pPr>
          </w:p>
        </w:tc>
        <w:tc>
          <w:tcPr>
            <w:tcW w:w="555"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特色主题建设工程</w:t>
            </w:r>
          </w:p>
        </w:tc>
        <w:tc>
          <w:tcPr>
            <w:tcW w:w="1869"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年内实施油罐公园1个特色主题建设工程。（详见“生态绿城”建设目标任务书）</w:t>
            </w:r>
          </w:p>
        </w:tc>
        <w:tc>
          <w:tcPr>
            <w:tcW w:w="241"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7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w:t>
            </w:r>
          </w:p>
        </w:tc>
        <w:tc>
          <w:tcPr>
            <w:tcW w:w="32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3" w:type="pct"/>
            <w:vAlign w:val="center"/>
          </w:tcPr>
          <w:p>
            <w:pPr>
              <w:pStyle w:val="8"/>
              <w:numPr>
                <w:ilvl w:val="0"/>
                <w:numId w:val="3"/>
              </w:numPr>
              <w:jc w:val="center"/>
              <w:rPr>
                <w:rFonts w:hint="default" w:ascii="Times New Roman" w:hAnsi="Times New Roman" w:eastAsia="仿宋_GB2312" w:cs="Times New Roman"/>
                <w:color w:val="000000" w:themeColor="text1"/>
                <w14:textFill>
                  <w14:solidFill>
                    <w14:schemeClr w14:val="tx1"/>
                  </w14:solidFill>
                </w14:textFill>
              </w:rPr>
            </w:pPr>
          </w:p>
        </w:tc>
        <w:tc>
          <w:tcPr>
            <w:tcW w:w="555"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7"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持续推进造林绿化</w:t>
            </w:r>
          </w:p>
        </w:tc>
        <w:tc>
          <w:tcPr>
            <w:tcW w:w="1869"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完成新增造林200亩。</w:t>
            </w:r>
          </w:p>
        </w:tc>
        <w:tc>
          <w:tcPr>
            <w:tcW w:w="241"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7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w:t>
            </w:r>
          </w:p>
        </w:tc>
        <w:tc>
          <w:tcPr>
            <w:tcW w:w="32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钟楼自然资源和规划分局</w:t>
            </w:r>
          </w:p>
        </w:tc>
        <w:tc>
          <w:tcPr>
            <w:tcW w:w="25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243" w:type="pct"/>
            <w:vAlign w:val="center"/>
          </w:tcPr>
          <w:p>
            <w:pPr>
              <w:pStyle w:val="8"/>
              <w:numPr>
                <w:ilvl w:val="0"/>
                <w:numId w:val="3"/>
              </w:numPr>
              <w:jc w:val="center"/>
              <w:rPr>
                <w:rFonts w:hint="default" w:ascii="Times New Roman" w:hAnsi="Times New Roman" w:eastAsia="仿宋_GB2312" w:cs="Times New Roman"/>
                <w:color w:val="000000" w:themeColor="text1"/>
                <w14:textFill>
                  <w14:solidFill>
                    <w14:schemeClr w14:val="tx1"/>
                  </w14:solidFill>
                </w14:textFill>
              </w:rPr>
            </w:pPr>
          </w:p>
        </w:tc>
        <w:tc>
          <w:tcPr>
            <w:tcW w:w="555"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7"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869"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建设绿美村庄1个。</w:t>
            </w:r>
          </w:p>
        </w:tc>
        <w:tc>
          <w:tcPr>
            <w:tcW w:w="241"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7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w:t>
            </w:r>
          </w:p>
        </w:tc>
        <w:tc>
          <w:tcPr>
            <w:tcW w:w="32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钟楼自然资源和规划分局</w:t>
            </w:r>
          </w:p>
        </w:tc>
        <w:tc>
          <w:tcPr>
            <w:tcW w:w="25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 w:hRule="atLeast"/>
          <w:jc w:val="center"/>
        </w:trPr>
        <w:tc>
          <w:tcPr>
            <w:tcW w:w="243" w:type="pct"/>
            <w:vAlign w:val="center"/>
          </w:tcPr>
          <w:p>
            <w:pPr>
              <w:pStyle w:val="8"/>
              <w:numPr>
                <w:ilvl w:val="0"/>
                <w:numId w:val="0"/>
              </w:numPr>
              <w:ind w:leftChars="0"/>
              <w:jc w:val="center"/>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lang w:val="en-US" w:eastAsia="zh-CN"/>
                <w14:textFill>
                  <w14:solidFill>
                    <w14:schemeClr w14:val="tx1"/>
                  </w14:solidFill>
                </w14:textFill>
              </w:rPr>
              <w:t>6</w:t>
            </w:r>
          </w:p>
        </w:tc>
        <w:tc>
          <w:tcPr>
            <w:tcW w:w="555"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强化生态保护监管</w:t>
            </w:r>
          </w:p>
        </w:tc>
        <w:tc>
          <w:tcPr>
            <w:tcW w:w="51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生态细胞建设工程</w:t>
            </w:r>
          </w:p>
        </w:tc>
        <w:tc>
          <w:tcPr>
            <w:tcW w:w="1869"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创成江苏省生态文明建设示范区1个，江苏省生态文明建设示范乡镇（街道）2个，江苏省生态文明建设示范村1个，常州市生态文明建设示范村1个，开展创建国际生态学校1个。</w:t>
            </w:r>
          </w:p>
        </w:tc>
        <w:tc>
          <w:tcPr>
            <w:tcW w:w="241"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6</w:t>
            </w:r>
          </w:p>
        </w:tc>
        <w:tc>
          <w:tcPr>
            <w:tcW w:w="37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250</w:t>
            </w:r>
          </w:p>
        </w:tc>
        <w:tc>
          <w:tcPr>
            <w:tcW w:w="323"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57"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p>
        </w:tc>
      </w:tr>
      <w:bookmarkEnd w:id="1"/>
    </w:tbl>
    <w:p>
      <w:pPr>
        <w:spacing w:after="80" w:line="500" w:lineRule="exact"/>
        <w:outlineLvl w:val="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（六）深入打好群众环境权益保卫战</w:t>
      </w:r>
    </w:p>
    <w:tbl>
      <w:tblPr>
        <w:tblStyle w:val="4"/>
        <w:tblW w:w="149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684"/>
        <w:gridCol w:w="1535"/>
        <w:gridCol w:w="5569"/>
        <w:gridCol w:w="808"/>
        <w:gridCol w:w="1095"/>
        <w:gridCol w:w="951"/>
        <w:gridCol w:w="1839"/>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23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序号</w:t>
            </w:r>
          </w:p>
        </w:tc>
        <w:tc>
          <w:tcPr>
            <w:tcW w:w="563"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项目类型</w:t>
            </w:r>
          </w:p>
        </w:tc>
        <w:tc>
          <w:tcPr>
            <w:tcW w:w="513"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项目名称</w:t>
            </w:r>
          </w:p>
        </w:tc>
        <w:tc>
          <w:tcPr>
            <w:tcW w:w="1861"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主要建设内容</w:t>
            </w:r>
          </w:p>
        </w:tc>
        <w:tc>
          <w:tcPr>
            <w:tcW w:w="270"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项目</w:t>
            </w:r>
          </w:p>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数量</w:t>
            </w:r>
          </w:p>
        </w:tc>
        <w:tc>
          <w:tcPr>
            <w:tcW w:w="366"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计划投资</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（万元）</w:t>
            </w:r>
          </w:p>
        </w:tc>
        <w:tc>
          <w:tcPr>
            <w:tcW w:w="318"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建设</w:t>
            </w:r>
          </w:p>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期限</w:t>
            </w:r>
          </w:p>
        </w:tc>
        <w:tc>
          <w:tcPr>
            <w:tcW w:w="615"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责任部门/</w:t>
            </w:r>
          </w:p>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建设主体</w:t>
            </w:r>
          </w:p>
        </w:tc>
        <w:tc>
          <w:tcPr>
            <w:tcW w:w="255" w:type="pct"/>
            <w:vAlign w:val="center"/>
          </w:tcPr>
          <w:p>
            <w:pPr>
              <w:pStyle w:val="8"/>
              <w:jc w:val="center"/>
              <w:rPr>
                <w:rFonts w:hint="default" w:ascii="Times New Roman" w:hAnsi="Times New Roman" w:eastAsia="黑体" w:cs="Times New Roman"/>
                <w:color w:val="000000" w:themeColor="text1"/>
                <w:kern w:val="0"/>
                <w14:textFill>
                  <w14:solidFill>
                    <w14:schemeClr w14:val="tx1"/>
                  </w14:solidFill>
                </w14:textFill>
              </w:rPr>
            </w:pPr>
            <w:r>
              <w:rPr>
                <w:rFonts w:hint="default" w:ascii="Times New Roman" w:hAnsi="Times New Roman" w:eastAsia="黑体" w:cs="Times New Roman"/>
                <w:color w:val="000000" w:themeColor="text1"/>
                <w:kern w:val="0"/>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6" w:type="pct"/>
            <w:vAlign w:val="center"/>
          </w:tcPr>
          <w:p>
            <w:pPr>
              <w:pStyle w:val="8"/>
              <w:numPr>
                <w:ilvl w:val="0"/>
                <w:numId w:val="4"/>
              </w:numPr>
              <w:jc w:val="center"/>
              <w:rPr>
                <w:rFonts w:hint="default" w:ascii="Times New Roman" w:hAnsi="Times New Roman" w:eastAsia="仿宋_GB2312" w:cs="Times New Roman"/>
                <w:color w:val="000000" w:themeColor="text1"/>
                <w14:textFill>
                  <w14:solidFill>
                    <w14:schemeClr w14:val="tx1"/>
                  </w14:solidFill>
                </w14:textFill>
              </w:rPr>
            </w:pPr>
          </w:p>
        </w:tc>
        <w:tc>
          <w:tcPr>
            <w:tcW w:w="563"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深化扬尘污染综合治理</w:t>
            </w: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工地扬尘监管</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强化建筑工地扬尘管控，推进智慧工地建设，新建政府投资规模以上工程实现智慧工地全覆盖。</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6" w:type="pct"/>
            <w:vAlign w:val="center"/>
          </w:tcPr>
          <w:p>
            <w:pPr>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w:t>
            </w:r>
          </w:p>
        </w:tc>
        <w:tc>
          <w:tcPr>
            <w:tcW w:w="255" w:type="pct"/>
            <w:vAlign w:val="center"/>
          </w:tcPr>
          <w:p>
            <w:pPr>
              <w:pStyle w:val="8"/>
              <w:ind w:firstLine="420"/>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6" w:type="pct"/>
            <w:vAlign w:val="center"/>
          </w:tcPr>
          <w:p>
            <w:pPr>
              <w:pStyle w:val="8"/>
              <w:numPr>
                <w:ilvl w:val="0"/>
                <w:numId w:val="4"/>
              </w:numPr>
              <w:jc w:val="center"/>
              <w:rPr>
                <w:rFonts w:hint="default" w:ascii="Times New Roman" w:hAnsi="Times New Roman" w:eastAsia="仿宋_GB2312" w:cs="Times New Roman"/>
                <w:color w:val="000000" w:themeColor="text1"/>
                <w14:textFill>
                  <w14:solidFill>
                    <w14:schemeClr w14:val="tx1"/>
                  </w14:solidFill>
                </w14:textFill>
              </w:rPr>
            </w:pPr>
          </w:p>
        </w:tc>
        <w:tc>
          <w:tcPr>
            <w:tcW w:w="563"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渣土运输监管</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强化渣土运输车辆全封闭运输管理，推进城市建成区使用新型环保智能渣土车。</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6" w:type="pc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区城管局</w:t>
            </w:r>
          </w:p>
        </w:tc>
        <w:tc>
          <w:tcPr>
            <w:tcW w:w="255" w:type="pct"/>
            <w:vAlign w:val="center"/>
          </w:tcPr>
          <w:p>
            <w:pPr>
              <w:pStyle w:val="8"/>
              <w:ind w:firstLine="420"/>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6" w:type="pct"/>
            <w:vAlign w:val="center"/>
          </w:tcPr>
          <w:p>
            <w:pPr>
              <w:pStyle w:val="8"/>
              <w:numPr>
                <w:ilvl w:val="0"/>
                <w:numId w:val="4"/>
              </w:numPr>
              <w:jc w:val="center"/>
              <w:rPr>
                <w:rFonts w:hint="default" w:ascii="Times New Roman" w:hAnsi="Times New Roman" w:eastAsia="仿宋_GB2312" w:cs="Times New Roman"/>
                <w:color w:val="000000" w:themeColor="text1"/>
                <w14:textFill>
                  <w14:solidFill>
                    <w14:schemeClr w14:val="tx1"/>
                  </w14:solidFill>
                </w14:textFill>
              </w:rPr>
            </w:pPr>
          </w:p>
        </w:tc>
        <w:tc>
          <w:tcPr>
            <w:tcW w:w="563"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港口码头扬尘管控</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推动港口</w:t>
            </w:r>
            <w:bookmarkStart w:id="2" w:name="_Hlk97543769"/>
            <w:r>
              <w:rPr>
                <w:rFonts w:hint="default" w:ascii="Times New Roman" w:hAnsi="Times New Roman" w:cs="Times New Roman"/>
                <w:color w:val="000000" w:themeColor="text1"/>
                <w:kern w:val="0"/>
                <w:sz w:val="21"/>
                <w:szCs w:val="21"/>
                <w14:textFill>
                  <w14:solidFill>
                    <w14:schemeClr w14:val="tx1"/>
                  </w14:solidFill>
                </w14:textFill>
              </w:rPr>
              <w:t>企业严格按照要求配套污染防治设施，对防尘抑尘设施进行提质增效或装卸工艺改造</w:t>
            </w:r>
            <w:bookmarkEnd w:id="2"/>
            <w:r>
              <w:rPr>
                <w:rFonts w:hint="default" w:ascii="Times New Roman" w:hAnsi="Times New Roman" w:cs="Times New Roman"/>
                <w:color w:val="000000" w:themeColor="text1"/>
                <w:kern w:val="0"/>
                <w:sz w:val="21"/>
                <w:szCs w:val="21"/>
                <w14:textFill>
                  <w14:solidFill>
                    <w14:schemeClr w14:val="tx1"/>
                  </w14:solidFill>
                </w14:textFill>
              </w:rPr>
              <w:t>。</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6" w:type="pc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区住建局、邹区镇、北港街道、新闸街道、西林街道</w:t>
            </w:r>
          </w:p>
        </w:tc>
        <w:tc>
          <w:tcPr>
            <w:tcW w:w="255" w:type="pct"/>
            <w:vAlign w:val="center"/>
          </w:tcPr>
          <w:p>
            <w:pPr>
              <w:pStyle w:val="8"/>
              <w:ind w:firstLine="420"/>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236" w:type="pct"/>
            <w:vMerge w:val="restart"/>
            <w:vAlign w:val="center"/>
          </w:tcPr>
          <w:p>
            <w:pPr>
              <w:pStyle w:val="8"/>
              <w:numPr>
                <w:ilvl w:val="0"/>
                <w:numId w:val="4"/>
              </w:numPr>
              <w:jc w:val="center"/>
              <w:rPr>
                <w:rFonts w:hint="default" w:ascii="Times New Roman" w:hAnsi="Times New Roman" w:eastAsia="仿宋_GB2312" w:cs="Times New Roman"/>
                <w:color w:val="000000" w:themeColor="text1"/>
                <w14:textFill>
                  <w14:solidFill>
                    <w14:schemeClr w14:val="tx1"/>
                  </w14:solidFill>
                </w14:textFill>
              </w:rPr>
            </w:pPr>
          </w:p>
        </w:tc>
        <w:tc>
          <w:tcPr>
            <w:tcW w:w="563"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裸地扬尘污染控制</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对城市公共区域、长期未开发的建设裸地，以及废旧厂区、物流园、大型停车场等进行排查建档，并按要求采取防尘措施。</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6" w:type="pct"/>
            <w:vAlign w:val="center"/>
          </w:tcPr>
          <w:p>
            <w:pPr>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区住建局、各板块</w:t>
            </w:r>
          </w:p>
        </w:tc>
        <w:tc>
          <w:tcPr>
            <w:tcW w:w="255"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236" w:type="pct"/>
            <w:vMerge w:val="continue"/>
            <w:vAlign w:val="center"/>
          </w:tcPr>
          <w:p>
            <w:pPr>
              <w:pStyle w:val="8"/>
              <w:rPr>
                <w:rFonts w:hint="default" w:ascii="Times New Roman" w:hAnsi="Times New Roman" w:cs="Times New Roman"/>
                <w:color w:val="000000" w:themeColor="text1"/>
                <w14:textFill>
                  <w14:solidFill>
                    <w14:schemeClr w14:val="tx1"/>
                  </w14:solidFill>
                </w14:textFill>
              </w:rPr>
            </w:pPr>
          </w:p>
        </w:tc>
        <w:tc>
          <w:tcPr>
            <w:tcW w:w="563"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烂尾工地扬尘管理</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以雨润烂尾工地为试点，利用工地现有资源，探索裸土植绿，基坑水塘活水增氧等模式，进一步盘活闲置土地，为区域环境改善探索新模式。</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6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北港街道</w:t>
            </w:r>
          </w:p>
        </w:tc>
        <w:tc>
          <w:tcPr>
            <w:tcW w:w="255"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6" w:type="pct"/>
            <w:vAlign w:val="center"/>
          </w:tcPr>
          <w:p>
            <w:pPr>
              <w:pStyle w:val="8"/>
              <w:numPr>
                <w:ilvl w:val="0"/>
                <w:numId w:val="4"/>
              </w:numPr>
              <w:jc w:val="center"/>
              <w:rPr>
                <w:rFonts w:hint="default" w:ascii="Times New Roman" w:hAnsi="Times New Roman" w:eastAsia="仿宋_GB2312" w:cs="Times New Roman"/>
                <w:color w:val="000000" w:themeColor="text1"/>
                <w14:textFill>
                  <w14:solidFill>
                    <w14:schemeClr w14:val="tx1"/>
                  </w14:solidFill>
                </w14:textFill>
              </w:rPr>
            </w:pPr>
          </w:p>
        </w:tc>
        <w:tc>
          <w:tcPr>
            <w:tcW w:w="563"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推动餐饮行业绿色规范发展</w:t>
            </w: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餐饮油烟专项整治或“回头看”</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开展餐饮油烟专项整治或“回头看”440家以上。</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440</w:t>
            </w:r>
          </w:p>
        </w:tc>
        <w:tc>
          <w:tcPr>
            <w:tcW w:w="36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钟楼生态环境局、北港街道、新闸街道、五星街道、永红街道、西林街道、南大街街道，荷花池街道</w:t>
            </w:r>
          </w:p>
        </w:tc>
        <w:tc>
          <w:tcPr>
            <w:tcW w:w="255"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5" w:hRule="atLeast"/>
          <w:jc w:val="center"/>
        </w:trPr>
        <w:tc>
          <w:tcPr>
            <w:tcW w:w="236" w:type="pct"/>
            <w:vAlign w:val="center"/>
          </w:tcPr>
          <w:p>
            <w:pPr>
              <w:pStyle w:val="8"/>
              <w:numPr>
                <w:ilvl w:val="0"/>
                <w:numId w:val="4"/>
              </w:numPr>
              <w:jc w:val="center"/>
              <w:rPr>
                <w:rFonts w:hint="default" w:ascii="Times New Roman" w:hAnsi="Times New Roman" w:eastAsia="仿宋_GB2312" w:cs="Times New Roman"/>
                <w:color w:val="000000" w:themeColor="text1"/>
                <w14:textFill>
                  <w14:solidFill>
                    <w14:schemeClr w14:val="tx1"/>
                  </w14:solidFill>
                </w14:textFill>
              </w:rPr>
            </w:pPr>
          </w:p>
        </w:tc>
        <w:tc>
          <w:tcPr>
            <w:tcW w:w="563"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3"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餐饮油烟治理示范项目</w:t>
            </w:r>
          </w:p>
        </w:tc>
        <w:tc>
          <w:tcPr>
            <w:tcW w:w="1861"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宝龙商城和龙湖天街打造餐饮油烟治理示范项目。</w:t>
            </w:r>
          </w:p>
        </w:tc>
        <w:tc>
          <w:tcPr>
            <w:tcW w:w="270"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36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1000</w:t>
            </w:r>
          </w:p>
        </w:tc>
        <w:tc>
          <w:tcPr>
            <w:tcW w:w="318"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1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钟楼生态环境局、北港街道、五星街道</w:t>
            </w:r>
          </w:p>
        </w:tc>
        <w:tc>
          <w:tcPr>
            <w:tcW w:w="255" w:type="pct"/>
            <w:vAlign w:val="center"/>
          </w:tcPr>
          <w:p>
            <w:pPr>
              <w:pStyle w:val="8"/>
              <w:rPr>
                <w:rFonts w:hint="default" w:ascii="Times New Roman" w:hAnsi="Times New Roman" w:eastAsia="仿宋_GB2312" w:cs="Times New Roman"/>
                <w:color w:val="000000" w:themeColor="text1"/>
                <w14:textFill>
                  <w14:solidFill>
                    <w14:schemeClr w14:val="tx1"/>
                  </w14:solidFill>
                </w14:textFill>
              </w:rPr>
            </w:pPr>
          </w:p>
        </w:tc>
      </w:tr>
    </w:tbl>
    <w:p>
      <w:pPr>
        <w:spacing w:after="80" w:line="500" w:lineRule="exact"/>
        <w:outlineLvl w:val="0"/>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（七）提升生态环境治理体系和治理能力现代化水平</w:t>
      </w:r>
    </w:p>
    <w:tbl>
      <w:tblPr>
        <w:tblStyle w:val="4"/>
        <w:tblW w:w="14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1665"/>
        <w:gridCol w:w="1519"/>
        <w:gridCol w:w="5531"/>
        <w:gridCol w:w="780"/>
        <w:gridCol w:w="1097"/>
        <w:gridCol w:w="1126"/>
        <w:gridCol w:w="1842"/>
        <w:gridCol w:w="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236" w:type="pct"/>
            <w:vAlign w:val="center"/>
          </w:tcPr>
          <w:p>
            <w:pPr>
              <w:pStyle w:val="8"/>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序号</w:t>
            </w:r>
          </w:p>
        </w:tc>
        <w:tc>
          <w:tcPr>
            <w:tcW w:w="565"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项目类型</w:t>
            </w:r>
          </w:p>
        </w:tc>
        <w:tc>
          <w:tcPr>
            <w:tcW w:w="516"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工程项目名称</w:t>
            </w:r>
          </w:p>
        </w:tc>
        <w:tc>
          <w:tcPr>
            <w:tcW w:w="1857"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主要建设内容</w:t>
            </w:r>
          </w:p>
        </w:tc>
        <w:tc>
          <w:tcPr>
            <w:tcW w:w="269"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项目数量</w:t>
            </w:r>
          </w:p>
        </w:tc>
        <w:tc>
          <w:tcPr>
            <w:tcW w:w="375"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计划投资</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（万元）</w:t>
            </w:r>
          </w:p>
        </w:tc>
        <w:tc>
          <w:tcPr>
            <w:tcW w:w="309"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建设期限</w:t>
            </w:r>
          </w:p>
        </w:tc>
        <w:tc>
          <w:tcPr>
            <w:tcW w:w="624"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责任部门/</w:t>
            </w:r>
          </w:p>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建设主体</w:t>
            </w:r>
          </w:p>
        </w:tc>
        <w:tc>
          <w:tcPr>
            <w:tcW w:w="247" w:type="pct"/>
            <w:vAlign w:val="center"/>
          </w:tcPr>
          <w:p>
            <w:pPr>
              <w:pStyle w:val="8"/>
              <w:jc w:val="center"/>
              <w:rPr>
                <w:rFonts w:hint="default" w:ascii="Times New Roman" w:hAnsi="Times New Roman" w:eastAsia="黑体" w:cs="Times New Roman"/>
                <w:bCs/>
                <w:color w:val="000000" w:themeColor="text1"/>
                <w14:textFill>
                  <w14:solidFill>
                    <w14:schemeClr w14:val="tx1"/>
                  </w14:solidFill>
                </w14:textFill>
              </w:rPr>
            </w:pPr>
            <w:r>
              <w:rPr>
                <w:rFonts w:hint="default" w:ascii="Times New Roman" w:hAnsi="Times New Roman" w:eastAsia="黑体" w:cs="Times New Roman"/>
                <w:bCs/>
                <w:color w:val="000000" w:themeColor="text1"/>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565"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构建现代化生态环境监测监控体系</w:t>
            </w:r>
          </w:p>
        </w:tc>
        <w:tc>
          <w:tcPr>
            <w:tcW w:w="516"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主要河道一级支浜水质自动监测项目</w:t>
            </w:r>
          </w:p>
        </w:tc>
        <w:tc>
          <w:tcPr>
            <w:tcW w:w="185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针对主要河流4条一级支浜安装水质自动监测设备，全时段监测支浜水质。（岳溪河-康庄桥、岳津河-后施桥、前进河-前进桥、毛龙河-新昌桥）</w:t>
            </w:r>
          </w:p>
        </w:tc>
        <w:tc>
          <w:tcPr>
            <w:tcW w:w="2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4</w:t>
            </w:r>
          </w:p>
        </w:tc>
        <w:tc>
          <w:tcPr>
            <w:tcW w:w="37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200</w:t>
            </w:r>
          </w:p>
        </w:tc>
        <w:tc>
          <w:tcPr>
            <w:tcW w:w="30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w:t>
            </w:r>
          </w:p>
        </w:tc>
        <w:tc>
          <w:tcPr>
            <w:tcW w:w="6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47"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w:t>
            </w:r>
          </w:p>
        </w:tc>
        <w:tc>
          <w:tcPr>
            <w:tcW w:w="565" w:type="pct"/>
            <w:vMerge w:val="restar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构建现代化生态环境监测监控体系</w:t>
            </w:r>
          </w:p>
        </w:tc>
        <w:tc>
          <w:tcPr>
            <w:tcW w:w="516"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水质监控能力提升自动站建设项目</w:t>
            </w:r>
          </w:p>
        </w:tc>
        <w:tc>
          <w:tcPr>
            <w:tcW w:w="185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完善流域水环境监控体系，结合新孟河开通和“两湖”地区建设，完善重点流域、主干河道、重点水库等水质。监测网络，新增布设市级水站1个，为新孟河-S340断面。</w:t>
            </w:r>
          </w:p>
        </w:tc>
        <w:tc>
          <w:tcPr>
            <w:tcW w:w="2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7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110</w:t>
            </w:r>
          </w:p>
        </w:tc>
        <w:tc>
          <w:tcPr>
            <w:tcW w:w="30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2022-2023年</w:t>
            </w:r>
          </w:p>
        </w:tc>
        <w:tc>
          <w:tcPr>
            <w:tcW w:w="6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47"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36"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3</w:t>
            </w:r>
          </w:p>
        </w:tc>
        <w:tc>
          <w:tcPr>
            <w:tcW w:w="565" w:type="pct"/>
            <w:vMerge w:val="continue"/>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16"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全域水生态功能监测监控能力建设</w:t>
            </w:r>
          </w:p>
        </w:tc>
        <w:tc>
          <w:tcPr>
            <w:tcW w:w="1857" w:type="pct"/>
            <w:vAlign w:val="center"/>
          </w:tcPr>
          <w:p>
            <w:pPr>
              <w:spacing w:line="240" w:lineRule="auto"/>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完善新孟河流域水生态跟踪监测体系，跟踪流域生态变化，监控水生生物恢复情况。钟楼开展流域内1个代表性点位水生生物（含浮游动植物、底栖生物等）原位跟踪监测，每年分丰、平、枯水期进行，了解流域水生态变化情况，捕捉流域生态恢复迹象和趋势。点位为新孟河-S340桥。</w:t>
            </w:r>
          </w:p>
        </w:tc>
        <w:tc>
          <w:tcPr>
            <w:tcW w:w="26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1</w:t>
            </w:r>
          </w:p>
        </w:tc>
        <w:tc>
          <w:tcPr>
            <w:tcW w:w="375"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50</w:t>
            </w:r>
          </w:p>
        </w:tc>
        <w:tc>
          <w:tcPr>
            <w:tcW w:w="309"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2022年底前</w:t>
            </w:r>
          </w:p>
        </w:tc>
        <w:tc>
          <w:tcPr>
            <w:tcW w:w="624" w:type="pct"/>
            <w:vAlign w:val="center"/>
          </w:tcPr>
          <w:p>
            <w:pPr>
              <w:pStyle w:val="8"/>
              <w:jc w:val="center"/>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钟楼生态环境局</w:t>
            </w:r>
          </w:p>
        </w:tc>
        <w:tc>
          <w:tcPr>
            <w:tcW w:w="247" w:type="pct"/>
            <w:vAlign w:val="center"/>
          </w:tcPr>
          <w:p>
            <w:pPr>
              <w:pStyle w:val="8"/>
              <w:ind w:firstLine="420"/>
              <w:jc w:val="center"/>
              <w:rPr>
                <w:rFonts w:hint="default" w:ascii="Times New Roman" w:hAnsi="Times New Roman" w:eastAsia="仿宋_GB2312" w:cs="Times New Roman"/>
                <w:color w:val="000000" w:themeColor="text1"/>
                <w14:textFill>
                  <w14:solidFill>
                    <w14:schemeClr w14:val="tx1"/>
                  </w14:solidFill>
                </w14:textFill>
              </w:rPr>
            </w:pPr>
          </w:p>
        </w:tc>
      </w:tr>
    </w:tbl>
    <w:p>
      <w:pPr>
        <w:ind w:firstLine="640" w:firstLineChars="200"/>
        <w:rPr>
          <w:rFonts w:hint="default" w:ascii="Times New Roman" w:hAnsi="Times New Roman" w:cs="Times New Roman"/>
          <w:color w:val="000000" w:themeColor="text1"/>
          <w14:textFill>
            <w14:solidFill>
              <w14:schemeClr w14:val="tx1"/>
            </w14:solidFill>
          </w14:textFill>
        </w:rPr>
        <w:sectPr>
          <w:pgSz w:w="16838" w:h="11906" w:orient="landscape"/>
          <w:pgMar w:top="1418" w:right="1531" w:bottom="1531" w:left="1531" w:header="709" w:footer="1361" w:gutter="0"/>
          <w:cols w:space="425" w:num="1"/>
          <w:docGrid w:type="linesAndChars" w:linePitch="435" w:charSpace="0"/>
        </w:sectPr>
      </w:pPr>
    </w:p>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附表1</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绿色发展领军企业清单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38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386"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2131"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2131"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常州钟恒新材料股份有限公司</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江苏裕兴薄膜科技股份有限公司</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常州西电变压器有限责任公司</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中海油常州环保涂料有限公司</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附表2</w:t>
      </w:r>
    </w:p>
    <w:p>
      <w:pPr>
        <w:spacing w:line="240" w:lineRule="auto"/>
        <w:jc w:val="center"/>
        <w:outlineLvl w:val="0"/>
        <w:rPr>
          <w:rFonts w:hint="default" w:ascii="Times New Roman" w:hAnsi="Times New Roman" w:eastAsia="方正小标宋简体"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14:textFill>
            <w14:solidFill>
              <w14:schemeClr w14:val="tx1"/>
            </w14:solidFill>
          </w14:textFill>
        </w:rPr>
        <w:t>铸造行业产能清理和综合整治企业“回头看”清单</w:t>
      </w:r>
    </w:p>
    <w:tbl>
      <w:tblPr>
        <w:tblStyle w:val="4"/>
        <w:tblW w:w="8543" w:type="dxa"/>
        <w:jc w:val="center"/>
        <w:tblLayout w:type="fixed"/>
        <w:tblCellMar>
          <w:top w:w="0" w:type="dxa"/>
          <w:left w:w="0" w:type="dxa"/>
          <w:bottom w:w="0" w:type="dxa"/>
          <w:right w:w="0" w:type="dxa"/>
        </w:tblCellMar>
      </w:tblPr>
      <w:tblGrid>
        <w:gridCol w:w="884"/>
        <w:gridCol w:w="3664"/>
        <w:gridCol w:w="1895"/>
        <w:gridCol w:w="2100"/>
      </w:tblGrid>
      <w:tr>
        <w:tblPrEx>
          <w:tblCellMar>
            <w:top w:w="0" w:type="dxa"/>
            <w:left w:w="0" w:type="dxa"/>
            <w:bottom w:w="0" w:type="dxa"/>
            <w:right w:w="0" w:type="dxa"/>
          </w:tblCellMar>
        </w:tblPrEx>
        <w:trPr>
          <w:trHeight w:val="340" w:hRule="atLeast"/>
          <w:jc w:val="center"/>
        </w:trPr>
        <w:tc>
          <w:tcPr>
            <w:tcW w:w="8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序号</w:t>
            </w:r>
          </w:p>
        </w:tc>
        <w:tc>
          <w:tcPr>
            <w:tcW w:w="366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企业名称</w:t>
            </w:r>
          </w:p>
        </w:tc>
        <w:tc>
          <w:tcPr>
            <w:tcW w:w="1895" w:type="dxa"/>
            <w:tcBorders>
              <w:top w:val="single" w:color="000000" w:sz="8" w:space="0"/>
              <w:left w:val="nil"/>
              <w:bottom w:val="single" w:color="000000" w:sz="8" w:space="0"/>
              <w:right w:val="nil"/>
            </w:tcBorders>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完成时间</w:t>
            </w:r>
          </w:p>
        </w:tc>
      </w:tr>
      <w:tr>
        <w:tblPrEx>
          <w:tblCellMar>
            <w:top w:w="0" w:type="dxa"/>
            <w:left w:w="0" w:type="dxa"/>
            <w:bottom w:w="0" w:type="dxa"/>
            <w:right w:w="0" w:type="dxa"/>
          </w:tblCellMar>
        </w:tblPrEx>
        <w:trPr>
          <w:trHeight w:val="340" w:hRule="atLeast"/>
          <w:jc w:val="center"/>
        </w:trPr>
        <w:tc>
          <w:tcPr>
            <w:tcW w:w="88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常州市泰雄电子有限公司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常州市昌吉冶金轧辊有限公司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常州市繁盛有色金属铸造有限公司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常州市武进宏图有色金属压铸有限公司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常州市新诚模具铸造有限公司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常州思腾照明有限公司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常州市兴发汽车电机有限公司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江苏万丰照明集团有限公司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常州福伦特无铅焊料有限公司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常州展翔机械制造有限公司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江苏洛克电气集团有限公司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常州典阳机械厂</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常州云港精密机械有限公司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常州润鸿机电有限公司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常州市东茂铸造有限公司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常州市新力压铸有限公司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常州市晨希有色铸造有限公司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常州友学电热材料有限公司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常州市维可菲机械科技有限公司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r>
        <w:tblPrEx>
          <w:tblCellMar>
            <w:top w:w="0" w:type="dxa"/>
            <w:left w:w="0" w:type="dxa"/>
            <w:bottom w:w="0" w:type="dxa"/>
            <w:right w:w="0" w:type="dxa"/>
          </w:tblCellMar>
        </w:tblPrEx>
        <w:trPr>
          <w:trHeight w:val="340" w:hRule="atLeast"/>
          <w:jc w:val="center"/>
        </w:trPr>
        <w:tc>
          <w:tcPr>
            <w:tcW w:w="884" w:type="dxa"/>
            <w:tcBorders>
              <w:top w:val="nil"/>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w:t>
            </w:r>
          </w:p>
        </w:tc>
        <w:tc>
          <w:tcPr>
            <w:tcW w:w="366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常柴股份有限公司</w:t>
            </w:r>
          </w:p>
        </w:tc>
        <w:tc>
          <w:tcPr>
            <w:tcW w:w="1895"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南大街街道</w:t>
            </w:r>
          </w:p>
        </w:tc>
        <w:tc>
          <w:tcPr>
            <w:tcW w:w="210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2022年6月底</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附表3</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清洁生产审核评估企业清单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537"/>
        <w:gridCol w:w="19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4"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537"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1980"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2131"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中稀（常州）稀土新材料有限公司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常州市科泰机械有限公司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江苏豪凯机械有限公司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常州市威尔莱炉业有限公司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江苏佳得顺热能设备有限公司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常州依索沃尔塔合成材料有限公司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常州亚美柯机械设备有限公司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常州鼎唐电机有限公司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北新弹性地板有限公司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常州豪润包装材料股份有限公司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常州市健龙金属制品有限公司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常州展翔机械制造有限公司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常州市东茂铸造有限公司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常州东芝变压器有限公司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常州华东人防设备有限公司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常州蓝翼飞机装备制造有限公司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w:t>
            </w:r>
          </w:p>
        </w:tc>
        <w:tc>
          <w:tcPr>
            <w:tcW w:w="353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江苏大使同丰涂料有限公司</w:t>
            </w:r>
          </w:p>
        </w:tc>
        <w:tc>
          <w:tcPr>
            <w:tcW w:w="198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附表4</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2022年钟楼区重点用能单位深化节能改造企业清单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38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4"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386"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2131"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2131"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盛德鑫泰新材料股份有限公司</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常州瑞源钢管有限公司</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w:t>
            </w:r>
          </w:p>
        </w:tc>
        <w:tc>
          <w:tcPr>
            <w:tcW w:w="3386"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江苏丽岛新材料有限公司（常州）</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附表5</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清洁原料替代企业清单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3537"/>
        <w:gridCol w:w="19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4"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537"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1980"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2131" w:type="dxa"/>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常州市长城工艺厂有限公司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常州市津加塑料有限公司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常州市天方印刷有限公司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常州市康泰印刷厂</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常州和余环保科技有限公司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常州市华盛塑料机械有限公司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常州亚美柯机械设备有限公司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宝钢轧辊科技有限责任公司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常州中铁蓝焰构件有限公司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常州市大亚印刷有限公司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常州源丰包装印刷有限公司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常州市星宇印务有限公司</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74"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353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常州市新腾包装厂</w:t>
            </w:r>
          </w:p>
        </w:tc>
        <w:tc>
          <w:tcPr>
            <w:tcW w:w="1980"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w:t>
            </w:r>
          </w:p>
        </w:tc>
        <w:tc>
          <w:tcPr>
            <w:tcW w:w="2131" w:type="dxa"/>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p>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p>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p>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附表6</w:t>
      </w:r>
    </w:p>
    <w:p>
      <w:pPr>
        <w:spacing w:line="600" w:lineRule="exact"/>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24个有机储罐分类深度治理清单</w:t>
      </w:r>
    </w:p>
    <w:tbl>
      <w:tblPr>
        <w:tblStyle w:val="5"/>
        <w:tblW w:w="9117"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848"/>
        <w:gridCol w:w="1748"/>
        <w:gridCol w:w="15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848"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1748"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1552"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c>
          <w:tcPr>
            <w:tcW w:w="1252"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储罐容积(立方米)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常州市宝丽胶粘剂有限公司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常州市宝丽胶粘剂有限公司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艾维特电气绝缘材料（常州）有限公司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艾维特电气绝缘材料（常州）有限公司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艾维特电气绝缘材料（常州）有限公司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艾维特电气绝缘材料（常州）有限公司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艾维特电气绝缘材料（常州）有限公司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常州中天气雾制品有限公司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常州中天气雾制品有限公司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常州中天气雾制品有限公司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江苏皓月涂料有限公司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中海油常州环保涂料有限公司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中海油常州环保涂料有限公司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w:t>
            </w:r>
          </w:p>
        </w:tc>
        <w:tc>
          <w:tcPr>
            <w:tcW w:w="38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中海油常州环保涂料有限公司</w:t>
            </w:r>
          </w:p>
        </w:tc>
        <w:tc>
          <w:tcPr>
            <w:tcW w:w="1748"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15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2022年12月</w:t>
            </w:r>
          </w:p>
        </w:tc>
        <w:tc>
          <w:tcPr>
            <w:tcW w:w="1252"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30</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附表7</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涉VOCs企业集群企业清单</w:t>
      </w:r>
    </w:p>
    <w:tbl>
      <w:tblPr>
        <w:tblStyle w:val="5"/>
        <w:tblW w:w="9516"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3444"/>
        <w:gridCol w:w="1237"/>
        <w:gridCol w:w="280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8" w:type="dxa"/>
            <w:vAlign w:val="center"/>
          </w:tcPr>
          <w:p>
            <w:pPr>
              <w:widowControl/>
              <w:spacing w:line="240" w:lineRule="auto"/>
              <w:jc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bCs/>
                <w:color w:val="000000" w:themeColor="text1"/>
                <w:sz w:val="21"/>
                <w:szCs w:val="21"/>
                <w14:textFill>
                  <w14:solidFill>
                    <w14:schemeClr w14:val="tx1"/>
                  </w14:solidFill>
                </w14:textFill>
              </w:rPr>
              <w:t>序号</w:t>
            </w:r>
          </w:p>
        </w:tc>
        <w:tc>
          <w:tcPr>
            <w:tcW w:w="3444" w:type="dxa"/>
            <w:vAlign w:val="center"/>
          </w:tcPr>
          <w:p>
            <w:pPr>
              <w:widowControl/>
              <w:spacing w:line="240" w:lineRule="auto"/>
              <w:jc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bCs/>
                <w:color w:val="000000" w:themeColor="text1"/>
                <w:sz w:val="21"/>
                <w:szCs w:val="21"/>
                <w14:textFill>
                  <w14:solidFill>
                    <w14:schemeClr w14:val="tx1"/>
                  </w14:solidFill>
                </w14:textFill>
              </w:rPr>
              <w:t>企业名称</w:t>
            </w:r>
          </w:p>
        </w:tc>
        <w:tc>
          <w:tcPr>
            <w:tcW w:w="1237" w:type="dxa"/>
            <w:vAlign w:val="center"/>
          </w:tcPr>
          <w:p>
            <w:pPr>
              <w:widowControl/>
              <w:spacing w:line="240" w:lineRule="auto"/>
              <w:jc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2800" w:type="dxa"/>
            <w:vAlign w:val="center"/>
          </w:tcPr>
          <w:p>
            <w:pPr>
              <w:widowControl/>
              <w:spacing w:line="240" w:lineRule="auto"/>
              <w:jc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bCs/>
                <w:color w:val="000000" w:themeColor="text1"/>
                <w:sz w:val="21"/>
                <w:szCs w:val="21"/>
                <w14:textFill>
                  <w14:solidFill>
                    <w14:schemeClr w14:val="tx1"/>
                  </w14:solidFill>
                </w14:textFill>
              </w:rPr>
              <w:t>行业类别</w:t>
            </w:r>
          </w:p>
        </w:tc>
        <w:tc>
          <w:tcPr>
            <w:tcW w:w="1357"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常州世纪金岳包装有限公司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常州市泰华包装有限公司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常州市展明纸塑复合材料有限公司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鸿邮包装（常州）有限公司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常州市康泰印刷厂</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常州市钰盛包装有限公司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常州市力达包装材料有限公司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常州市图美印务有限公司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常州市丹隆包装材料有限公司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常州振徽印刷有限公司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常州超群印务有限公司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本册印制</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常州市宝丰印务有限公司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常州市永达印刷厂</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常州市龙潭包装有限公司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常州优尔佳业包装有限公司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常州市亿利达彩印有限公司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本册印制</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常州市创立包装材料有限公司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常州市天方印刷有限公司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常州市普洛迪化工有限公司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常州市勃海化工有限公司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常州裕源涂料有限公司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涂料制造</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22</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常州市康隆化工有限公司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常州市武进邹区除垢剂有限公司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24</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常州市佳玉印染助剂厂</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25</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常州市博凯生物化工有限公司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26</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常州市科丰化工有限公司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27</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常州晔康化学制品有限公司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28</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常州市新奥涂料有限公司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29</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常州市卜弋科研化工有限公司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30</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常州市华源漆业有限公司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常州市武进永升化工有限公司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32</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常州市明杰化工有限公司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33</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常州市中泰化工有限公司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34</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常州市宝丽胶粘剂有限公司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35</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江苏金凤凰农化有限公司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36</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常州市联泰化工有限公司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涂料制造</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37</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常州市武进泰村助剂有限公司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化学试剂和助剂制造</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38</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常州人杰新材料科技有限公司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化学试剂和助剂制造</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39</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常州市凯泰高分子有限公司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40</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常州市马蹄莲树脂有限公司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常州平岗科技有限公司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42</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常州市马江工业气体有限公司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43</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常州市合众工业气体有限公司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44</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中海油常州环保涂料有限公司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45</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江苏佳尔利装饰材料有限公司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46</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江苏大使同丰涂料有限公司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47</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常州市常发气体供应有限公司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48</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常州市常飞乙炔制造有限公司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49</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常州市禹泰涂料有限公司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50</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江苏皓月涂料有限公司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化学原料和化学制品制造业</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常州向阳印刷有限公司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52</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常州市红梅塑料彩印有限公司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53</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常州市大亚印刷有限公司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54</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常州市青洋包装印刷有限公司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55</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常州市钟楼区江南纸盒厂</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56</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常州市大洋印刷厂</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57</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常州源丰包装印刷有限公司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58</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常州市国源包装有限公司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59</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常州市芦墅包装有限公司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60</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常州天一印务有限公司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8"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61</w:t>
            </w:r>
          </w:p>
        </w:tc>
        <w:tc>
          <w:tcPr>
            <w:tcW w:w="344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常州市三佳利盛印刷有限公司</w:t>
            </w:r>
          </w:p>
        </w:tc>
        <w:tc>
          <w:tcPr>
            <w:tcW w:w="1237"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2800"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包装装潢及其他印刷</w:t>
            </w:r>
          </w:p>
        </w:tc>
        <w:tc>
          <w:tcPr>
            <w:tcW w:w="1357" w:type="dxa"/>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2022年5月</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附表8</w:t>
      </w:r>
    </w:p>
    <w:p>
      <w:pPr>
        <w:pStyle w:val="8"/>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8-1  检查抽查重点企业清单</w:t>
      </w:r>
    </w:p>
    <w:tbl>
      <w:tblPr>
        <w:tblStyle w:val="5"/>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4225"/>
        <w:gridCol w:w="18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4225"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1803"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1751"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常州维卡塑业有限公司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常州市第二工业涂料有限公司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常州威灵电机制造有限公司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江苏丽岛新材料股份有限公司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常州西电变压器有限责任公司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常州东芝变压器有限公司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bl>
    <w:p>
      <w:pPr>
        <w:pStyle w:val="8"/>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8-2  论证及治理重点企业清单</w:t>
      </w:r>
    </w:p>
    <w:tbl>
      <w:tblPr>
        <w:tblStyle w:val="5"/>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4225"/>
        <w:gridCol w:w="180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4225"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1803"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1751"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江苏尼高科技有限公司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常州华日升反光材料有限公司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常州市宝丽胶粘剂有限公司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史丹龙涂料（常州）有限公司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常州钟恒新材料有限公司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江苏裕兴薄膜科技股份有限公司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科达斯特恩（常州）汽车塑件系统有限公司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常州市远尔博轨道交通设备有限公司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常州豪润包装材料股份有限公司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7"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422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阿鲁克邦复合材料（江苏）有限公司</w:t>
            </w:r>
          </w:p>
        </w:tc>
        <w:tc>
          <w:tcPr>
            <w:tcW w:w="1803"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51"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bl>
    <w:p>
      <w:pPr>
        <w:spacing w:line="240" w:lineRule="auto"/>
        <w:jc w:val="center"/>
        <w:outlineLvl w:val="0"/>
        <w:rPr>
          <w:rFonts w:hint="default" w:ascii="Times New Roman" w:hAnsi="Times New Roman" w:eastAsia="方正小标宋简体"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8-3  编制并实施“一企一策”综合治理方案“回头看”企业清单</w:t>
      </w:r>
    </w:p>
    <w:tbl>
      <w:tblPr>
        <w:tblStyle w:val="4"/>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4200"/>
        <w:gridCol w:w="1839"/>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tblHeader/>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bCs/>
                <w:color w:val="000000" w:themeColor="text1"/>
                <w:kern w:val="0"/>
                <w:sz w:val="21"/>
                <w:szCs w:val="21"/>
                <w14:textFill>
                  <w14:solidFill>
                    <w14:schemeClr w14:val="tx1"/>
                  </w14:solidFill>
                </w14:textFill>
              </w:rPr>
              <w:t>序号</w:t>
            </w:r>
          </w:p>
        </w:tc>
        <w:tc>
          <w:tcPr>
            <w:tcW w:w="4200" w:type="dxa"/>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bCs/>
                <w:color w:val="000000" w:themeColor="text1"/>
                <w:kern w:val="0"/>
                <w:sz w:val="21"/>
                <w:szCs w:val="21"/>
                <w14:textFill>
                  <w14:solidFill>
                    <w14:schemeClr w14:val="tx1"/>
                  </w14:solidFill>
                </w14:textFill>
              </w:rPr>
              <w:t>企业名称</w:t>
            </w:r>
          </w:p>
        </w:tc>
        <w:tc>
          <w:tcPr>
            <w:tcW w:w="1839" w:type="dxa"/>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r>
              <w:rPr>
                <w:rFonts w:hint="default" w:ascii="Times New Roman" w:hAnsi="Times New Roman" w:eastAsia="黑体" w:cs="Times New Roman"/>
                <w:bCs/>
                <w:color w:val="000000" w:themeColor="text1"/>
                <w:kern w:val="0"/>
                <w:sz w:val="21"/>
                <w:szCs w:val="21"/>
                <w14:textFill>
                  <w14:solidFill>
                    <w14:schemeClr w14:val="tx1"/>
                  </w14:solidFill>
                </w14:textFill>
              </w:rPr>
              <w:t>（镇）</w:t>
            </w:r>
          </w:p>
        </w:tc>
        <w:tc>
          <w:tcPr>
            <w:tcW w:w="1742" w:type="dxa"/>
            <w:noWrap/>
            <w:tcMar>
              <w:top w:w="15" w:type="dxa"/>
              <w:left w:w="15" w:type="dxa"/>
              <w:right w:w="15" w:type="dxa"/>
            </w:tcMar>
            <w:vAlign w:val="center"/>
          </w:tcPr>
          <w:p>
            <w:pPr>
              <w:spacing w:line="240" w:lineRule="auto"/>
              <w:jc w:val="center"/>
              <w:textAlignment w:val="center"/>
              <w:rPr>
                <w:rFonts w:hint="default" w:ascii="Times New Roman" w:hAnsi="Times New Roman" w:eastAsia="黑体" w:cs="Times New Roman"/>
                <w:bCs/>
                <w:color w:val="000000" w:themeColor="text1"/>
                <w:sz w:val="21"/>
                <w:szCs w:val="21"/>
                <w14:textFill>
                  <w14:solidFill>
                    <w14:schemeClr w14:val="tx1"/>
                  </w14:solidFill>
                </w14:textFill>
              </w:rPr>
            </w:pPr>
            <w:r>
              <w:rPr>
                <w:rFonts w:hint="default" w:ascii="Times New Roman" w:hAnsi="Times New Roman" w:eastAsia="黑体" w:cs="Times New Roman"/>
                <w:bCs/>
                <w:color w:val="000000" w:themeColor="text1"/>
                <w:kern w:val="0"/>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常州市国礼纺织染整有限公司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江苏尼高科技有限公司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常州市科丰化工有限公司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4</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中稀（常州）稀土新材料有限公司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5</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常州侨裕旅游用品有限公司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6</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常州华日升反光材料有限公司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7</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常州市天耀桶业有限公司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8</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常州清流环保科技有限公司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9</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常州市宝丽胶粘剂有限公司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10</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常州畅韵工程材料有限公司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11</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史丹龙涂料（常州）有限公司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12</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常州化工设备有限公司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13</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常州云港精密机械有限公司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14</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科达斯特恩（常州）汽车塑件系统有限公司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15</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常州市远尔博轨道交通设备有限公司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16</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常州市龙顺环保服务有限公司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17</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江苏省常州市风华环保有限公司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18</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阿鲁克邦复合材料（江苏）有限公司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19</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北新弹性地板有限公司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20</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江苏洛克电气集团有限公司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21</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常州豪润包装材料股份有限公司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22</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江苏裕兴薄膜科技股份有限公司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23</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常州依索沃尔塔合成材料有限公司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24</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常州智汇涂复工业有限公司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25</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常州市健龙金属制品有限公司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26</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常州市海氏橡塑制品有限公司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27</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常州新常阜空调器材有限公司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28</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常州市维卡塑业有限公司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29</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常州鼎唐电机有限公司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30</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常州博康电子技术有限公司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31</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常州市龙山电子科技有限公司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32</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常州格力博有限公司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33</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常州钟恒新材料有限公司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34</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常州蓝翼飞机装备制造有限公司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exact"/>
          <w:jc w:val="center"/>
        </w:trPr>
        <w:tc>
          <w:tcPr>
            <w:tcW w:w="699" w:type="dxa"/>
            <w:noWrap/>
            <w:tcMar>
              <w:top w:w="15" w:type="dxa"/>
              <w:left w:w="15" w:type="dxa"/>
              <w:right w:w="15" w:type="dxa"/>
            </w:tcMar>
            <w:vAlign w:val="center"/>
          </w:tcPr>
          <w:p>
            <w:pPr>
              <w:spacing w:line="240" w:lineRule="auto"/>
              <w:jc w:val="center"/>
              <w:textAlignment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35</w:t>
            </w:r>
          </w:p>
        </w:tc>
        <w:tc>
          <w:tcPr>
            <w:tcW w:w="4200"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常州嘉恒橡塑制品有限公司</w:t>
            </w:r>
          </w:p>
        </w:tc>
        <w:tc>
          <w:tcPr>
            <w:tcW w:w="1839"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742" w:type="dxa"/>
            <w:noWrap/>
            <w:tcMar>
              <w:top w:w="15" w:type="dxa"/>
              <w:left w:w="15" w:type="dxa"/>
              <w:right w:w="15" w:type="dxa"/>
            </w:tcMar>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2022年6月底</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附表9</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河道疏浚清淤及岸坡整治项目清单</w:t>
      </w:r>
    </w:p>
    <w:tbl>
      <w:tblPr>
        <w:tblStyle w:val="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3196"/>
        <w:gridCol w:w="250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0"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3196"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河道名称</w:t>
            </w:r>
          </w:p>
        </w:tc>
        <w:tc>
          <w:tcPr>
            <w:tcW w:w="2504"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所属街道</w:t>
            </w:r>
          </w:p>
        </w:tc>
        <w:tc>
          <w:tcPr>
            <w:tcW w:w="1565" w:type="dxa"/>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洪庄河</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东十字河</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后塘河</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护场河（高架以东段）</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会馆浜</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永红街道、南大街街道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皇粮浜</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永红街道、西林街道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0" w:type="dxa"/>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3196"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通济河</w:t>
            </w:r>
          </w:p>
        </w:tc>
        <w:tc>
          <w:tcPr>
            <w:tcW w:w="2504"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1565" w:type="dxa"/>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附表10</w:t>
      </w:r>
    </w:p>
    <w:p>
      <w:pPr>
        <w:spacing w:line="240" w:lineRule="auto"/>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10-1  各泵闸站水质监测清单</w:t>
      </w:r>
    </w:p>
    <w:tbl>
      <w:tblPr>
        <w:tblStyle w:val="4"/>
        <w:tblW w:w="5858" w:type="pct"/>
        <w:tblInd w:w="-732" w:type="dxa"/>
        <w:tblLayout w:type="fixed"/>
        <w:tblCellMar>
          <w:top w:w="0" w:type="dxa"/>
          <w:left w:w="108" w:type="dxa"/>
          <w:bottom w:w="0" w:type="dxa"/>
          <w:right w:w="108" w:type="dxa"/>
        </w:tblCellMar>
      </w:tblPr>
      <w:tblGrid>
        <w:gridCol w:w="2145"/>
        <w:gridCol w:w="1857"/>
        <w:gridCol w:w="1142"/>
        <w:gridCol w:w="1298"/>
        <w:gridCol w:w="2857"/>
        <w:gridCol w:w="685"/>
      </w:tblGrid>
      <w:tr>
        <w:tblPrEx>
          <w:tblCellMar>
            <w:top w:w="0" w:type="dxa"/>
            <w:left w:w="108" w:type="dxa"/>
            <w:bottom w:w="0" w:type="dxa"/>
            <w:right w:w="108" w:type="dxa"/>
          </w:tblCellMar>
        </w:tblPrEx>
        <w:trPr>
          <w:trHeight w:val="480" w:hRule="atLeast"/>
          <w:tblHeader/>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泵站名称</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排入河道</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监测频次</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所属街道</w:t>
            </w:r>
          </w:p>
        </w:tc>
        <w:tc>
          <w:tcPr>
            <w:tcW w:w="143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监测因子</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水质要求</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鹤溪河东泵闸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三角墩排涝站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青龙桥泵闸站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扁担河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三坝站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扁担河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北高头站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扁担河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鹤溪河西泵闸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鹤溪河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pacing w:val="-10"/>
                <w:sz w:val="21"/>
                <w:szCs w:val="21"/>
                <w14:textFill>
                  <w14:solidFill>
                    <w14:schemeClr w14:val="tx1"/>
                  </w14:solidFill>
                </w14:textFill>
              </w:rPr>
            </w:pPr>
            <w:r>
              <w:rPr>
                <w:rFonts w:hint="default" w:ascii="Times New Roman" w:hAnsi="Times New Roman" w:cs="Times New Roman"/>
                <w:color w:val="000000" w:themeColor="text1"/>
                <w:spacing w:val="-10"/>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钱家浜泵闸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塘夏支河泵站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卜弋老街泵站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扁担河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凌家塘泵站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泰北闸站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卜泰河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泰南闸站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卜泰河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官渎河闸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岳溪河西闸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扁担河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周家站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扁担河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潘家闸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支溪河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港口闸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支溪河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海石口泵站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童子河闸站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西界河闸站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鹤溪河闸站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枫林路泵站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枫香路泵站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松涛路西泵站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后塘河西站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前进河泵站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德胜河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跳板头泵站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德胜河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北童子河闸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毛龙河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大运河西枢纽</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西涵洞泵站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十字河北站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洪庄河泵站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毛龙河泵站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殷家泵站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大湾浜</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大湾浜</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大红旗泵站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通济河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颜家村南站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颜家村北站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颜家村西站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吴家村泵站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东王村泵站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皇粮浜</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北新巷泵站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关河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洪庄村泵站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洪庄河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新民马公桥临时泵站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海石口节制闸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十字河南站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先锋闸站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花园后塘河泵站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小仓浜泵站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会馆浜泵站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南运河枢纽</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叶家浜泵站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白家浜泵站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徐家浜泵站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盛家浜泵站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蒋家浜泵站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镇东泵站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东方村委泵站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侯家浜泵站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荷叶泵站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江南村宾馆泵站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立新泵站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新华王家村泵站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新华薛家村泵站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广成泵站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荆川张家村浜站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朱夏墅盛家排涝站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松坟排涝站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仙堰浜泵站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大河头排涝站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西林老街泵站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马家村泵站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三八河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西林桥东泵站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三八闸</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三八河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木排河泵站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关河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锁桥河泵站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西市河泵站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关河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西水关泵站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老大运河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机械一村泵站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关河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斗巷泵站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通济河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春天泵站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大湾浜</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Ⅴ</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机械二村泵站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关河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Ⅲ</w:t>
            </w:r>
          </w:p>
        </w:tc>
      </w:tr>
      <w:tr>
        <w:tblPrEx>
          <w:tblCellMar>
            <w:top w:w="0" w:type="dxa"/>
            <w:left w:w="108" w:type="dxa"/>
            <w:bottom w:w="0" w:type="dxa"/>
            <w:right w:w="108" w:type="dxa"/>
          </w:tblCellMar>
        </w:tblPrEx>
        <w:trPr>
          <w:trHeight w:val="23" w:hRule="atLeast"/>
        </w:trPr>
        <w:tc>
          <w:tcPr>
            <w:tcW w:w="10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西二村泵站</w:t>
            </w:r>
          </w:p>
        </w:tc>
        <w:tc>
          <w:tcPr>
            <w:tcW w:w="92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通济河</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65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143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c>
          <w:tcPr>
            <w:tcW w:w="34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Ⅳ</w:t>
            </w:r>
          </w:p>
        </w:tc>
      </w:tr>
    </w:tbl>
    <w:p>
      <w:pPr>
        <w:jc w:val="center"/>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10-2  各支流支浜水质监测清单</w:t>
      </w:r>
    </w:p>
    <w:tbl>
      <w:tblPr>
        <w:tblStyle w:val="4"/>
        <w:tblW w:w="5833" w:type="pct"/>
        <w:tblInd w:w="-703" w:type="dxa"/>
        <w:tblLayout w:type="fixed"/>
        <w:tblCellMar>
          <w:top w:w="0" w:type="dxa"/>
          <w:left w:w="108" w:type="dxa"/>
          <w:bottom w:w="0" w:type="dxa"/>
          <w:right w:w="108" w:type="dxa"/>
        </w:tblCellMar>
      </w:tblPr>
      <w:tblGrid>
        <w:gridCol w:w="1744"/>
        <w:gridCol w:w="1314"/>
        <w:gridCol w:w="2585"/>
        <w:gridCol w:w="1141"/>
        <w:gridCol w:w="3158"/>
      </w:tblGrid>
      <w:tr>
        <w:tblPrEx>
          <w:tblCellMar>
            <w:top w:w="0" w:type="dxa"/>
            <w:left w:w="108" w:type="dxa"/>
            <w:bottom w:w="0" w:type="dxa"/>
            <w:right w:w="108" w:type="dxa"/>
          </w:tblCellMar>
        </w:tblPrEx>
        <w:trPr>
          <w:trHeight w:val="23" w:hRule="atLeast"/>
          <w:tblHeader/>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河流名称</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断面名称</w:t>
            </w:r>
          </w:p>
        </w:tc>
        <w:tc>
          <w:tcPr>
            <w:tcW w:w="573"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监测频次</w:t>
            </w:r>
          </w:p>
        </w:tc>
        <w:tc>
          <w:tcPr>
            <w:tcW w:w="15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监测因子</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扁担河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卜弋桥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大沟坝桥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鹤溪河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樊家桥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礼河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礼河桥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岳溪河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鹤溪河桥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岳津河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后施桥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新孟河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杏干桥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支溪河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殷家桥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新普河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卜泰河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公元桥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段庄浜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239省道桥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岳西河</w:t>
            </w:r>
          </w:p>
        </w:tc>
        <w:tc>
          <w:tcPr>
            <w:tcW w:w="130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西鹤桥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下港浜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下港浜桥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团结河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239省道桥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汤家浜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汤家浜桥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蒋泗塘</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蒋泗塘闸站北侧桥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安基浜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安茧桥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黄沟河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黄沟河</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向阳河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邹新花园西门</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创新大沟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创新桥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西茅村西</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红星大沟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后朱浜桥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立新大沟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港口桥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建新大沟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洪家湾36号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团结大沟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南十字桥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一八大沟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都家桥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于家大沟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何家庄33号</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凌庄大沟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塘门头桥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茶花路桥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海石口河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玫瑰桥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西界河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三维桥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梧桐河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梧桐桥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前进河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前进桥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凤凰河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新昌路桥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德胜河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德胜河桥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小王河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新苑桥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北童子河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北童子河桥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崔家浜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崔家浜</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丁沟河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丁沟河</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东窑沟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东窑沟桥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西窑沟 </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西窑沟桥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黄泥沟</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 黄泥沟</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后塘河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云祥桥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毛龙河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新昌桥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小茅山桥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西涵洞河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振昌路桥（西涵洞桥）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十字河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云彩桥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东十字河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星园桥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护场河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新庄桥 </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五星街道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洪庄河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白云桥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武宜运河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武宜河大桥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白荡河桥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宣塘桥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盛家浜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盛家浜泵站</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白家浜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清凉五村内</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徐家浜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徐家浜泵站</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叶家浜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叶家桥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蒋家浜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蒋家浜（蒋家桥）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皇粮浜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中凌桥（又叫皇粮浜桥）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中粮浜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中粮浜</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双沟河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双沟桥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小仓浜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中吴大道</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新武宜运河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新武宜河大桥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南童子河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船舫南路</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马家浜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大河头泵站</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三八河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梅庄</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西市河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人防桥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南市河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弋桥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京杭运河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同安桥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会馆浜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会馆浜桥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南大街街道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锁桥河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泰安桥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通济河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万福桥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关河</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青山桥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r>
        <w:tblPrEx>
          <w:tblCellMar>
            <w:top w:w="0" w:type="dxa"/>
            <w:left w:w="108" w:type="dxa"/>
            <w:bottom w:w="0" w:type="dxa"/>
            <w:right w:w="108" w:type="dxa"/>
          </w:tblCellMar>
        </w:tblPrEx>
        <w:trPr>
          <w:trHeight w:val="23" w:hRule="atLeast"/>
        </w:trPr>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荷花池街道</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大湾浜</w:t>
            </w:r>
          </w:p>
        </w:tc>
        <w:tc>
          <w:tcPr>
            <w:tcW w:w="130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飞龙桥</w:t>
            </w:r>
          </w:p>
        </w:tc>
        <w:tc>
          <w:tcPr>
            <w:tcW w:w="57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1次/月</w:t>
            </w:r>
          </w:p>
        </w:tc>
        <w:tc>
          <w:tcPr>
            <w:tcW w:w="158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高锰酸盐指数、氨氮、总磷</w:t>
            </w:r>
          </w:p>
        </w:tc>
      </w:tr>
    </w:tbl>
    <w:p>
      <w:pP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附表11</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常州市城市建成区水体清单（钟楼区）</w:t>
      </w:r>
    </w:p>
    <w:tbl>
      <w:tblPr>
        <w:tblStyle w:val="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042"/>
        <w:gridCol w:w="751"/>
        <w:gridCol w:w="886"/>
        <w:gridCol w:w="1350"/>
        <w:gridCol w:w="1324"/>
        <w:gridCol w:w="967"/>
        <w:gridCol w:w="108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4"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序号</w:t>
            </w:r>
          </w:p>
        </w:tc>
        <w:tc>
          <w:tcPr>
            <w:tcW w:w="1042"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名 称</w:t>
            </w:r>
          </w:p>
        </w:tc>
        <w:tc>
          <w:tcPr>
            <w:tcW w:w="751"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类型</w:t>
            </w:r>
          </w:p>
        </w:tc>
        <w:tc>
          <w:tcPr>
            <w:tcW w:w="886"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级别</w:t>
            </w:r>
          </w:p>
        </w:tc>
        <w:tc>
          <w:tcPr>
            <w:tcW w:w="1350"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面积（km</w:t>
            </w:r>
            <w:r>
              <w:rPr>
                <w:rFonts w:hint="default" w:ascii="Times New Roman" w:hAnsi="Times New Roman" w:eastAsia="黑体" w:cs="Times New Roman"/>
                <w:color w:val="000000" w:themeColor="text1"/>
                <w:kern w:val="0"/>
                <w:sz w:val="21"/>
                <w:szCs w:val="21"/>
                <w:vertAlign w:val="superscript"/>
                <w14:textFill>
                  <w14:solidFill>
                    <w14:schemeClr w14:val="tx1"/>
                  </w14:solidFill>
                </w14:textFill>
              </w:rPr>
              <w:t>2</w:t>
            </w:r>
            <w:r>
              <w:rPr>
                <w:rFonts w:hint="default" w:ascii="Times New Roman" w:hAnsi="Times New Roman" w:eastAsia="黑体" w:cs="Times New Roman"/>
                <w:color w:val="000000" w:themeColor="text1"/>
                <w:kern w:val="0"/>
                <w:sz w:val="21"/>
                <w:szCs w:val="21"/>
                <w14:textFill>
                  <w14:solidFill>
                    <w14:schemeClr w14:val="tx1"/>
                  </w14:solidFill>
                </w14:textFill>
              </w:rPr>
              <w:t>）/长度（km）</w:t>
            </w:r>
          </w:p>
        </w:tc>
        <w:tc>
          <w:tcPr>
            <w:tcW w:w="1324"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起点</w:t>
            </w:r>
          </w:p>
        </w:tc>
        <w:tc>
          <w:tcPr>
            <w:tcW w:w="967"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终点</w:t>
            </w:r>
          </w:p>
        </w:tc>
        <w:tc>
          <w:tcPr>
            <w:tcW w:w="1089"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是否劣五类水体</w:t>
            </w:r>
          </w:p>
        </w:tc>
        <w:tc>
          <w:tcPr>
            <w:tcW w:w="1749" w:type="dxa"/>
            <w:tcBorders>
              <w:bottom w:val="single" w:color="auto" w:sz="4" w:space="0"/>
            </w:tcBorders>
            <w:vAlign w:val="center"/>
          </w:tcPr>
          <w:p>
            <w:pPr>
              <w:widowControl w:val="0"/>
              <w:spacing w:line="240" w:lineRule="auto"/>
              <w:jc w:val="center"/>
              <w:rPr>
                <w:rFonts w:hint="default" w:ascii="Times New Roman" w:hAnsi="Times New Roman" w:eastAsia="黑体" w:cs="Times New Roman"/>
                <w:color w:val="000000" w:themeColor="text1"/>
                <w:kern w:val="0"/>
                <w:sz w:val="21"/>
                <w:szCs w:val="21"/>
                <w14:textFill>
                  <w14:solidFill>
                    <w14:schemeClr w14:val="tx1"/>
                  </w14:solidFill>
                </w14:textFill>
              </w:rPr>
            </w:pPr>
            <w:r>
              <w:rPr>
                <w:rFonts w:hint="default" w:ascii="Times New Roman" w:hAnsi="Times New Roman" w:eastAsia="黑体" w:cs="Times New Roman"/>
                <w:color w:val="000000" w:themeColor="text1"/>
                <w:kern w:val="0"/>
                <w:sz w:val="21"/>
                <w:szCs w:val="21"/>
                <w14:textFill>
                  <w14:solidFill>
                    <w14:schemeClr w14:val="tx1"/>
                  </w14:solidFill>
                </w14:textFill>
              </w:rPr>
              <w:t>河 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通济河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1.73</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北塘河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澡港河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荷花池街道办事处副主任 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后塘河    （钟楼段）</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2.5</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童子河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南运河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五星街道党工委委员、纪工委书记 季红平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护场河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3.5</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新庄工业园</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亚美柯工业园</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五星街道经济发展服务中心主任 沈建忠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十字河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3.5</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南排涝2站</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北排涝3站</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五星街道城市建设和管理服务中心主任 朱雪峰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会馆浜</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0.61</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怀南苑</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永红街道办事处副主任 吕萍香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皇粮浜</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1.03</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童子河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西林船舫头</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西林街道党工委政法委员、人武部部长 朱平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毛龙河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2.19</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飞龙西路毛龙河桥</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运河路毛龙桥</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是</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新闸街道人武部部长 孙佳、五星街道办事处副主任 王一迅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洪庄河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1.5</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老乌口桥</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党校翻水站</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五星街道办事处副主任 刘丽娜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关 河      （钟楼段）</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2.58</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长江中路中吴大桥西80米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青山桥</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荷花池街道办事处副主任  沈小波、五星街道党工委委员、政法委员 梁银平、南大街街道城市建设和管理服务中心主任 卢卫东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锁桥河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0.73</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老大运河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西市河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南大街街道办事处副主任 沈雪峰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南市河    （钟楼段）</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0.98</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老大运河西水关站</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晋陵中路中新桥</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南大街街道党工委副书记 谢海龙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西市河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1.26</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老大运河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关河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南大街街道办事处副主任 陆萍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盛家浜（西林）</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村级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0.39</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 xml:space="preserve">西林街道  </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朱夏墅村委</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西林街道朱夏墅村支书记 包鹏飞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14</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白荡河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4.08</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老大运河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永红人大工委主任 仇东华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15</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小仓浜</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西塘桥</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小仓浜南侧</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永红街道党工委组织委员 陈明明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叶家浜</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镇级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0.85</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叶家浜闸口</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颐和家园</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永红街道钟楼区财政局永红分局局长 焦骐洲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盛家浜（永红）</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村级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0.13</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盛家浜</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格兰艺堡</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永红街道陈渡村党委书记  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徐家浜</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村级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0.8</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徐家浜</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陈渡路</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永红街道陈渡村党委书记  徐涛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19</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童子河</w:t>
            </w:r>
          </w:p>
        </w:tc>
        <w:tc>
          <w:tcPr>
            <w:tcW w:w="751"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324"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老大运河</w:t>
            </w:r>
          </w:p>
        </w:tc>
        <w:tc>
          <w:tcPr>
            <w:tcW w:w="967" w:type="dxa"/>
            <w:tcBorders>
              <w:top w:val="single" w:color="auto" w:sz="4" w:space="0"/>
              <w:bottom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南运河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西林街道办事处副主任 吴江东、北港街道办事处副主任 范赟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tcBorders>
              <w:top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w:t>
            </w:r>
          </w:p>
        </w:tc>
        <w:tc>
          <w:tcPr>
            <w:tcW w:w="10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海石口</w:t>
            </w:r>
          </w:p>
        </w:tc>
        <w:tc>
          <w:tcPr>
            <w:tcW w:w="751" w:type="dxa"/>
            <w:tcBorders>
              <w:top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河流</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区级</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324" w:type="dxa"/>
            <w:tcBorders>
              <w:top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童子河</w:t>
            </w:r>
          </w:p>
        </w:tc>
        <w:tc>
          <w:tcPr>
            <w:tcW w:w="967" w:type="dxa"/>
            <w:tcBorders>
              <w:top w:val="single" w:color="auto" w:sz="4" w:space="0"/>
            </w:tcBorders>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老大运河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否</w:t>
            </w:r>
          </w:p>
        </w:tc>
        <w:tc>
          <w:tcPr>
            <w:tcW w:w="17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五星街道党工委委员、宣统委员 陈彦润</w:t>
            </w: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附表12</w:t>
      </w:r>
    </w:p>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12-1  钟楼区高风险遗留类地块清单</w:t>
      </w:r>
    </w:p>
    <w:tbl>
      <w:tblPr>
        <w:tblStyle w:val="5"/>
        <w:tblW w:w="9897" w:type="dxa"/>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105"/>
        <w:gridCol w:w="4027"/>
        <w:gridCol w:w="1278"/>
        <w:gridCol w:w="1344"/>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trPr>
        <w:tc>
          <w:tcPr>
            <w:tcW w:w="695"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1105"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4027"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地块名称</w:t>
            </w:r>
          </w:p>
        </w:tc>
        <w:tc>
          <w:tcPr>
            <w:tcW w:w="1278"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土壤污染状况调查情况</w:t>
            </w:r>
          </w:p>
        </w:tc>
        <w:tc>
          <w:tcPr>
            <w:tcW w:w="1344"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实施风险管控情况</w:t>
            </w:r>
          </w:p>
        </w:tc>
        <w:tc>
          <w:tcPr>
            <w:tcW w:w="1448"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原常州市瀚华纺织印染有限公司地块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原常州大进化工科技有限公司地块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原常州市武进恒隆农药有限公司地块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原江苏强塑新材料科技有限公司地块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原常州市武进华通电镀五金有限公司地块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原常州市凯元化工有限公司地块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原常州市鹤溪化学试剂厂地块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原常州市北港电镀有限公司地块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原常州中天焦化有限公司地块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已调查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原江苏新亚化工有限公司(江苏新菱化工有限公司)地块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已调查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9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105" w:type="dxa"/>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永红街道</w:t>
            </w:r>
          </w:p>
        </w:tc>
        <w:tc>
          <w:tcPr>
            <w:tcW w:w="4027" w:type="dxa"/>
            <w:noWrap/>
            <w:vAlign w:val="center"/>
          </w:tcPr>
          <w:p>
            <w:pPr>
              <w:widowControl/>
              <w:spacing w:line="240" w:lineRule="auto"/>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原常州现代金属表面处理有限公司地块</w:t>
            </w:r>
          </w:p>
        </w:tc>
        <w:tc>
          <w:tcPr>
            <w:tcW w:w="127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未调查</w:t>
            </w:r>
          </w:p>
        </w:tc>
        <w:tc>
          <w:tcPr>
            <w:tcW w:w="1344"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未实施管控</w:t>
            </w:r>
          </w:p>
        </w:tc>
        <w:tc>
          <w:tcPr>
            <w:tcW w:w="1448"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12-2  钟楼区搬迁类地块清单</w:t>
      </w:r>
    </w:p>
    <w:tbl>
      <w:tblPr>
        <w:tblStyle w:val="5"/>
        <w:tblW w:w="8765"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42"/>
        <w:gridCol w:w="319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74" w:type="dxa"/>
            <w:noWrap/>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1942" w:type="dxa"/>
            <w:noWrap/>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3192" w:type="dxa"/>
            <w:noWrap/>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地块名称</w:t>
            </w:r>
          </w:p>
        </w:tc>
        <w:tc>
          <w:tcPr>
            <w:tcW w:w="2257" w:type="dxa"/>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4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原常州市武进捷达涂料厂</w:t>
            </w:r>
          </w:p>
        </w:tc>
        <w:tc>
          <w:tcPr>
            <w:tcW w:w="2257" w:type="dxa"/>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4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常州市凯泰高分子有限公司</w:t>
            </w:r>
          </w:p>
        </w:tc>
        <w:tc>
          <w:tcPr>
            <w:tcW w:w="2257"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4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w:t>
            </w:r>
          </w:p>
        </w:tc>
        <w:tc>
          <w:tcPr>
            <w:tcW w:w="319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常州清澄日化有限公司</w:t>
            </w:r>
          </w:p>
        </w:tc>
        <w:tc>
          <w:tcPr>
            <w:tcW w:w="2257"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94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西林街道</w:t>
            </w:r>
          </w:p>
        </w:tc>
        <w:tc>
          <w:tcPr>
            <w:tcW w:w="3192"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常州市南方精细化工有限公司</w:t>
            </w:r>
          </w:p>
        </w:tc>
        <w:tc>
          <w:tcPr>
            <w:tcW w:w="2257"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pPr>
        <w:spacing w:line="570" w:lineRule="exact"/>
        <w:jc w:val="center"/>
        <w:rPr>
          <w:rFonts w:hint="default" w:ascii="Times New Roman" w:hAnsi="Times New Roman" w:eastAsia="方正小标宋简体" w:cs="Times New Roman"/>
          <w:color w:val="000000" w:themeColor="text1"/>
          <w:sz w:val="28"/>
          <w:szCs w:val="28"/>
          <w14:textFill>
            <w14:solidFill>
              <w14:schemeClr w14:val="tx1"/>
            </w14:solidFill>
          </w14:textFill>
        </w:rPr>
      </w:pPr>
    </w:p>
    <w:p>
      <w:pPr>
        <w:spacing w:line="570" w:lineRule="exact"/>
        <w:jc w:val="center"/>
        <w:rPr>
          <w:rFonts w:hint="default" w:ascii="Times New Roman" w:hAnsi="Times New Roman" w:eastAsia="宋体" w:cs="Times New Roman"/>
          <w:b/>
          <w:bCs/>
          <w:color w:val="000000" w:themeColor="text1"/>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12-3 钟楼区2022年关闭类化工企业清单</w:t>
      </w:r>
    </w:p>
    <w:tbl>
      <w:tblPr>
        <w:tblStyle w:val="5"/>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911"/>
        <w:gridCol w:w="3195"/>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地块名称</w:t>
            </w:r>
          </w:p>
        </w:tc>
        <w:tc>
          <w:tcPr>
            <w:tcW w:w="2253"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常州市武进邹区除垢剂有限公司</w:t>
            </w:r>
          </w:p>
        </w:tc>
        <w:tc>
          <w:tcPr>
            <w:tcW w:w="22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常州市佳玉印染助剂厂</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常州市群益涂料有限公司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常州市武进四方涂料有限公司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常州市凯杰化工有限公司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江苏亚裕环境工程有限公司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常州市明杰化工有限公司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8</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常州裕源涂料有限公司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9</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常州市武进泰村助剂有限公司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10</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195"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常州大正粉体有限公司</w:t>
            </w:r>
          </w:p>
        </w:tc>
        <w:tc>
          <w:tcPr>
            <w:tcW w:w="2253"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11</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常州市向往装饰材料有限公司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12</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3195"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常州市马江工业气体有限公司</w:t>
            </w:r>
          </w:p>
        </w:tc>
        <w:tc>
          <w:tcPr>
            <w:tcW w:w="2253"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13</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常州市合众工业气体有限公司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14</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新闸街道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常州市盛邦氟碳涂料有限公司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15</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常州奥尔佳光亮剂有限公司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16</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常州市光泽涂料有限公司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17</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五星街道</w:t>
            </w:r>
          </w:p>
        </w:tc>
        <w:tc>
          <w:tcPr>
            <w:tcW w:w="319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常州市协盛化工有限公司</w:t>
            </w:r>
          </w:p>
        </w:tc>
        <w:tc>
          <w:tcPr>
            <w:tcW w:w="2253"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18</w:t>
            </w: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永红街道</w:t>
            </w:r>
          </w:p>
        </w:tc>
        <w:tc>
          <w:tcPr>
            <w:tcW w:w="3195"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常州市晔泰精细化工研究所</w:t>
            </w:r>
          </w:p>
        </w:tc>
        <w:tc>
          <w:tcPr>
            <w:tcW w:w="2253"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5"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1911" w:type="dxa"/>
            <w:tcBorders>
              <w:top w:val="single" w:color="auto" w:sz="4" w:space="0"/>
              <w:left w:val="single" w:color="auto" w:sz="4" w:space="0"/>
              <w:bottom w:val="single" w:color="auto" w:sz="4" w:space="0"/>
              <w:right w:val="single" w:color="auto" w:sz="4" w:space="0"/>
            </w:tcBorders>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3195"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2253" w:type="dxa"/>
            <w:tcBorders>
              <w:top w:val="single" w:color="auto" w:sz="4" w:space="0"/>
              <w:left w:val="single" w:color="auto" w:sz="4" w:space="0"/>
              <w:bottom w:val="single" w:color="auto" w:sz="4" w:space="0"/>
              <w:right w:val="single" w:color="auto" w:sz="4" w:space="0"/>
            </w:tcBorders>
            <w:noWrap/>
            <w:vAlign w:val="center"/>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r>
    </w:tbl>
    <w:p>
      <w:pPr>
        <w:spacing w:line="240" w:lineRule="auto"/>
        <w:rPr>
          <w:rFonts w:hint="default" w:ascii="Times New Roman" w:hAnsi="Times New Roman" w:eastAsia="黑体" w:cs="Times New Roman"/>
          <w:color w:val="000000" w:themeColor="text1"/>
          <w:sz w:val="28"/>
          <w:szCs w:val="28"/>
          <w14:textFill>
            <w14:solidFill>
              <w14:schemeClr w14:val="tx1"/>
            </w14:solidFill>
          </w14:textFill>
        </w:rPr>
      </w:pPr>
      <w:r>
        <w:rPr>
          <w:rFonts w:hint="default" w:ascii="Times New Roman" w:hAnsi="Times New Roman" w:eastAsia="黑体" w:cs="Times New Roman"/>
          <w:color w:val="000000" w:themeColor="text1"/>
          <w:sz w:val="28"/>
          <w:szCs w:val="28"/>
          <w14:textFill>
            <w14:solidFill>
              <w14:schemeClr w14:val="tx1"/>
            </w14:solidFill>
          </w14:textFill>
        </w:rPr>
        <w:t>附表13</w:t>
      </w:r>
    </w:p>
    <w:p>
      <w:pPr>
        <w:spacing w:line="570" w:lineRule="exact"/>
        <w:jc w:val="center"/>
        <w:rPr>
          <w:rFonts w:hint="default" w:ascii="Times New Roman" w:hAnsi="Times New Roman" w:eastAsia="方正小标宋简体" w:cs="Times New Roman"/>
          <w:color w:val="000000" w:themeColor="text1"/>
          <w:sz w:val="28"/>
          <w:szCs w:val="28"/>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13-1  钟楼区土壤污染重点监管单位名单</w:t>
      </w:r>
    </w:p>
    <w:tbl>
      <w:tblPr>
        <w:tblStyle w:val="5"/>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774"/>
        <w:gridCol w:w="3600"/>
        <w:gridCol w:w="2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blHeader/>
          <w:jc w:val="center"/>
        </w:trPr>
        <w:tc>
          <w:tcPr>
            <w:tcW w:w="892" w:type="dxa"/>
            <w:noWrap/>
            <w:vAlign w:val="center"/>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1774" w:type="dxa"/>
            <w:noWrap/>
            <w:vAlign w:val="center"/>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3600" w:type="dxa"/>
            <w:noWrap/>
            <w:vAlign w:val="center"/>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单位名单</w:t>
            </w:r>
          </w:p>
        </w:tc>
        <w:tc>
          <w:tcPr>
            <w:tcW w:w="2260" w:type="dxa"/>
            <w:noWrap/>
          </w:tcPr>
          <w:p>
            <w:pPr>
              <w:widowControl w:val="0"/>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常州清流环保科技有限公司</w:t>
            </w:r>
          </w:p>
        </w:tc>
        <w:tc>
          <w:tcPr>
            <w:tcW w:w="2260"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2021年9月前纳入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常州市天耀桶业有限公司</w:t>
            </w:r>
          </w:p>
        </w:tc>
        <w:tc>
          <w:tcPr>
            <w:tcW w:w="2260"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2021年9月前纳入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常州市钟楼卜弋电镀有限公司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4</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常州市中泰化工有限公司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常州市小平电镀有限公司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常州晔康化学制品有限公司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常州市科丰化工有限公司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8</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中稀（常州）稀土新材料有限公司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9</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常州市宝丽胶粘剂有限公司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10</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常州市武进永升化工有限公司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11</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常州市卜弋科研化工有限公司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12</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常州人杰新材料科技有限公司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13</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常州市希卓五金科技有限公司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14</w:t>
            </w:r>
          </w:p>
        </w:tc>
        <w:tc>
          <w:tcPr>
            <w:tcW w:w="1774"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常州市联晟热处理厂</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15</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常州市风华环保有限公司</w:t>
            </w:r>
          </w:p>
        </w:tc>
        <w:tc>
          <w:tcPr>
            <w:tcW w:w="2260"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2021年9月前纳入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16</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常州市龙顺环保服务有限公司</w:t>
            </w:r>
          </w:p>
        </w:tc>
        <w:tc>
          <w:tcPr>
            <w:tcW w:w="2260"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2021年9月前纳入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17</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北港街道</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常州市禾合环保科技有限公司</w:t>
            </w:r>
          </w:p>
        </w:tc>
        <w:tc>
          <w:tcPr>
            <w:tcW w:w="2260"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2021年9月前纳入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18</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常州宏方物资再生利用有限公司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19</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常州市常飞乙炔制造有限公司</w:t>
            </w:r>
          </w:p>
        </w:tc>
        <w:tc>
          <w:tcPr>
            <w:tcW w:w="2260" w:type="dxa"/>
            <w:noWrap/>
          </w:tcPr>
          <w:p>
            <w:pPr>
              <w:widowControl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2021年9月前纳入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jc w:val="center"/>
        </w:trPr>
        <w:tc>
          <w:tcPr>
            <w:tcW w:w="892" w:type="dxa"/>
            <w:noWrap/>
            <w:vAlign w:val="center"/>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w:t>
            </w:r>
          </w:p>
        </w:tc>
        <w:tc>
          <w:tcPr>
            <w:tcW w:w="1774"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3600" w:type="dxa"/>
            <w:noWrap/>
            <w:vAlign w:val="center"/>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中海油常州环保涂料有限公司</w:t>
            </w:r>
          </w:p>
        </w:tc>
        <w:tc>
          <w:tcPr>
            <w:tcW w:w="2260" w:type="dxa"/>
            <w:noWrap/>
          </w:tcPr>
          <w:p>
            <w:pPr>
              <w:widowControl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新增</w:t>
            </w:r>
          </w:p>
        </w:tc>
      </w:tr>
    </w:tbl>
    <w:p>
      <w:pPr>
        <w:jc w:val="center"/>
        <w:rPr>
          <w:rFonts w:hint="default" w:ascii="Times New Roman" w:hAnsi="Times New Roman" w:eastAsia="方正小标宋简体" w:cs="Times New Roman"/>
          <w:color w:val="000000" w:themeColor="text1"/>
          <w:sz w:val="28"/>
          <w:szCs w:val="28"/>
          <w14:textFill>
            <w14:solidFill>
              <w14:schemeClr w14:val="tx1"/>
            </w14:solidFill>
          </w14:textFill>
        </w:rPr>
      </w:pP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方正小标宋简体" w:cs="Times New Roman"/>
          <w:color w:val="000000" w:themeColor="text1"/>
          <w:sz w:val="28"/>
          <w:szCs w:val="28"/>
          <w14:textFill>
            <w14:solidFill>
              <w14:schemeClr w14:val="tx1"/>
            </w14:solidFill>
          </w14:textFill>
        </w:rPr>
        <w:t>13-2  钟楼区土壤重点监管单位周边土壤和地下水环境质量监测清单</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1722"/>
        <w:gridCol w:w="3835"/>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序号</w:t>
            </w:r>
          </w:p>
        </w:tc>
        <w:tc>
          <w:tcPr>
            <w:tcW w:w="1722" w:type="dxa"/>
            <w:noWrap/>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所属镇（街道）</w:t>
            </w:r>
          </w:p>
        </w:tc>
        <w:tc>
          <w:tcPr>
            <w:tcW w:w="3835" w:type="dxa"/>
            <w:noWrap/>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企业名称</w:t>
            </w:r>
          </w:p>
        </w:tc>
        <w:tc>
          <w:tcPr>
            <w:tcW w:w="1982" w:type="dxa"/>
            <w:noWrap/>
          </w:tcPr>
          <w:p>
            <w:pPr>
              <w:pStyle w:val="3"/>
              <w:widowControl/>
              <w:spacing w:line="240" w:lineRule="auto"/>
              <w:jc w:val="center"/>
              <w:rPr>
                <w:rFonts w:hint="default" w:ascii="Times New Roman" w:hAnsi="Times New Roman" w:eastAsia="黑体" w:cs="Times New Roman"/>
                <w:color w:val="000000" w:themeColor="text1"/>
                <w:sz w:val="21"/>
                <w:szCs w:val="21"/>
                <w14:textFill>
                  <w14:solidFill>
                    <w14:schemeClr w14:val="tx1"/>
                  </w14:solidFill>
                </w14:textFill>
              </w:rPr>
            </w:pPr>
            <w:r>
              <w:rPr>
                <w:rFonts w:hint="default" w:ascii="Times New Roman" w:hAnsi="Times New Roman" w:eastAsia="黑体" w:cs="Times New Roman"/>
                <w:color w:val="000000" w:themeColor="text1"/>
                <w:sz w:val="21"/>
                <w:szCs w:val="21"/>
                <w14:textFill>
                  <w14:solidFill>
                    <w14:schemeClr w14:val="tx1"/>
                  </w14:solidFill>
                </w14:textFill>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中稀（常州）稀土新材料有限公司</w:t>
            </w:r>
          </w:p>
        </w:tc>
        <w:tc>
          <w:tcPr>
            <w:tcW w:w="198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常州市钟楼卜弋电镀有限公司</w:t>
            </w:r>
          </w:p>
        </w:tc>
        <w:tc>
          <w:tcPr>
            <w:tcW w:w="1982" w:type="dxa"/>
            <w:noWrap/>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3</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常州市小平电镀有限公司</w:t>
            </w:r>
          </w:p>
        </w:tc>
        <w:tc>
          <w:tcPr>
            <w:tcW w:w="1982" w:type="dxa"/>
            <w:noWrap/>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4</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常州市中泰化工有限公司</w:t>
            </w:r>
          </w:p>
        </w:tc>
        <w:tc>
          <w:tcPr>
            <w:tcW w:w="1982" w:type="dxa"/>
            <w:noWrap/>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5</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邹区镇</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常州晔康化学制品有限公司</w:t>
            </w:r>
          </w:p>
        </w:tc>
        <w:tc>
          <w:tcPr>
            <w:tcW w:w="1982" w:type="dxa"/>
            <w:noWrap/>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6</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北港街道</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常州宏方物资再生利用有限公司</w:t>
            </w:r>
          </w:p>
        </w:tc>
        <w:tc>
          <w:tcPr>
            <w:tcW w:w="1982" w:type="dxa"/>
            <w:noWrap/>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7</w:t>
            </w:r>
          </w:p>
        </w:tc>
        <w:tc>
          <w:tcPr>
            <w:tcW w:w="1722"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新闸街道</w:t>
            </w:r>
          </w:p>
        </w:tc>
        <w:tc>
          <w:tcPr>
            <w:tcW w:w="3835" w:type="dxa"/>
            <w:noWrap/>
          </w:tcPr>
          <w:p>
            <w:pPr>
              <w:pStyle w:val="3"/>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中海油常州环保涂料有限公司</w:t>
            </w:r>
          </w:p>
        </w:tc>
        <w:tc>
          <w:tcPr>
            <w:tcW w:w="1982" w:type="dxa"/>
            <w:noWrap/>
          </w:tcPr>
          <w:p>
            <w:pPr>
              <w:widowControl/>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2022年12月</w:t>
            </w:r>
          </w:p>
        </w:tc>
      </w:tr>
    </w:tbl>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055FA"/>
    <w:multiLevelType w:val="multilevel"/>
    <w:tmpl w:val="494055FA"/>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3D0304"/>
    <w:multiLevelType w:val="multilevel"/>
    <w:tmpl w:val="533D0304"/>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F848C1"/>
    <w:multiLevelType w:val="multilevel"/>
    <w:tmpl w:val="6BF848C1"/>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FD3A9C"/>
    <w:multiLevelType w:val="multilevel"/>
    <w:tmpl w:val="71FD3A9C"/>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54F7B"/>
    <w:rsid w:val="29A23E92"/>
    <w:rsid w:val="3886521A"/>
    <w:rsid w:val="3DB92FF1"/>
    <w:rsid w:val="50454F7B"/>
    <w:rsid w:val="61C26135"/>
    <w:rsid w:val="65AD181F"/>
    <w:rsid w:val="68A00BBE"/>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3">
    <w:name w:val="Normal (Web)"/>
    <w:basedOn w:val="1"/>
    <w:unhideWhenUsed/>
    <w:qFormat/>
    <w:uiPriority w:val="99"/>
    <w:rPr>
      <w:sz w:val="24"/>
    </w:rPr>
  </w:style>
  <w:style w:type="table" w:styleId="5">
    <w:name w:val="Table Grid"/>
    <w:basedOn w:val="4"/>
    <w:qFormat/>
    <w:uiPriority w:val="5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表格标题"/>
    <w:basedOn w:val="1"/>
    <w:qFormat/>
    <w:uiPriority w:val="0"/>
    <w:pPr>
      <w:widowControl w:val="0"/>
      <w:snapToGrid w:val="0"/>
      <w:spacing w:line="600" w:lineRule="exact"/>
      <w:jc w:val="center"/>
    </w:pPr>
    <w:rPr>
      <w:rFonts w:ascii="方正小标宋_GBK" w:hAnsi="宋体" w:eastAsia="方正小标宋_GBK" w:cs="Times New Roman"/>
      <w:kern w:val="0"/>
      <w:sz w:val="44"/>
      <w:szCs w:val="24"/>
    </w:rPr>
  </w:style>
  <w:style w:type="paragraph" w:customStyle="1" w:styleId="8">
    <w:name w:val="表格格式"/>
    <w:basedOn w:val="1"/>
    <w:qFormat/>
    <w:uiPriority w:val="0"/>
    <w:pPr>
      <w:widowControl w:val="0"/>
      <w:snapToGrid w:val="0"/>
      <w:spacing w:line="240" w:lineRule="auto"/>
    </w:pPr>
    <w:rPr>
      <w:rFonts w:ascii="宋体" w:cs="Times New Roman" w:hAnsiTheme="minorEastAsia" w:eastAsiaTheme="minorEastAsia"/>
      <w:sz w:val="21"/>
      <w:szCs w:val="21"/>
    </w:rPr>
  </w:style>
  <w:style w:type="paragraph" w:customStyle="1" w:styleId="9">
    <w:name w:val="列表段落1"/>
    <w:basedOn w:val="1"/>
    <w:qFormat/>
    <w:uiPriority w:val="34"/>
    <w:pPr>
      <w:widowControl w:val="0"/>
      <w:snapToGrid w:val="0"/>
      <w:spacing w:line="600" w:lineRule="exact"/>
      <w:ind w:firstLine="420" w:firstLineChars="200"/>
    </w:pPr>
    <w:rPr>
      <w:rFonts w:eastAsia="方正仿宋_GBK"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2022-04-20T10:10:00Z</dcterms:created>
  <dc:creator>Angelique</dc:creator>
  <cp:lastModifiedBy>Angelique</cp:lastModifiedBy>
  <dcterms:modified xsi:type="dcterms:W3CDTF">2022-04-20T10:11:00Z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36E7638C683B43379FD8FBB80656A9AD</vt:lpwstr>
  </property>
</Properties>
</file>