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中共永红村党组织巡察整改进展清单</w:t>
      </w:r>
    </w:p>
    <w:p>
      <w:pPr>
        <w:adjustRightInd w:val="0"/>
        <w:snapToGrid w:val="0"/>
        <w:spacing w:line="570" w:lineRule="exact"/>
        <w:jc w:val="lef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   2022.06.30   </w:t>
      </w:r>
      <w:r>
        <w:rPr>
          <w:rFonts w:eastAsia="仿宋_GB2312"/>
          <w:szCs w:val="32"/>
        </w:rPr>
        <w:t xml:space="preserve">      党组织盖章：</w:t>
      </w:r>
      <w:r>
        <w:rPr>
          <w:rFonts w:eastAsia="仿宋_GB2312"/>
          <w:szCs w:val="32"/>
          <w:u w:val="single"/>
        </w:rPr>
        <w:t xml:space="preserve">               </w:t>
      </w:r>
      <w:r>
        <w:rPr>
          <w:rFonts w:eastAsia="仿宋_GB2312"/>
          <w:szCs w:val="32"/>
        </w:rPr>
        <w:t xml:space="preserve">      负责人签字：</w:t>
      </w:r>
      <w:r>
        <w:rPr>
          <w:rFonts w:eastAsia="仿宋_GB2312"/>
          <w:szCs w:val="32"/>
          <w:u w:val="single"/>
        </w:rPr>
        <w:t xml:space="preserve">                  </w:t>
      </w:r>
    </w:p>
    <w:tbl>
      <w:tblPr>
        <w:tblStyle w:val="4"/>
        <w:tblW w:w="14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00"/>
        <w:gridCol w:w="3810"/>
        <w:gridCol w:w="5490"/>
        <w:gridCol w:w="129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反馈问题</w:t>
            </w:r>
          </w:p>
        </w:tc>
        <w:tc>
          <w:tcPr>
            <w:tcW w:w="381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整改任务和措施</w:t>
            </w:r>
          </w:p>
        </w:tc>
        <w:tc>
          <w:tcPr>
            <w:tcW w:w="54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整改进展和成效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责任人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积极组织开展对习近平总书记关于“三农”工作和乡村振兴战略重要论述的专题性和针对性学习，将“三农”“乡村振兴”等相关重要论述与党日活动、日常学习相结合，不定期组织学习，并记入一本通。对资金资产相关负责人员，深入强化学习意识，自学与集体学相结合，做好学习笔记，进一步夯实业务知识与业务水平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已完成并长期坚持。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通过集中学、自主学等形式组织全村工作人员及村监会人员认真学习“三农”工作及乡村振兴战略重要论述。强化了全村干部为民办事能力，进一步夯实了业务知识及水平，并形成了长期学习制度。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金杰、史睿琪、张燕俊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面对新形势、新要求下的乡村振兴课题，在资金管理、资产运营等方面摒弃惯性思维和“等靠要”思想，对盘活资产进行长远规划，解决资产大面积闲置问题。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积极盘活闲置资产，通过易交易、58等其他租房平台广泛宣传，并张贴招租公告，多渠道多平台发布招租信息。针对老旧资产进行翻新改造，提升资产整体价值。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整改中。针对闲置资产，两委人员商讨决定根据周边租房价格，重新审视定价，酌情降低一些租金以期招募合适承租户，并报村民代表大会审议。对年数较长状况较差房屋进行翻新改造，提升资产价值。同时积极盘活资产，多渠道发布招租信息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</w:t>
            </w:r>
            <w:r>
              <w:rPr>
                <w:rFonts w:eastAsia="仿宋_GB2312"/>
                <w:sz w:val="24"/>
              </w:rPr>
              <w:t>：重新归整了资产信息，详细了解各处资产情况，调查周边租赁行情，做到心中有“底”。拓宽思路，不单单局限于易交易平台，积极招商引资，广泛宣传。做好基础设施配套服务。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金杰、张燕俊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落实“四议两公开”要求有差距。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贯彻落实“四议两公开”制度要求。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健全机制狠抓落实，全面提升村级民主管理水平。根据“四议两公开”要求，对照完善落实村议事制度，凡属村级重大事务和涉及村民群众切身利益的事项，都严格执行 “四议两公开”工作程序。在今后申报村集体经济项目工作中，严格按照“党委提议、两委会商议、党员大会审议，村民代表大会决议、决议公开、实施结果公开”的程序决策，充分发挥党组织、党员、村民代表在重大决策中的主体作用。后续工作中严格落实“两公开”制度，进一步细化公开内容及事项，及时对村务、党务、财务进行公开，增强工作透明度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已完成并长期坚持。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组织两委成员认真学习“四议两公开”制度及规范流程，做到熟记于心，在今后各项工作中，遇重大项目重大事项，严格按照“四议两公开”执行。进一步健全了村委议事决事制度流程。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金杰、刘叶波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村与村自主“造血”能力差距大。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提高自主“造血能力”，进一步减少差距。</w:t>
            </w:r>
            <w:r>
              <w:rPr>
                <w:rFonts w:eastAsia="仿宋_GB2312"/>
                <w:b/>
                <w:kern w:val="0"/>
                <w:sz w:val="24"/>
              </w:rPr>
              <w:t>整改措施：</w:t>
            </w:r>
            <w:r>
              <w:rPr>
                <w:rFonts w:eastAsia="仿宋_GB2312"/>
                <w:bCs/>
                <w:kern w:val="0"/>
                <w:sz w:val="24"/>
              </w:rPr>
              <w:t>落实主体责任，增强工作积极性，强化担当精神。一是抓好</w:t>
            </w:r>
            <w:r>
              <w:rPr>
                <w:rFonts w:eastAsia="仿宋_GB2312"/>
                <w:sz w:val="24"/>
              </w:rPr>
              <w:t>常州工程职业技术学院（清潭路87号）园区项目，</w:t>
            </w:r>
            <w:r>
              <w:rPr>
                <w:rFonts w:eastAsia="仿宋_GB2312"/>
                <w:bCs/>
                <w:kern w:val="0"/>
                <w:sz w:val="24"/>
              </w:rPr>
              <w:t>做好企业调整，引进</w:t>
            </w:r>
            <w:r>
              <w:rPr>
                <w:rFonts w:eastAsia="仿宋_GB2312"/>
                <w:sz w:val="24"/>
              </w:rPr>
              <w:t>江苏陈渡码头文化科技发展有限公司</w:t>
            </w:r>
            <w:r>
              <w:rPr>
                <w:rFonts w:eastAsia="仿宋_GB2312"/>
                <w:bCs/>
                <w:kern w:val="0"/>
                <w:sz w:val="24"/>
              </w:rPr>
              <w:t>，做好企业孵化。二是抓好</w:t>
            </w:r>
            <w:r>
              <w:rPr>
                <w:rFonts w:eastAsia="仿宋_GB2312"/>
                <w:sz w:val="24"/>
              </w:rPr>
              <w:t>新动能创新产业园（原质监大院）项目</w:t>
            </w:r>
            <w:r>
              <w:rPr>
                <w:rFonts w:eastAsia="仿宋_GB2312"/>
                <w:bCs/>
                <w:kern w:val="0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做好招商引企服务工作</w:t>
            </w:r>
            <w:r>
              <w:rPr>
                <w:rFonts w:eastAsia="仿宋_GB2312"/>
                <w:bCs/>
                <w:kern w:val="0"/>
                <w:sz w:val="24"/>
              </w:rPr>
              <w:t>。优化营商环境，提升永红村整体形象。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整改中。目前新动能产业园已基本建设完成，进入招商引资引企阶段，永红村全力配合新动能产业园及街道经发局做好企业服务工作，不定期进行调研走访，了解企业所需所求。优化永红村营商环境，提升整体形象，以期以点带面，助推永红新发展。常州工程职业技术学院现在改造建设中。建设完成后永红村将做好后续服务工作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积极向先进单位学习，借鉴经验，针对永红村实际，着力发展第三产业服务业，开拓思路招商引企，目前新动能产业园目前已基本成形，并获得了街道“2030”项目专项奖励，进入企业培育阶段。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金杰、张燕俊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“家底”情况不明晰。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摸清“自家财”家底，系统梳理做到心中有“账”。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每年度进行“清产核资”工作，摸清家底摸清底数，组织人员对固定资产、往来账应收应付款等进行逐一盘点，形成台账。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已完成并长期坚持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对永红村近两年收支及资产情况详细进行梳理，做到心中有“数”、心中有“底”。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金杰、史睿琪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租金欠收（丁洪芳欠付房租金、拒不交房）1.5436万元。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处理解决</w:t>
            </w:r>
            <w:r>
              <w:rPr>
                <w:rFonts w:eastAsia="仿宋_GB2312"/>
                <w:sz w:val="24"/>
              </w:rPr>
              <w:t>永红村租金欠收1.5436万元。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永红村现已对欠收租金租户采取法律措施，民事判决书已出（2021苏0404民初6276号），现申请法院强制执行中。在后续工作中，持续关注租赁户经营状态，在租期到期前一个月确认是否续租等其他相关事项，做好前期工作，拒不履行合同按期缴纳租金的，采取法律手段催收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民事判决书已出（2021苏0404民初6276号），现申请法院强制执行中。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重新梳理了近5年来租金收缴情况，做到笔笔清，在今后工作中，持续关注租赁经营户营业状态，有问题及时预警处理。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金杰、张燕俊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租赁合同管理及执行。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规范</w:t>
            </w:r>
            <w:r>
              <w:rPr>
                <w:rFonts w:eastAsia="仿宋_GB2312"/>
                <w:sz w:val="24"/>
              </w:rPr>
              <w:t>合同整理，严格查验合同签章、日期等内容，做好分类整理。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签订合同时把好审核关，严格审查合同签字盖章及日期，杜绝未签字或者审批日期滞后情况，有效控制相关风险；下功夫整理合同，合同统一编号，并标注在合同文本首页，按标的分类归整。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已完成并长期坚持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对租赁合同重新进行归整整理，按标的按年份存放，统一编号，规范合同要素，严格审查，确保招租全流程规范化。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张燕俊、陈艳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eastAsia="仿宋_GB2312"/>
                <w:szCs w:val="32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74DD52A3"/>
    <w:rsid w:val="098E58FB"/>
    <w:rsid w:val="3B9F7391"/>
    <w:rsid w:val="42721AD5"/>
    <w:rsid w:val="74D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2023-02-15T07:10:00Z</dcterms:created>
  <dc:creator>猪精精</dc:creator>
  <cp:lastModifiedBy>猪精精</cp:lastModifiedBy>
  <dcterms:modified xsi:type="dcterms:W3CDTF">2023-02-15T07:11:03Z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09FFF57A3D35445CBF7869AD301DFF6F</vt:lpwstr>
  </property>
</Properties>
</file>