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60" w:lineRule="exact"/>
        <w:ind w:firstLine="3960" w:firstLineChars="900"/>
        <w:jc w:val="both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中共新建村党组织巡察整改进展清单</w:t>
      </w:r>
    </w:p>
    <w:p>
      <w:pPr>
        <w:adjustRightInd w:val="0"/>
        <w:snapToGrid w:val="0"/>
        <w:spacing w:line="570" w:lineRule="exact"/>
        <w:rPr>
          <w:rFonts w:eastAsia="仿宋_GB2312"/>
          <w:szCs w:val="32"/>
          <w:u w:val="single"/>
        </w:rPr>
      </w:pPr>
      <w:r>
        <w:rPr>
          <w:rFonts w:eastAsia="仿宋_GB2312"/>
          <w:szCs w:val="32"/>
        </w:rPr>
        <w:t>填写时间:</w:t>
      </w:r>
      <w:r>
        <w:rPr>
          <w:rFonts w:eastAsia="仿宋_GB2312"/>
          <w:szCs w:val="32"/>
          <w:u w:val="single"/>
        </w:rPr>
        <w:t xml:space="preserve">     2022.06.30   </w:t>
      </w:r>
      <w:r>
        <w:rPr>
          <w:rFonts w:eastAsia="仿宋_GB2312"/>
          <w:szCs w:val="32"/>
        </w:rPr>
        <w:t xml:space="preserve">     党组织盖章：</w:t>
      </w:r>
      <w:r>
        <w:rPr>
          <w:rFonts w:eastAsia="仿宋_GB2312"/>
          <w:szCs w:val="32"/>
          <w:u w:val="single"/>
        </w:rPr>
        <w:t xml:space="preserve">               </w:t>
      </w:r>
      <w:r>
        <w:rPr>
          <w:rFonts w:eastAsia="仿宋_GB2312"/>
          <w:szCs w:val="32"/>
        </w:rPr>
        <w:t xml:space="preserve">  负责人签字：</w:t>
      </w:r>
      <w:r>
        <w:rPr>
          <w:rFonts w:eastAsia="仿宋_GB2312"/>
          <w:szCs w:val="32"/>
          <w:u w:val="single"/>
        </w:rPr>
        <w:t xml:space="preserve">                </w:t>
      </w:r>
    </w:p>
    <w:tbl>
      <w:tblPr>
        <w:tblStyle w:val="5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770"/>
        <w:gridCol w:w="3795"/>
        <w:gridCol w:w="5490"/>
        <w:gridCol w:w="1290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24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序号</w:t>
            </w: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反馈问题</w:t>
            </w:r>
          </w:p>
        </w:tc>
        <w:tc>
          <w:tcPr>
            <w:tcW w:w="3795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整改任务和措施</w:t>
            </w:r>
          </w:p>
        </w:tc>
        <w:tc>
          <w:tcPr>
            <w:tcW w:w="5490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整改进展和成效</w:t>
            </w:r>
          </w:p>
        </w:tc>
        <w:tc>
          <w:tcPr>
            <w:tcW w:w="1290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责任人</w:t>
            </w:r>
          </w:p>
        </w:tc>
        <w:tc>
          <w:tcPr>
            <w:tcW w:w="956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112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学习贯彻习近平总书记关于“三农”工作和乡村振兴战略重要论述不够深入，系统学习意识不强。</w:t>
            </w:r>
          </w:p>
        </w:tc>
        <w:tc>
          <w:tcPr>
            <w:tcW w:w="3795" w:type="dxa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整改任务：</w:t>
            </w:r>
            <w:r>
              <w:rPr>
                <w:rFonts w:eastAsia="仿宋_GB2312"/>
                <w:bCs/>
                <w:sz w:val="24"/>
              </w:rPr>
              <w:t>组织开展对习近平总书记关于“三农”工作和乡村振兴战略重要论述的系统性和针对性学习。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整改措施：</w:t>
            </w:r>
            <w:r>
              <w:rPr>
                <w:rFonts w:eastAsia="仿宋_GB2312"/>
                <w:bCs/>
                <w:sz w:val="24"/>
              </w:rPr>
              <w:t>1、学习贯彻习近平总书记关于做好“三农”工作重要论述，加强每个工作人员的思想意识。2、进一步提高政治站位，确保习近平总书记“三农”工作和乡村振兴战略重要论述精神落地见效，切实把学习的成果转化为实际成效。</w:t>
            </w:r>
          </w:p>
        </w:tc>
        <w:tc>
          <w:tcPr>
            <w:tcW w:w="549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召开习近平总书记关于做好“三农”工作和乡村振兴战略重要论述学习例会，交流心得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>提升了理论知识，提高了整治站位，对今后的工作有了更清晰明确的目标。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金志高</w:t>
            </w:r>
          </w:p>
        </w:tc>
        <w:tc>
          <w:tcPr>
            <w:tcW w:w="956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仿宋_GB231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12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学用相长谋新局有差距。</w:t>
            </w:r>
          </w:p>
        </w:tc>
        <w:tc>
          <w:tcPr>
            <w:tcW w:w="3795" w:type="dxa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整改任务：</w:t>
            </w:r>
            <w:r>
              <w:rPr>
                <w:rFonts w:eastAsia="仿宋_GB2312"/>
                <w:bCs/>
                <w:sz w:val="24"/>
              </w:rPr>
              <w:t>面对新形势、新要求下的乡村振兴课题，在资金管理、资产运营等方面摒弃惯性思维和“等靠要”思想，对盘活资产进行长远规划，解决资产大面积闲置问题。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整改措施：</w:t>
            </w:r>
            <w:r>
              <w:rPr>
                <w:rFonts w:eastAsia="仿宋_GB2312"/>
                <w:bCs/>
                <w:sz w:val="24"/>
              </w:rPr>
              <w:t>1、充分利用好互联网平台，积极盘活闲置资产，提高资产使用效益，在各种平台上发布招租信息，提高宣传度。2、想办法协调解决闲置资产无独立门厅和周边停车困难、出租面积过大等造成出租困难的问题。</w:t>
            </w:r>
          </w:p>
        </w:tc>
        <w:tc>
          <w:tcPr>
            <w:tcW w:w="549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多方接触有意承租者，广撒网增加出租的机会。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b/>
                <w:bCs/>
                <w:sz w:val="24"/>
              </w:rPr>
              <w:t>整改成效：</w:t>
            </w:r>
            <w:r>
              <w:rPr>
                <w:rFonts w:eastAsia="仿宋_GB2312"/>
                <w:bCs/>
                <w:sz w:val="24"/>
              </w:rPr>
              <w:t>村范围内资产都已登陆平台发布信息进行招租，闲置资产逐步减少。但方正大厦由于面积较大，又在三楼，及停车困难等问题受到行业限制，村采取了多方位、多渠道招租方式，抓住每个信息，与招商引企结合起来，积极招租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金志高</w:t>
            </w:r>
          </w:p>
        </w:tc>
        <w:tc>
          <w:tcPr>
            <w:tcW w:w="956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仿宋_GB231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12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落实“四议两公开”要求有差距。</w:t>
            </w:r>
          </w:p>
        </w:tc>
        <w:tc>
          <w:tcPr>
            <w:tcW w:w="3795" w:type="dxa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整改任务：</w:t>
            </w:r>
            <w:r>
              <w:rPr>
                <w:rFonts w:eastAsia="仿宋_GB2312"/>
                <w:bCs/>
                <w:sz w:val="24"/>
              </w:rPr>
              <w:t>贯彻落实“四议两公开”制度要求。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整改措施：</w:t>
            </w:r>
            <w:r>
              <w:rPr>
                <w:rFonts w:eastAsia="仿宋_GB2312"/>
                <w:bCs/>
                <w:sz w:val="24"/>
              </w:rPr>
              <w:t>1、认真学习“四议两公开”具体流程、要求。2、重大事项严格按照要求进行，做到决策程序完整规范。</w:t>
            </w:r>
          </w:p>
        </w:tc>
        <w:tc>
          <w:tcPr>
            <w:tcW w:w="549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按“四议两公开”流程要求进行重大事项决策。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b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>重大事项经过两委或三委商议，村民代表大会决议，完善“四议两公开”流程，严格按照要求实行。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凌  媚</w:t>
            </w:r>
          </w:p>
        </w:tc>
        <w:tc>
          <w:tcPr>
            <w:tcW w:w="956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仿宋_GB231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12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村与村自主“造血”能力差距大。</w:t>
            </w:r>
          </w:p>
        </w:tc>
        <w:tc>
          <w:tcPr>
            <w:tcW w:w="3795" w:type="dxa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整改任务：</w:t>
            </w:r>
            <w:r>
              <w:rPr>
                <w:rFonts w:eastAsia="仿宋_GB2312"/>
                <w:bCs/>
                <w:sz w:val="24"/>
              </w:rPr>
              <w:t>提高自主“造血能力”，进一步减少差距。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整改措施：</w:t>
            </w:r>
            <w:r>
              <w:rPr>
                <w:rFonts w:eastAsia="仿宋_GB2312"/>
                <w:bCs/>
                <w:sz w:val="24"/>
              </w:rPr>
              <w:t>1、提升发展集体经济能力，积极探索拓宽集体经济收入途径，发展壮大集体经济，推动村经济薄弱的转化和增收。2、盘活闲置资产，增加收入，增强村级组织“造血”功能。</w:t>
            </w:r>
          </w:p>
        </w:tc>
        <w:tc>
          <w:tcPr>
            <w:tcW w:w="549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整改进展</w:t>
            </w:r>
            <w:r>
              <w:rPr>
                <w:rFonts w:eastAsia="仿宋_GB2312"/>
                <w:sz w:val="24"/>
              </w:rPr>
              <w:t>：对各类有意向承租闲置资产的人员多询问，积极开展招商引资。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>1、每月开展经济工作推进会，提升工作人员招商引资的积极性。2．加大空置资产的宣传推广力度，吸引企业和个体。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金志高</w:t>
            </w:r>
          </w:p>
        </w:tc>
        <w:tc>
          <w:tcPr>
            <w:tcW w:w="956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仿宋_GB231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112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合同约定“先付后用”履行不严格。</w:t>
            </w:r>
          </w:p>
        </w:tc>
        <w:tc>
          <w:tcPr>
            <w:tcW w:w="3795" w:type="dxa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整改任务：</w:t>
            </w:r>
            <w:r>
              <w:rPr>
                <w:rFonts w:eastAsia="仿宋_GB2312"/>
                <w:bCs/>
                <w:sz w:val="24"/>
              </w:rPr>
              <w:t>严格履行合同</w:t>
            </w:r>
            <w:r>
              <w:rPr>
                <w:rFonts w:eastAsia="仿宋_GB2312"/>
                <w:sz w:val="24"/>
              </w:rPr>
              <w:t>“先付后用”约定。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整改措施：</w:t>
            </w:r>
            <w:r>
              <w:rPr>
                <w:rFonts w:eastAsia="仿宋_GB2312"/>
                <w:sz w:val="24"/>
              </w:rPr>
              <w:t>1、严格按照合同规定履行，让承租户在规定时间前付清租金。2、对于滞收的房租金，每日对租户进行催缴，屡催不交的行驶法律手段并收回租户对房屋的使用权。</w:t>
            </w:r>
          </w:p>
        </w:tc>
        <w:tc>
          <w:tcPr>
            <w:tcW w:w="549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在签订合同后就对租户进行租金催缴，杜绝“先付后用”的现象。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b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>租金滞收现象减少，都争取能在合同时间前完成支付。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金志高</w:t>
            </w:r>
          </w:p>
        </w:tc>
        <w:tc>
          <w:tcPr>
            <w:tcW w:w="956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eastAsia="仿宋_GB2312"/>
                <w:szCs w:val="32"/>
                <w:u w:val="singl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NjA1MmRlNzM5MzI5YjRkY2JkOTE1NjUwNWZmMGEifQ=="/>
  </w:docVars>
  <w:rsids>
    <w:rsidRoot w:val="1B94512D"/>
    <w:rsid w:val="098E58FB"/>
    <w:rsid w:val="1B94512D"/>
    <w:rsid w:val="3B9F7391"/>
    <w:rsid w:val="4272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Cs/>
      <w:snapToGrid w:val="0"/>
      <w:kern w:val="0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2023-02-15T07:14:00Z</dcterms:created>
  <dc:creator>猪精精</dc:creator>
  <cp:lastModifiedBy>猪精精</cp:lastModifiedBy>
  <dcterms:modified xsi:type="dcterms:W3CDTF">2023-02-15T07:14:40Z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D738EA6E983E48F98249256C74BA166C</vt:lpwstr>
  </property>
</Properties>
</file>