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荆川村党组织巡察反馈意见整改工作清单</w:t>
      </w:r>
    </w:p>
    <w:p>
      <w:pPr>
        <w:adjustRightInd w:val="0"/>
        <w:snapToGrid w:val="0"/>
        <w:spacing w:line="570" w:lineRule="exact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填写时间:</w:t>
      </w:r>
      <w:r>
        <w:rPr>
          <w:rFonts w:eastAsia="仿宋_GB2312"/>
          <w:szCs w:val="32"/>
          <w:u w:val="single"/>
        </w:rPr>
        <w:t xml:space="preserve">  2022.06.30 </w:t>
      </w:r>
      <w:r>
        <w:rPr>
          <w:rFonts w:eastAsia="仿宋_GB2312"/>
          <w:szCs w:val="32"/>
        </w:rPr>
        <w:t xml:space="preserve">       党组织盖章：</w:t>
      </w:r>
      <w:r>
        <w:rPr>
          <w:rFonts w:eastAsia="仿宋_GB2312"/>
          <w:szCs w:val="32"/>
          <w:u w:val="single"/>
        </w:rPr>
        <w:t xml:space="preserve">              </w:t>
      </w:r>
      <w:r>
        <w:rPr>
          <w:rFonts w:eastAsia="仿宋_GB2312"/>
          <w:szCs w:val="32"/>
        </w:rPr>
        <w:t xml:space="preserve">     负责人签字：</w:t>
      </w:r>
      <w:r>
        <w:rPr>
          <w:rFonts w:eastAsia="仿宋_GB2312"/>
          <w:szCs w:val="32"/>
          <w:u w:val="single"/>
        </w:rPr>
        <w:t xml:space="preserve">                </w:t>
      </w:r>
    </w:p>
    <w:tbl>
      <w:tblPr>
        <w:tblStyle w:val="4"/>
        <w:tblW w:w="14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770"/>
        <w:gridCol w:w="3765"/>
        <w:gridCol w:w="5490"/>
        <w:gridCol w:w="129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序号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反馈问题</w:t>
            </w:r>
          </w:p>
        </w:tc>
        <w:tc>
          <w:tcPr>
            <w:tcW w:w="3765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整改任务和措施</w:t>
            </w:r>
          </w:p>
        </w:tc>
        <w:tc>
          <w:tcPr>
            <w:tcW w:w="54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整改进展和成效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责任人</w:t>
            </w:r>
          </w:p>
        </w:tc>
        <w:tc>
          <w:tcPr>
            <w:tcW w:w="986" w:type="dxa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学习贯彻习近平总书记关于“三农”工作和乡村振兴战略重要论述不够深入，系统学习意识不强。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：组织开展对习近平总书记关于“三农”工作和乡村振兴战略重要论述的系统性和针对性学习。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整改</w:t>
            </w:r>
            <w:r>
              <w:rPr>
                <w:rFonts w:eastAsia="仿宋_GB2312"/>
                <w:b/>
                <w:sz w:val="24"/>
              </w:rPr>
              <w:t>措施</w:t>
            </w:r>
            <w:r>
              <w:rPr>
                <w:rFonts w:eastAsia="仿宋_GB2312"/>
                <w:sz w:val="24"/>
              </w:rPr>
              <w:t>：定期开展关于“三农”工作和乡村振兴战略重要论述的专题性和针对性学习。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村干部主动、认真学习理论知识，每周集中学习，结合工作探讨学习心得，做好会议记录，留档。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全体村干部主动、认真学习贯彻习近平总书记关于“三农”工作和乡村振兴战略重要论述，系统学习意识大大提高。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陈红萍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学用相长谋新局有差距。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：面对新形势、新要求下的乡村振兴课题，在资金管理、资产运营等方面摒弃惯性思维和“等靠要”思想，对盘活资产进行长远规划，解决荆川村1600平方米资产闲置问题。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</w:t>
            </w:r>
            <w:r>
              <w:rPr>
                <w:rFonts w:eastAsia="仿宋_GB2312"/>
                <w:sz w:val="24"/>
              </w:rPr>
              <w:t>：严格按照“三资三化”管理要求，进一步盘活资产，加强招商引资工作，“走出去，引进来”，做好闲置资产“上平台”工作。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：通过农村产权交易服务平台对1600平方米闲置资产进行出租</w:t>
            </w: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hd w:val="clear" w:color="auto" w:fill="FFFFFF"/>
              </w:rPr>
              <w:t>整改成效</w:t>
            </w: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：目前剩余1600平方米资产已有意向入驻，在前期沟通中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巢吉如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落实“四议两公开”有差距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：贯彻落实“四议两公开”制度要求。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</w:t>
            </w:r>
            <w:r>
              <w:rPr>
                <w:rFonts w:eastAsia="仿宋_GB2312"/>
                <w:sz w:val="24"/>
              </w:rPr>
              <w:t>：重大事项决策严格按照“村民代表会议决议”程序实施。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：组织工作人员认真学习“四议两公开”流程，相关按流程要求开展工作。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sz w:val="24"/>
              </w:rPr>
              <w:t>整改成效</w:t>
            </w:r>
            <w:r>
              <w:rPr>
                <w:rFonts w:eastAsia="仿宋_GB2312"/>
                <w:sz w:val="24"/>
              </w:rPr>
              <w:t>：相关工作均按要求开展，并做好相关会议记录和公示的存档。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杨秋惠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租金欠收较多。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:处理解决荆川东路8-2-3号970㎡房屋租金欠收6.25万元。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</w:t>
            </w:r>
            <w:r>
              <w:rPr>
                <w:rFonts w:eastAsia="仿宋_GB2312"/>
                <w:sz w:val="24"/>
              </w:rPr>
              <w:t>：欠收租金已全部收回。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通过多方努力，已收回该笔租金。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已全部收回租金。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巢吉如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平台交易不规范。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：规范平台交易。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</w:t>
            </w:r>
            <w:r>
              <w:rPr>
                <w:rFonts w:eastAsia="仿宋_GB2312"/>
                <w:sz w:val="24"/>
              </w:rPr>
              <w:t>：房屋老旧，存在安全隐患，2022年上半年将对西巢村2号资产进行加固改造，改造后上平台交易。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整改进展：</w:t>
            </w:r>
            <w:r>
              <w:rPr>
                <w:rFonts w:eastAsia="仿宋_GB2312"/>
                <w:sz w:val="24"/>
              </w:rPr>
              <w:t>召开三委会会议，商讨该处资产提升改造工作，经过大家讨论通过，一致同意对该处资产提升改造工作，并形成改造方案。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整改成效：</w:t>
            </w:r>
            <w:r>
              <w:rPr>
                <w:rFonts w:eastAsia="仿宋_GB2312"/>
                <w:sz w:val="24"/>
              </w:rPr>
              <w:t>目前该工程正处于招标阶段，预计今年7月开工。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巢吉如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租赁合同漏洞多。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整改任务</w:t>
            </w:r>
            <w:r>
              <w:rPr>
                <w:rFonts w:eastAsia="仿宋_GB2312"/>
                <w:sz w:val="24"/>
              </w:rPr>
              <w:t>：严格履行合同 “先付后用”约定。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整改措施</w:t>
            </w:r>
            <w:r>
              <w:rPr>
                <w:rFonts w:eastAsia="仿宋_GB2312"/>
                <w:sz w:val="24"/>
              </w:rPr>
              <w:t>：严格按照合同约定执行，对有实际困难的企业，由企业向村委申请，“两委”会讨论决定。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：着手对近几年签订合同中的要素开展规范化行动。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hd w:val="clear" w:color="auto" w:fill="FFFFFF"/>
              </w:rPr>
              <w:t>整改成效</w:t>
            </w: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eastAsia="仿宋_GB2312"/>
                <w:sz w:val="24"/>
              </w:rPr>
              <w:t>现已经完善全部合同要素。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巢吉如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村级账户组织账户管理不严格。</w:t>
            </w:r>
          </w:p>
        </w:tc>
        <w:tc>
          <w:tcPr>
            <w:tcW w:w="37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整改任务：</w:t>
            </w:r>
            <w:r>
              <w:rPr>
                <w:rFonts w:eastAsia="仿宋_GB2312"/>
                <w:sz w:val="24"/>
              </w:rPr>
              <w:t>严格村级账户组织账户管理。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整改</w:t>
            </w:r>
            <w:r>
              <w:rPr>
                <w:rFonts w:eastAsia="仿宋_GB2312"/>
                <w:b/>
                <w:bCs/>
                <w:sz w:val="24"/>
              </w:rPr>
              <w:t>措施：</w:t>
            </w:r>
            <w:r>
              <w:rPr>
                <w:rFonts w:eastAsia="仿宋_GB2312"/>
                <w:sz w:val="24"/>
              </w:rPr>
              <w:t>常州市荆川实业公司成立于1988年6月11日，注册资本200万元人民币，社会信用代码：91320404137307345A，2022年4月25日已经去银行办理常州市荆川实业公司账户清理。常州市荆川实业公司现在是常州市清潭综合市场的股东之一，常州市荆川实业公司不能去工商上注销营业执照。</w:t>
            </w:r>
          </w:p>
        </w:tc>
        <w:tc>
          <w:tcPr>
            <w:tcW w:w="549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整改进展</w:t>
            </w:r>
            <w:r>
              <w:rPr>
                <w:rFonts w:eastAsia="仿宋_GB2312"/>
                <w:sz w:val="24"/>
              </w:rPr>
              <w:t>：已办理常州市荆川实业公司账户清理。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整改成效</w:t>
            </w:r>
            <w:r>
              <w:rPr>
                <w:rFonts w:eastAsia="仿宋_GB2312"/>
                <w:sz w:val="24"/>
              </w:rPr>
              <w:t>：目前只有常州市钟楼区永红街道荆川村股份经济合作社账户收付款，常州市荆川实业公司账户已经不使用，进一步做好村级账户组织账户管理工作。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杨秋惠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A1MmRlNzM5MzI5YjRkY2JkOTE1NjUwNWZmMGEifQ=="/>
  </w:docVars>
  <w:rsids>
    <w:rsidRoot w:val="56A52DF9"/>
    <w:rsid w:val="098E58FB"/>
    <w:rsid w:val="3B9F7391"/>
    <w:rsid w:val="42721AD5"/>
    <w:rsid w:val="56A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Cs/>
      <w:snapToGrid w:val="0"/>
      <w:kern w:val="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2023-02-15T08:01:00Z</dcterms:created>
  <dc:creator>猪精精</dc:creator>
  <cp:lastModifiedBy>猪精精</cp:lastModifiedBy>
  <dcterms:modified xsi:type="dcterms:W3CDTF">2023-02-15T08:02:04Z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F886C0964FE84076A11F1E575245C248</vt:lpwstr>
  </property>
</Properties>
</file>