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中共新华村党组织巡察整改进展清单</w:t>
      </w:r>
    </w:p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2022.06.30  </w:t>
      </w:r>
      <w:r>
        <w:rPr>
          <w:rFonts w:eastAsia="仿宋_GB2312"/>
          <w:szCs w:val="32"/>
        </w:rPr>
        <w:t xml:space="preserve">      党组织盖章：</w:t>
      </w:r>
      <w:r>
        <w:rPr>
          <w:rFonts w:eastAsia="仿宋_GB2312"/>
          <w:szCs w:val="32"/>
          <w:u w:val="single"/>
        </w:rPr>
        <w:t xml:space="preserve">               </w:t>
      </w:r>
      <w:r>
        <w:rPr>
          <w:rFonts w:eastAsia="仿宋_GB2312"/>
          <w:szCs w:val="32"/>
        </w:rPr>
        <w:t xml:space="preserve">     负责人签字：</w:t>
      </w:r>
      <w:r>
        <w:rPr>
          <w:rFonts w:eastAsia="仿宋_GB2312"/>
          <w:szCs w:val="32"/>
          <w:u w:val="single"/>
        </w:rPr>
        <w:t xml:space="preserve">               </w:t>
      </w:r>
    </w:p>
    <w:tbl>
      <w:tblPr>
        <w:tblStyle w:val="4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70"/>
        <w:gridCol w:w="3765"/>
        <w:gridCol w:w="5520"/>
        <w:gridCol w:w="1275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52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围绕习近平总书记关于“三农”工作和乡村振兴战略重要论述，结合村情实际，自主制定学习计划。综合采取支部学习、专题学习、案例讨论、专家授课等方式增强学习的系统性、针对性、深入性。</w:t>
            </w:r>
          </w:p>
        </w:tc>
        <w:tc>
          <w:tcPr>
            <w:tcW w:w="55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班子已围绕习近平总书记关于“三农”工作和乡村振兴战略重要论述，结合村情实际，自主制定学习计划。综合采取支部学习、专题学习、案例讨论、专家授课等方式增强学习的系统性、针对性、深入性。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全面提高了班子认识，加强重要性认识，以后将长期坚持学习。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肖廷坚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1.坚持理论与实际相结合，注重思考分析、加强总结提炼，科学识势，系统谋势，破除惯性思维，找准资金管理、资产运营的发力点、创新点、突破点。2.摸清村集体“三资”底数，分类登记造册，结合年度经济指标，加强整体谋划，盘活闲置资产。3.增强作为意识，以开展群众活动、网格巡查、走访住户为契机，加强招租。</w:t>
            </w:r>
          </w:p>
        </w:tc>
        <w:tc>
          <w:tcPr>
            <w:tcW w:w="55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1.系统学习乡村振兴理论知识。2.对我村集体“三资”底数，分类登记造册，摸清底数。3.加大招商力度，盘活资产，对新华路8号工业园进行电商产业园的打造。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以园区吸引企业聚集，初步形成新华路12号智能检测园区、8号电商特色产业园区。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肖廷坚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贯彻落实“四议两公开”制度要求。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1.依托新时代文明实践站、道德讲堂等平台，组织开展“四议两公开”专题学习，对 “民主决策”“程序正义”“规则意识”等理念进行宣扬，进一步提升村党员干部、群众思想认识。2.组织开展教育培训，对规范落实“四议两公开”要求的重要意义、完整流程、重要节点进行讲解与指导。3.凝聚村务监督委员会专项监督、党员干部自我监督、村民代表民主监督等多方监督合力，规范落实“四议两公开”要求，做到重大事项决策程序完整规范，有理有据。</w:t>
            </w:r>
          </w:p>
        </w:tc>
        <w:tc>
          <w:tcPr>
            <w:tcW w:w="55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1、已组织开展“四议两公开”专题学习。组织开展教育培训，对规范落实“四议两公开”要求的重要意义、完整流程、重要节点进行讲解与指导。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2、凝聚村务监督委员会专项监督、党员干部自我监督、村民代表民主监督等多方监督合力。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规范落实“四议两公开”制度要求，做到重大事项决策程序完整规范，有理有据，并长期坚持。</w:t>
            </w:r>
          </w:p>
          <w:p>
            <w:pPr>
              <w:pStyle w:val="2"/>
              <w:spacing w:line="320" w:lineRule="exact"/>
              <w:jc w:val="both"/>
              <w:rPr>
                <w:rFonts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肖廷坚</w:t>
            </w:r>
          </w:p>
        </w:tc>
        <w:tc>
          <w:tcPr>
            <w:tcW w:w="971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7D931F12"/>
    <w:rsid w:val="098E58FB"/>
    <w:rsid w:val="3B9F7391"/>
    <w:rsid w:val="42721AD5"/>
    <w:rsid w:val="7D9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2023-02-15T08:01:00Z</dcterms:created>
  <dc:creator>猪精精</dc:creator>
  <cp:lastModifiedBy>猪精精</cp:lastModifiedBy>
  <dcterms:modified xsi:type="dcterms:W3CDTF">2023-02-15T08:01:43Z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54859F7B27314503BAB1A2B88B3E0283</vt:lpwstr>
  </property>
</Properties>
</file>