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ascii="Times New Roman" w:hAnsi="Times New Roman" w:eastAsia="黑体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snapToGrid w:val="0"/>
          <w:color w:val="000000"/>
          <w:kern w:val="0"/>
          <w:sz w:val="32"/>
          <w:szCs w:val="32"/>
        </w:rPr>
        <w:t>附件5</w:t>
      </w:r>
    </w:p>
    <w:p>
      <w:pPr>
        <w:pStyle w:val="5"/>
        <w:spacing w:after="0" w:line="570" w:lineRule="exact"/>
        <w:rPr>
          <w:rFonts w:hint="eastAsia" w:ascii="方正小标宋简体" w:hAnsi="黑体" w:eastAsia="方正小标宋简体" w:cs="黑体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劳务派遣单位信用等级评</w:t>
      </w:r>
      <w:r>
        <w:rPr>
          <w:rFonts w:hint="eastAsia" w:ascii="方正小标宋简体" w:hAnsi="黑体" w:eastAsia="方正小标宋简体" w:cs="黑体"/>
          <w:color w:val="000000"/>
          <w:sz w:val="44"/>
          <w:szCs w:val="44"/>
          <w:lang w:eastAsia="zh-CN"/>
        </w:rPr>
        <w:t>价表</w:t>
      </w:r>
    </w:p>
    <w:bookmarkEnd w:id="0"/>
    <w:p>
      <w:pPr>
        <w:pStyle w:val="5"/>
        <w:spacing w:after="0" w:line="400" w:lineRule="exact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tbl>
      <w:tblPr>
        <w:tblStyle w:val="3"/>
        <w:tblW w:w="5174" w:type="pct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07"/>
        <w:gridCol w:w="1567"/>
        <w:gridCol w:w="9654"/>
        <w:gridCol w:w="138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tblHeader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z w:val="21"/>
                <w:szCs w:val="21"/>
              </w:rPr>
              <w:t>一级指标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z w:val="21"/>
                <w:szCs w:val="21"/>
              </w:rPr>
              <w:t>二级指标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z w:val="21"/>
                <w:szCs w:val="21"/>
              </w:rPr>
              <w:t>评价细则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z w:val="21"/>
                <w:szCs w:val="21"/>
                <w:lang w:eastAsia="zh-CN"/>
              </w:rPr>
              <w:t>自评</w:t>
            </w:r>
            <w:r>
              <w:rPr>
                <w:rFonts w:ascii="黑体" w:hAnsi="黑体" w:eastAsia="黑体" w:cs="Times New Roman"/>
                <w:color w:val="000000"/>
                <w:sz w:val="21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初始分</w:t>
            </w:r>
          </w:p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获得许可并参</w:t>
            </w:r>
          </w:p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加核验（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依法取得有效劳务派遣经营许可证或劳务派遣分公司备案证明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且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依法参加劳务派遣年度经营情况核验的，初始分为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基本指标</w:t>
            </w:r>
          </w:p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经营行业（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主营业务是劳务派遣的，得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人员配备（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公司拥有持有劳动关系协调、劳动人事争议调解或人力资源资格等证书的专业人员，满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名的，得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分；每多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名増加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分，最多得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分。持证人员以与本公同签订劳动合同并缴纳社会保险费为准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经营年限（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实际经营劳务派遣业务年限每满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年的，得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分，累计最多不超过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经营场地（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经营场所为自有商业地产且面积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50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 w:bidi="en-US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vertAlign w:val="superscript"/>
                <w:lang w:val="en-US" w:eastAsia="zh-CN" w:bidi="en-US"/>
              </w:rPr>
              <w:t>2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以上不满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 w:bidi="en-US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vertAlign w:val="superscript"/>
                <w:lang w:val="en-US" w:eastAsia="zh-CN" w:bidi="en-US"/>
              </w:rPr>
              <w:t>2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的，得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分，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 w:bidi="en-US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vertAlign w:val="superscript"/>
                <w:lang w:val="en-US" w:eastAsia="zh-CN" w:bidi="en-US"/>
              </w:rPr>
              <w:t>2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以上的得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经营场所为租赁商业地产，租赁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面积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 w:bidi="en-US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vertAlign w:val="superscript"/>
                <w:lang w:val="en-US" w:eastAsia="zh-CN" w:bidi="en-US"/>
              </w:rPr>
              <w:t>2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以上且租赁期限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年以上的，得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注册资本（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实缴资本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万元以上不满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万元的，得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万元以上不满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万元的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得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分；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万元以上的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得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党组织（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设立党的基层组织的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得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工会组织（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依法建立工会组织的，得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分；每年至少开展工会活动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次的，得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规章制度（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有完善的劳务派遣管理制度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管理制度经职工代表大会或者全体职工讨论，并公示或者告知劳动者的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得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信息系统（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有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完善的信息管理系统并通过信息管理系统进行管理的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得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安全生产（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建立健全安全生产规章制度、操作规程、事故应急预案等并进行演练的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得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职工培训（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建立培训制度，对被派遣劳动者进行上岗知识、安全教育培训的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得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信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val="zh-CN" w:eastAsia="zh-CN" w:bidi="zh-CN"/>
              </w:rPr>
              <w:t>息公开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在经营场所显著位置公示劳务派遣经营许可证、营业执照、服务项目、服务收费标准、公示管理制度、服务流程等的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得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其他（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建立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服务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质量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体系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并通过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 w:bidi="en-US"/>
              </w:rPr>
              <w:t xml:space="preserve">ISO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9000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等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质量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管理体系标准认证通过的，得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  <w:jc w:val="center"/>
        </w:trPr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加分指标</w:t>
            </w:r>
          </w:p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156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获得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表彰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获得党中央、国务院（含中办、国办）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表彰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的，加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分；其他国家级综合性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表彰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或认定先进的（人力资源社会保障部单独或联合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发文），加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获得省委、省政府（含两办）表彰的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加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分；其他省级综合性表彰或认定先进的（省人力资源社会保障厅单独或联合发文），加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9" w:hRule="exact"/>
          <w:jc w:val="center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获得设区的市委、市政府（含两办）表彰的，加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分；其他市级综合性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表彰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或认定先进的（设区的市人力资源社会保障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局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单独或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联合发文）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加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获得县（市、区）委、县（市、区）政府（含两办）表彰的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加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分；其他县级综合性表彰或认定先进的［县（市、区）人力资源社会保障局单独或联合发文］，加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和谐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劳动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关系</w:t>
            </w:r>
          </w:p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建设（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被认定为和谐劳动关系企业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国家级的，加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分；省级的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加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分；市级的，加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分；县级的，加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协调机制（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建立劳动争议调解组织的，加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人才培养（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在评价周期内，培养岀持有高级工及以上职业资格（职业技能等级）或中级及以上专业技术资格证书的技术技能人才，加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保障用工需求</w:t>
            </w:r>
          </w:p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在评价周期内组织输入外省户籍劳动力在苏穏定就业人数、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且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在本单位连续参保缴费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个月以上，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人以上不满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人的，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加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分；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人以上不满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人的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加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分；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人以上的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加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减分指标</w:t>
            </w:r>
          </w:p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抽逃资本（10分）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抽逃注册资本的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扣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  <w:jc w:val="center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虚报注册资本</w:t>
            </w:r>
          </w:p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实缴资本与注册资本不一致的，扣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虚开发票（10分）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虚开劳务派遣方面发票的，扣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jc w:val="center"/>
              <w:rPr>
                <w:rFonts w:hint="eastAsia" w:asci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业务开展</w:t>
            </w:r>
          </w:p>
          <w:p>
            <w:pPr>
              <w:pStyle w:val="6"/>
              <w:adjustRightInd w:val="0"/>
              <w:snapToGrid w:val="0"/>
              <w:spacing w:line="240" w:lineRule="exact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（15分）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未正常开展劳务派遣业务的不得评为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 w:bidi="en-US"/>
              </w:rPr>
              <w:t>A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级，并按照以下标准扣分：评价周期内未正常开展劳务派遣业务的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扣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分；连续两个周期内未正常开展劳务派遣业务的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扣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分；连续三个周期内未正常开展劳务派遣业务的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扣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3" w:hRule="exact"/>
          <w:jc w:val="center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社保稽核（10分）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社会保险稽核中发现存在违法行为的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每次扣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最多扣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  <w:jc w:val="center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劳动保障监察</w:t>
            </w:r>
          </w:p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因劳动保障违法行为被依法行政处理处罚的，每次扣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最多扣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注册地与经营地不一致（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注册地和实际经营地不一致的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扣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9" w:hRule="exact"/>
          <w:jc w:val="center"/>
        </w:trPr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减分指标</w:t>
            </w:r>
          </w:p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（160 分）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劳动争议仲裁</w:t>
            </w:r>
          </w:p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（20分）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发生集体劳动争议案件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且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败诉（含部分败诉）的，每件扣10分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发生非集体劳动争议案件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且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败诉（含部分败诉）的，每件扣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最多扣20分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逾期参加年度</w:t>
            </w:r>
          </w:p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核验（10分）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逾期参加劳务派遣单位年度经营情况核验的，扣10分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4" w:hRule="exac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警示约谈（10分）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被人力资源和社会保障行政部门警示约谈的，每次扣5分，最多扣10分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exac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个人社保代理</w:t>
            </w:r>
          </w:p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（15分）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通过虚构劳动关系等手段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违法为他人办理参加社会保险手续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缴纳社会保费的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不满10人的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扣5分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；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10人以上不满100人的，扣10分；100人以上的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扣15分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违法派遣（30分）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以承揽、外包等名义实施的假外包真派遣，自派遣，派遣非全日制用工，派遣日结工等情形，每有一项扣10分，最多扣30分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exact"/>
          <w:jc w:val="center"/>
        </w:trPr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直接认定</w:t>
            </w:r>
          </w:p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为C级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未参加年度核验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不参加劳务派遣单位年度经营情况核验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或提供虚假材料参加劳务派遣单位年度经营情况核验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或年度经营情况核验不合格的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违法派遣行业</w:t>
            </w:r>
          </w:p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或岗位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向专职消防员、煤矿井下、涉密、核心技术等安全生产岗位和煤炭、非煤矿山、化工等行业开展劳务派遣业务的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虚假获证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隐瞒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真实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情况或提供虚假材料取得劳务派遣经营许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可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证的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非法转让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存在涂改、倒卖、出租、岀借或者以其他形式非法转让经营劳务派遣业务资质的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不良信用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单位被列为失信执行人等严重失信主体名单的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安全事故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发生重大及以上安全生产事故的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不良社会影响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发生因单位原因引发的劳动关系领域群体性、突发性等事件，造成不良社会影响的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劳动保障违法</w:t>
            </w:r>
          </w:p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行为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因劳动保障违法行为被依法行政处理处罚三次以上（含三次）的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13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注：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二级指标中“获得表彰”“和谐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劳动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关系建设”获得或被认定的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时间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为评价周期内获得或被认定，因为同一事项符合该两项同时加分的，以单项加分的最高分为准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不重复加分</w:t>
            </w:r>
          </w:p>
        </w:tc>
      </w:tr>
    </w:tbl>
    <w:p/>
    <w:sectPr>
      <w:pgSz w:w="16838" w:h="11906" w:orient="landscape"/>
      <w:pgMar w:top="1650" w:right="1480" w:bottom="1383" w:left="19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YzAxNTA2ZjI4MTI1NGEzZDMyN2YyZWY0NjU1NzEifQ=="/>
  </w:docVars>
  <w:rsids>
    <w:rsidRoot w:val="3EE90A7D"/>
    <w:rsid w:val="3EE9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Body text|1"/>
    <w:basedOn w:val="1"/>
    <w:qFormat/>
    <w:uiPriority w:val="0"/>
    <w:pPr>
      <w:spacing w:after="40"/>
      <w:jc w:val="center"/>
    </w:pPr>
    <w:rPr>
      <w:rFonts w:ascii="宋体" w:hAnsi="宋体" w:cs="宋体"/>
      <w:sz w:val="18"/>
      <w:szCs w:val="18"/>
      <w:lang w:val="zh-TW" w:eastAsia="zh-TW" w:bidi="zh-TW"/>
    </w:rPr>
  </w:style>
  <w:style w:type="paragraph" w:customStyle="1" w:styleId="6">
    <w:name w:val="Other|1"/>
    <w:basedOn w:val="1"/>
    <w:qFormat/>
    <w:uiPriority w:val="0"/>
    <w:rPr>
      <w:rFonts w:ascii="宋体" w:hAnsi="宋体" w:cs="宋体"/>
      <w:sz w:val="16"/>
      <w:szCs w:val="1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2023-02-27T07:44:00Z</dcterms:created>
  <dc:creator>梧桐风语</dc:creator>
  <cp:lastModifiedBy>梧桐风语</cp:lastModifiedBy>
  <dcterms:modified xsi:type="dcterms:W3CDTF">2023-02-27T07:50:25Z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B98E0DC430684DCD839CA6600768B55E</vt:lpwstr>
  </property>
</Properties>
</file>