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w:t>
      </w:r>
      <w:r>
        <w:rPr>
          <w:rFonts w:hint="eastAsia" w:eastAsia="仿宋_GB2312" w:cs="Times New Roman"/>
          <w:sz w:val="32"/>
          <w:szCs w:val="32"/>
          <w:lang w:val="en-US" w:eastAsia="zh-CN"/>
        </w:rPr>
        <w:t>.依法撤销被申请人作出的答复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.责令被申请人限期内重新书面回复申请人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申请人称：申请人于通过 12315 平台投诉举报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销售LED户外灯，其主页广告宣传【对比】本产品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使用6个月后 我们选用铝制外壳，色泽亮丽，快速散热立马体现出优势，优质高亮芯片 我们选用铝制外壳，色泽亮丽，快速散热立马体现出优势。劣质产品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使用6个月后 山寨版外壳采用廉价的塑料材质或薄铁皮外壳</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影响散热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易生锈。普通贴片芯片 山寨版灯芯数量偷工减料，做工粗糙，亮度低，发热高，有安全隐患。该【对比】不符合广告法，显然商家有意提高自家产品贬低其他产品。要求电话调解，依法赔偿，启动诉转案，处罚后奖励。被申请人于2023-07-07对该投诉做出处理结果，结案反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了解，商家不同意投诉人赔偿的诉求，我局依法终止调解。申请人认为被申请人只对投诉作出处理，没有对投诉中含的举报内容作出分别处理，未依照《市场监督管理投诉举报处理暂行办法》第七条向市场监督管理部门同时提出投诉和举报，或者提供的材料同时包含投诉和举报内容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市场监督管理部门应当按照本办法规定的程序对投诉和举报予以分别处理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被申请人未完全履行其职责，存在行政不作为。申请人依据《行政复议法》提起行政复议，是否受理、处理结果请书面回复。请依法裁决申请人的行政复议申请，支持申请人的所有请求。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全国12315平台投诉页面截图；2.产品交易订单截图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被申请人称：一、被申请人具有处理申请人投诉事项的法定职权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被申请人2023年7月3日收到申请人通过全国12315平台提交的投诉单</w:t>
      </w:r>
      <w:bookmarkStart w:id="0" w:name="_GoBack"/>
      <w:bookmarkEnd w:id="0"/>
      <w:r>
        <w:rPr>
          <w:rFonts w:hint="default" w:ascii="Times New Roman" w:hAnsi="Times New Roman" w:eastAsia="仿宋_GB2312" w:cs="Times New Roman"/>
          <w:sz w:val="32"/>
          <w:szCs w:val="32"/>
        </w:rPr>
        <w:t>一份，反映</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销售投光灯时，在主页宣传对比本产品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使用6个月后，我们选用铝制外壳，色泽亮丽，快速散热立马体现出优势，优质高亮芯片。劣质产品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使用6个月后山寨版外壳采用廉价的塑料材质或薄铁皮外壳，影响散热，易生锈。普通贴片芯片山寨版灯芯数量偷工减料，做工粗糙，亮度低，发热高，有安全隐患。该【对比】不符合广告法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显然商家有意提高自家产品贬低其它产品。要求电话调解，依法赔偿。该投诉事项涉及广告监督管理工作。根据《中华人民共和国广告法》第六条第二款和《市场监督管理投诉举报处理暂行办法》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以下称为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暂行办法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四条第二款的规定，被申请人具有处理本行政区域广告投诉的法定职权。二、被申请人处理申请人的投诉程序合法。被申请人2023年7月3日收到申请人投诉单，2023年7月4日告知申请人“经审查，符合受理条件，决定受理。”2023年7月4日被申请人委派执法人员到被投诉人现场核实情况，组织调解。在该事项中，被投诉人仅是泛泛宣传自己的商品比其他商品好，并未明示或暗示地指向其他特定生产经营者的商品，故被投诉人明确表示不同意申请人的赔偿诉求，被申请人依法终止调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并于2023年7月7日将终止调解决定通过全国12315平台告知申请人。因此，被申请人处理申请人的投诉程序合法。三、申请人的复议申请不符合行政复议的受理条件。《暂行办法》第三条规定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 平台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市场监督管理部门的投诉举报平台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平台网址为https://www.12315.cn/</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 12315 平台进行投诉，并已阅读“投诉须知”，应当视为申请人已知晓其内容和相应规则，即应当按照须知指引在不同的入口项下填写不同的内容。申请人在明知全国 12315 平台分设“我要投诉”和“我要举报”两个独立入口、知悉通过不同入口提交申请的事项及后果的情况下，通过“我要投诉”入口填写申请，因此其系对经营者侵犯其合法权益的投诉，而非对违反市场监管法律法规行为的举报，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1.全国12315平台流转记录；2.全国12315平台网页截图；3.现场检查笔录；4.营业执照和身份证复印件。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，被申请人通过全国12315平台收到申请人提交的投诉单，反映被投诉人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销售投光灯</w:t>
      </w:r>
      <w:r>
        <w:rPr>
          <w:rFonts w:hint="eastAsia" w:eastAsia="仿宋_GB2312" w:cs="Times New Roman"/>
          <w:sz w:val="32"/>
          <w:szCs w:val="32"/>
          <w:lang w:val="en-US" w:eastAsia="zh-CN"/>
        </w:rPr>
        <w:t>的广告存在有意夸高自家产品贬低其它产品的情况，要求退赔费用，损失赔偿。2023年7月4日，被申请人作出投诉受理决定，并于当日通过全国12315平台告知申请人。同日，被申请人到被投诉人现场核实情况，组织调解，并制作现场笔录，被投诉人明确表示不同意申请人的赔偿诉求。因被投诉人明确表示拒绝调解，被申请人决定终止调解，并于2023年7月7日将终止调解决定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1.全国12315平台流转记录；2.全国12315平台网页截图；3.现场检查笔录；4.营业执照和身份证复印件。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根据《中华人民共和国广告法》第六条第二款规定：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县级以上地方市场监督管理部门主管本行政区域的广告监督管理工作，县级以上地方人民政府有关部门在各自的职责范围内负责广告管理相关工作。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二、根据《市场监督管理投诉举报处理暂行办法》第十四条</w:t>
      </w:r>
      <w:r>
        <w:rPr>
          <w:rFonts w:hint="eastAsia" w:eastAsia="仿宋_GB2312" w:cs="Times New Roman"/>
          <w:sz w:val="32"/>
          <w:szCs w:val="32"/>
          <w:lang w:val="en-US" w:eastAsia="zh-CN"/>
        </w:rPr>
        <w:t>规定：</w:t>
      </w:r>
      <w:r>
        <w:rPr>
          <w:rFonts w:hint="eastAsia" w:eastAsia="仿宋_GB2312" w:cs="Times New Roman"/>
          <w:sz w:val="32"/>
          <w:szCs w:val="32"/>
          <w:lang w:eastAsia="zh-CN"/>
        </w:rPr>
        <w:t>“具有本办法规定的处理权限的市场监督管理部门，应当自收到投诉之日起七个工作日内作出受理或者不予受理的决定，并告知投诉人。”和第二十一条第二款</w:t>
      </w:r>
      <w:r>
        <w:rPr>
          <w:rFonts w:hint="eastAsia" w:eastAsia="仿宋_GB2312" w:cs="Times New Roman"/>
          <w:sz w:val="32"/>
          <w:szCs w:val="32"/>
          <w:lang w:val="en-US" w:eastAsia="zh-CN"/>
        </w:rPr>
        <w:t>规定：</w:t>
      </w:r>
      <w:r>
        <w:rPr>
          <w:rFonts w:hint="eastAsia" w:eastAsia="仿宋_GB2312" w:cs="Times New Roman"/>
          <w:sz w:val="32"/>
          <w:szCs w:val="32"/>
          <w:lang w:eastAsia="zh-CN"/>
        </w:rPr>
        <w:t>“终止调解的，市场监督管理部门应当自作出终止调解决定之日起七个工作日内告知投诉人和被投诉人。”</w:t>
      </w:r>
      <w:r>
        <w:rPr>
          <w:rFonts w:hint="eastAsia" w:eastAsia="仿宋_GB2312" w:cs="Times New Roman"/>
          <w:sz w:val="32"/>
          <w:szCs w:val="32"/>
          <w:lang w:val="en-US" w:eastAsia="zh-CN"/>
        </w:rPr>
        <w:t>2023年7月3日，</w:t>
      </w:r>
      <w:r>
        <w:rPr>
          <w:rFonts w:hint="default" w:ascii="Times New Roman" w:hAnsi="Times New Roman" w:eastAsia="仿宋_GB2312" w:cs="Times New Roman"/>
          <w:sz w:val="32"/>
          <w:szCs w:val="32"/>
          <w:lang w:val="en-US" w:eastAsia="zh-CN"/>
        </w:rPr>
        <w:t>被申请人收到申请人</w:t>
      </w:r>
      <w:r>
        <w:rPr>
          <w:rFonts w:hint="eastAsia" w:eastAsia="仿宋_GB2312" w:cs="Times New Roman"/>
          <w:sz w:val="32"/>
          <w:szCs w:val="32"/>
          <w:lang w:val="en-US" w:eastAsia="zh-CN"/>
        </w:rPr>
        <w:t>投诉材料，依法受理、组织调解，并在法定期限内告知申请人受理和终止调解情况。程序符合规定。三、根据《市场监督管理投诉举报处理暂行办法》第二十一条第一款第（三）项规定：“有下列情形之一的，终止调解：（三）投诉人或者被投诉人无正当理由不参加调解，或者被投诉人明确拒绝调解的”，被申请人因被投诉人</w:t>
      </w:r>
      <w:r>
        <w:rPr>
          <w:rFonts w:hint="eastAsia" w:eastAsia="仿宋_GB2312" w:cs="Times New Roman"/>
          <w:sz w:val="32"/>
          <w:szCs w:val="32"/>
          <w:lang w:eastAsia="zh-CN"/>
        </w:rPr>
        <w:t>某公司</w:t>
      </w:r>
      <w:r>
        <w:rPr>
          <w:rFonts w:hint="eastAsia" w:eastAsia="仿宋_GB2312" w:cs="Times New Roman"/>
          <w:sz w:val="32"/>
          <w:szCs w:val="32"/>
          <w:lang w:val="en-US" w:eastAsia="zh-CN"/>
        </w:rPr>
        <w:t>明确拒绝调解，决定终止调解。被申请人作出终止调解决定事实清楚、证据充分。</w:t>
      </w:r>
      <w:r>
        <w:rPr>
          <w:rFonts w:hint="eastAsia" w:eastAsia="仿宋_GB2312" w:cs="Times New Roman"/>
          <w:sz w:val="32"/>
          <w:szCs w:val="32"/>
          <w:highlight w:val="none"/>
          <w:lang w:val="en-US" w:eastAsia="zh-CN"/>
        </w:rPr>
        <w:t>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退赔费用、赔偿损失”的投诉内容，系对经营者侵犯其合法权益的投诉，而非对违反市场监督管理法律法规行为的举报，故申请人请求确认被申请人未在法定期限内对举报事项是否作出立案缺乏事实及法律依据。</w:t>
      </w:r>
      <w:r>
        <w:rPr>
          <w:rFonts w:hint="default" w:ascii="Times New Roman" w:hAnsi="Times New Roman" w:eastAsia="仿宋_GB2312" w:cs="Times New Roman"/>
          <w:sz w:val="32"/>
          <w:szCs w:val="32"/>
          <w:highlight w:val="none"/>
          <w:lang w:eastAsia="zh-CN"/>
        </w:rPr>
        <w:t>综</w:t>
      </w:r>
      <w:r>
        <w:rPr>
          <w:rFonts w:hint="default" w:ascii="Times New Roman" w:hAnsi="Times New Roman" w:eastAsia="仿宋_GB2312" w:cs="Times New Roman"/>
          <w:sz w:val="32"/>
          <w:szCs w:val="32"/>
          <w:lang w:eastAsia="zh-CN"/>
        </w:rPr>
        <w:t>上，被申请人</w:t>
      </w:r>
      <w:r>
        <w:rPr>
          <w:rFonts w:hint="eastAsia"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eastAsia" w:eastAsia="仿宋_GB2312" w:cs="Times New Roman"/>
          <w:sz w:val="32"/>
          <w:szCs w:val="32"/>
          <w:lang w:val="en-US" w:eastAsia="zh-CN"/>
        </w:rPr>
        <w:t>实施条例</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驳回申请人杨某的行政复议申请。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5664FA2"/>
    <w:rsid w:val="05CD68B4"/>
    <w:rsid w:val="05D22568"/>
    <w:rsid w:val="05EF4C6B"/>
    <w:rsid w:val="07E129C9"/>
    <w:rsid w:val="08637A3D"/>
    <w:rsid w:val="08747238"/>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7F0789F"/>
    <w:rsid w:val="199F37DA"/>
    <w:rsid w:val="19F375CB"/>
    <w:rsid w:val="1A6B0852"/>
    <w:rsid w:val="1A7750CB"/>
    <w:rsid w:val="1AE45BF4"/>
    <w:rsid w:val="1B5F2A3D"/>
    <w:rsid w:val="1B6F4B00"/>
    <w:rsid w:val="1B832BB9"/>
    <w:rsid w:val="1C631B69"/>
    <w:rsid w:val="1C775581"/>
    <w:rsid w:val="1DC82AF6"/>
    <w:rsid w:val="1E4946EC"/>
    <w:rsid w:val="1E862824"/>
    <w:rsid w:val="1FB42039"/>
    <w:rsid w:val="1FFF13CC"/>
    <w:rsid w:val="20384A18"/>
    <w:rsid w:val="20416CA0"/>
    <w:rsid w:val="20A752B0"/>
    <w:rsid w:val="22134F86"/>
    <w:rsid w:val="22373840"/>
    <w:rsid w:val="226438BB"/>
    <w:rsid w:val="22813DB4"/>
    <w:rsid w:val="22A535B4"/>
    <w:rsid w:val="230B4359"/>
    <w:rsid w:val="23227358"/>
    <w:rsid w:val="233478BC"/>
    <w:rsid w:val="233C7869"/>
    <w:rsid w:val="23A6613D"/>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260DF1"/>
    <w:rsid w:val="2B8A40C6"/>
    <w:rsid w:val="2BA76BC1"/>
    <w:rsid w:val="2C3D53D7"/>
    <w:rsid w:val="2C440167"/>
    <w:rsid w:val="2CCC78C1"/>
    <w:rsid w:val="2DA6290B"/>
    <w:rsid w:val="2E6D3AA1"/>
    <w:rsid w:val="2ED3590C"/>
    <w:rsid w:val="2F2A203B"/>
    <w:rsid w:val="2F3557EE"/>
    <w:rsid w:val="303E099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BE949C1"/>
    <w:rsid w:val="3C186969"/>
    <w:rsid w:val="3CAA5C13"/>
    <w:rsid w:val="3D0D4834"/>
    <w:rsid w:val="3D874E3D"/>
    <w:rsid w:val="3DE86284"/>
    <w:rsid w:val="3E48241C"/>
    <w:rsid w:val="3E731CF7"/>
    <w:rsid w:val="3F28425F"/>
    <w:rsid w:val="3F354A61"/>
    <w:rsid w:val="3F5D4B7A"/>
    <w:rsid w:val="3F6F2427"/>
    <w:rsid w:val="3F7E7A82"/>
    <w:rsid w:val="3FEB51AC"/>
    <w:rsid w:val="400B4E92"/>
    <w:rsid w:val="405D1A2A"/>
    <w:rsid w:val="40880AF5"/>
    <w:rsid w:val="40B22704"/>
    <w:rsid w:val="41576697"/>
    <w:rsid w:val="41766222"/>
    <w:rsid w:val="41F871F4"/>
    <w:rsid w:val="421600BF"/>
    <w:rsid w:val="42E9262D"/>
    <w:rsid w:val="433640F4"/>
    <w:rsid w:val="43B41D58"/>
    <w:rsid w:val="43F67F1C"/>
    <w:rsid w:val="440B40E1"/>
    <w:rsid w:val="446A2417"/>
    <w:rsid w:val="45455EE0"/>
    <w:rsid w:val="45831915"/>
    <w:rsid w:val="45DA57F2"/>
    <w:rsid w:val="46196A66"/>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3746</Words>
  <Characters>3943</Characters>
  <Lines>0</Lines>
  <Paragraphs>0</Paragraphs>
  <TotalTime>114</TotalTime>
  <ScaleCrop>false</ScaleCrop>
  <LinksUpToDate>false</LinksUpToDate>
  <CharactersWithSpaces>3958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2023-09-15T01:23:00Z</cp:lastPrinted>
  <dcterms:modified xsi:type="dcterms:W3CDTF">2024-01-04T03:00:20Z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71B5C83B08B94A2997121ECF56309FC6_13</vt:lpwstr>
  </property>
</Properties>
</file>