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0" w:lineRule="exact"/>
        <w:rPr>
          <w:rFonts w:ascii="Times New Roman" w:hAnsi="Times New Roman" w:eastAsia="方正小标宋简体" w:cs="Times New Roman"/>
          <w:spacing w:val="-28"/>
          <w:sz w:val="44"/>
          <w:szCs w:val="44"/>
        </w:rPr>
      </w:pPr>
      <w:bookmarkStart w:id="0" w:name="_GoBack"/>
      <w:bookmarkEnd w:id="0"/>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常钟卫〔2020〕44 号</w:t>
      </w:r>
    </w:p>
    <w:p>
      <w:pPr>
        <w:jc w:val="center"/>
        <w:rPr>
          <w:rFonts w:ascii="仿宋_GB2312" w:hAnsi="仿宋_GB2312" w:eastAsia="仿宋_GB2312" w:cs="仿宋_GB2312"/>
          <w:sz w:val="32"/>
          <w:szCs w:val="32"/>
        </w:rPr>
      </w:pPr>
    </w:p>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w:t>
      </w:r>
    </w:p>
    <w:p>
      <w:pPr>
        <w:spacing w:line="700" w:lineRule="exact"/>
        <w:jc w:val="center"/>
        <w:rPr>
          <w:rFonts w:ascii="Times New Roman" w:hAnsi="Times New Roman" w:eastAsia="方正小标宋简体" w:cs="Times New Roman"/>
          <w:spacing w:val="-28"/>
          <w:sz w:val="44"/>
          <w:szCs w:val="44"/>
        </w:rPr>
      </w:pPr>
      <w:r>
        <w:rPr>
          <w:rFonts w:ascii="Times New Roman" w:hAnsi="Times New Roman" w:eastAsia="方正小标宋简体" w:cs="Times New Roman"/>
          <w:spacing w:val="-28"/>
          <w:sz w:val="44"/>
          <w:szCs w:val="44"/>
        </w:rPr>
        <w:t>《钟楼区卫生健康工作争先进位行动方案》的通知</w:t>
      </w:r>
    </w:p>
    <w:p>
      <w:pPr>
        <w:spacing w:line="570" w:lineRule="exact"/>
        <w:rPr>
          <w:rFonts w:ascii="Times New Roman" w:hAnsi="Times New Roman" w:eastAsia="方正小标宋简体" w:cs="Times New Roman"/>
          <w:spacing w:val="-28"/>
          <w:sz w:val="44"/>
          <w:szCs w:val="44"/>
        </w:rPr>
      </w:pP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为大力弘扬“勇争一流、耻为第二”的常州精神，引导激励全区卫生健康系统攻坚克难、开拓创新、真抓实干，助推钟楼卫生健康事业高质量发展走在前列。经研究，</w:t>
      </w:r>
      <w:r>
        <w:rPr>
          <w:rFonts w:hint="eastAsia" w:ascii="Times New Roman" w:hAnsi="Times New Roman" w:eastAsia="仿宋_GB2312" w:cs="Times New Roman"/>
          <w:sz w:val="32"/>
          <w:szCs w:val="32"/>
        </w:rPr>
        <w:t>决定</w:t>
      </w:r>
      <w:r>
        <w:rPr>
          <w:rFonts w:ascii="Times New Roman" w:hAnsi="Times New Roman" w:eastAsia="仿宋_GB2312" w:cs="Times New Roman"/>
          <w:sz w:val="32"/>
          <w:szCs w:val="32"/>
        </w:rPr>
        <w:t>在全区卫生健康系统开展争先进位主题年活动，今年为启动年，现制定印发全区卫生健康工作争先进位行动方案(详见附件)。</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希望各机构坚持以习近平新时代中国特色社会主义思想为指导，自觉践行新发展理念和新时期卫生与健康工作方针，以高质量发展为引领，以解决突出民生问题为导向，抢抓发展机遇，找准薄弱环节，在创新实干中解放思想、在比学赶超中狠抓落实、在争先进位中担当作为，通过连续几年争先进位主题年活动，全面支撑巩固全区卫生健康工作在全市第一方阵应有地位，为推进五大明星城建设作出新贡献。</w:t>
      </w:r>
    </w:p>
    <w:p>
      <w:pPr>
        <w:spacing w:line="570" w:lineRule="exact"/>
        <w:rPr>
          <w:rFonts w:ascii="Times New Roman" w:hAnsi="Times New Roman" w:eastAsia="仿宋_GB2312" w:cs="Times New Roman"/>
          <w:sz w:val="32"/>
          <w:szCs w:val="32"/>
        </w:rPr>
      </w:pPr>
    </w:p>
    <w:p>
      <w:pPr>
        <w:spacing w:line="570" w:lineRule="exact"/>
        <w:ind w:left="1598" w:leftChars="304" w:hanging="960" w:hangingChars="300"/>
        <w:rPr>
          <w:rFonts w:ascii="Times New Roman" w:hAnsi="Times New Roman" w:eastAsia="仿宋_GB2312" w:cs="Times New Roman"/>
          <w:spacing w:val="-10"/>
          <w:sz w:val="32"/>
          <w:szCs w:val="32"/>
        </w:rPr>
      </w:pPr>
      <w:r>
        <w:rPr>
          <w:rFonts w:ascii="Times New Roman" w:hAnsi="Times New Roman" w:eastAsia="仿宋_GB2312" w:cs="Times New Roman"/>
          <w:sz w:val="32"/>
          <w:szCs w:val="32"/>
        </w:rPr>
        <w:t xml:space="preserve">附件: </w:t>
      </w:r>
      <w:r>
        <w:rPr>
          <w:rFonts w:ascii="Times New Roman" w:hAnsi="Times New Roman" w:eastAsia="仿宋_GB2312" w:cs="Times New Roman"/>
          <w:spacing w:val="-10"/>
          <w:sz w:val="32"/>
          <w:szCs w:val="32"/>
        </w:rPr>
        <w:t>1. 钟楼区疾病预防控制工作争先进位三年行动方案</w:t>
      </w:r>
    </w:p>
    <w:p>
      <w:pPr>
        <w:spacing w:line="570" w:lineRule="exact"/>
        <w:ind w:firstLine="1480" w:firstLineChars="500"/>
        <w:rPr>
          <w:rFonts w:ascii="Times New Roman" w:hAnsi="Times New Roman" w:eastAsia="仿宋_GB2312" w:cs="Times New Roman"/>
          <w:spacing w:val="-12"/>
          <w:sz w:val="32"/>
          <w:szCs w:val="32"/>
        </w:rPr>
      </w:pPr>
      <w:r>
        <w:rPr>
          <w:rFonts w:ascii="Times New Roman" w:hAnsi="Times New Roman" w:eastAsia="仿宋_GB2312" w:cs="Times New Roman"/>
          <w:spacing w:val="-12"/>
          <w:sz w:val="32"/>
          <w:szCs w:val="32"/>
        </w:rPr>
        <w:t>2. 钟楼区基层卫生健康工作争先进位三年行动方案</w:t>
      </w:r>
    </w:p>
    <w:p>
      <w:pPr>
        <w:spacing w:line="570" w:lineRule="exact"/>
        <w:ind w:firstLine="1440" w:firstLineChars="450"/>
        <w:rPr>
          <w:rFonts w:ascii="Times New Roman" w:hAnsi="Times New Roman" w:eastAsia="仿宋_GB2312" w:cs="Times New Roman"/>
          <w:sz w:val="32"/>
          <w:szCs w:val="32"/>
        </w:rPr>
      </w:pPr>
      <w:r>
        <w:rPr>
          <w:rFonts w:ascii="Times New Roman" w:hAnsi="Times New Roman" w:eastAsia="仿宋_GB2312" w:cs="Times New Roman"/>
          <w:sz w:val="32"/>
          <w:szCs w:val="32"/>
        </w:rPr>
        <w:t>3. 钟楼区医疗服务争先进位三年行动方案</w:t>
      </w:r>
    </w:p>
    <w:p>
      <w:pPr>
        <w:spacing w:line="570" w:lineRule="exact"/>
        <w:ind w:firstLine="1440" w:firstLineChars="45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4. 钟楼区中医药工作争先进位三年行动方案</w:t>
      </w:r>
    </w:p>
    <w:p>
      <w:pPr>
        <w:spacing w:line="570" w:lineRule="exact"/>
        <w:ind w:firstLine="1440" w:firstLineChars="450"/>
        <w:rPr>
          <w:rFonts w:ascii="Times New Roman" w:hAnsi="Times New Roman" w:eastAsia="仿宋_GB2312" w:cs="Times New Roman"/>
          <w:sz w:val="32"/>
          <w:szCs w:val="32"/>
        </w:rPr>
      </w:pPr>
      <w:r>
        <w:rPr>
          <w:rFonts w:ascii="Times New Roman" w:hAnsi="Times New Roman" w:eastAsia="仿宋_GB2312" w:cs="Times New Roman"/>
          <w:sz w:val="32"/>
          <w:szCs w:val="32"/>
        </w:rPr>
        <w:t>5. 钟楼区妇幼健康工作争先进位三年行动方案</w:t>
      </w:r>
    </w:p>
    <w:p>
      <w:pPr>
        <w:spacing w:line="570" w:lineRule="exact"/>
        <w:ind w:firstLine="1440" w:firstLineChars="450"/>
        <w:rPr>
          <w:rFonts w:ascii="Times New Roman" w:hAnsi="Times New Roman" w:eastAsia="仿宋_GB2312" w:cs="Times New Roman"/>
          <w:sz w:val="32"/>
          <w:szCs w:val="32"/>
        </w:rPr>
      </w:pPr>
      <w:r>
        <w:rPr>
          <w:rFonts w:ascii="Times New Roman" w:hAnsi="Times New Roman" w:eastAsia="仿宋_GB2312" w:cs="Times New Roman"/>
          <w:sz w:val="32"/>
          <w:szCs w:val="32"/>
        </w:rPr>
        <w:t>6. 钟楼区老龄健康工作争先进位三年行动方案</w:t>
      </w:r>
    </w:p>
    <w:p>
      <w:pPr>
        <w:spacing w:line="570" w:lineRule="exact"/>
        <w:ind w:left="1436" w:leftChars="684"/>
        <w:rPr>
          <w:rFonts w:ascii="Times New Roman" w:hAnsi="Times New Roman" w:eastAsia="仿宋_GB2312" w:cs="Times New Roman"/>
          <w:sz w:val="32"/>
          <w:szCs w:val="32"/>
        </w:rPr>
      </w:pPr>
      <w:r>
        <w:rPr>
          <w:rFonts w:ascii="Times New Roman" w:hAnsi="Times New Roman" w:eastAsia="仿宋_GB2312" w:cs="Times New Roman"/>
          <w:sz w:val="32"/>
          <w:szCs w:val="32"/>
        </w:rPr>
        <w:t>7. 钟楼区人口监测和家庭发展工作争先进位三年行动方案</w:t>
      </w:r>
    </w:p>
    <w:p>
      <w:pPr>
        <w:spacing w:line="570" w:lineRule="exact"/>
        <w:ind w:firstLine="1440" w:firstLineChars="450"/>
        <w:rPr>
          <w:rFonts w:ascii="Times New Roman" w:hAnsi="Times New Roman" w:eastAsia="仿宋_GB2312" w:cs="Times New Roman"/>
          <w:sz w:val="32"/>
          <w:szCs w:val="32"/>
        </w:rPr>
      </w:pPr>
      <w:r>
        <w:rPr>
          <w:rFonts w:ascii="Times New Roman" w:hAnsi="Times New Roman" w:eastAsia="仿宋_GB2312" w:cs="Times New Roman"/>
          <w:sz w:val="32"/>
          <w:szCs w:val="32"/>
        </w:rPr>
        <w:t>8. 钟楼区卫生监督工作争先进位三年行动方案</w:t>
      </w:r>
    </w:p>
    <w:p>
      <w:pPr>
        <w:spacing w:line="570" w:lineRule="exact"/>
        <w:ind w:firstLine="1440" w:firstLineChars="450"/>
        <w:rPr>
          <w:rFonts w:ascii="Times New Roman" w:hAnsi="Times New Roman" w:eastAsia="仿宋_GB2312" w:cs="Times New Roman"/>
          <w:sz w:val="32"/>
          <w:szCs w:val="32"/>
        </w:rPr>
      </w:pPr>
      <w:r>
        <w:rPr>
          <w:rFonts w:ascii="Times New Roman" w:hAnsi="Times New Roman" w:eastAsia="仿宋_GB2312" w:cs="Times New Roman"/>
          <w:sz w:val="32"/>
          <w:szCs w:val="32"/>
        </w:rPr>
        <w:t>9. 钟楼区智慧健康工作争先进位三年行动方案</w:t>
      </w:r>
    </w:p>
    <w:p>
      <w:pPr>
        <w:spacing w:line="570" w:lineRule="exact"/>
        <w:ind w:firstLine="960" w:firstLineChars="300"/>
        <w:rPr>
          <w:rFonts w:ascii="Times New Roman" w:hAnsi="Times New Roman" w:eastAsia="仿宋_GB2312" w:cs="Times New Roman"/>
          <w:sz w:val="32"/>
          <w:szCs w:val="32"/>
        </w:rPr>
      </w:pPr>
    </w:p>
    <w:p>
      <w:pPr>
        <w:spacing w:line="570" w:lineRule="exact"/>
        <w:ind w:firstLine="960" w:firstLineChars="300"/>
        <w:rPr>
          <w:rFonts w:ascii="Times New Roman" w:hAnsi="Times New Roman" w:eastAsia="仿宋_GB2312" w:cs="Times New Roman"/>
          <w:sz w:val="32"/>
          <w:szCs w:val="32"/>
        </w:rPr>
      </w:pPr>
    </w:p>
    <w:p>
      <w:pPr>
        <w:spacing w:line="570" w:lineRule="exact"/>
        <w:ind w:firstLine="630" w:firstLineChars="300"/>
        <w:rPr>
          <w:rFonts w:ascii="Times New Roman" w:hAnsi="Times New Roman" w:eastAsia="仿宋_GB2312" w:cs="Times New Roman"/>
          <w:sz w:val="32"/>
          <w:szCs w:val="32"/>
        </w:rPr>
      </w:pPr>
      <w:r>
        <w:rPr>
          <w:rFonts w:ascii="Times New Roman" w:hAnsi="Times New Roman" w:cs="Times New Roman"/>
        </w:rPr>
        <w:drawing>
          <wp:inline distT="0" distB="0" distL="0" distR="0">
            <wp:extent cx="5085715" cy="263779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5085715" cy="2638095"/>
                    </a:xfrm>
                    <a:prstGeom prst="rect">
                      <a:avLst/>
                    </a:prstGeom>
                  </pic:spPr>
                </pic:pic>
              </a:graphicData>
            </a:graphic>
          </wp:inline>
        </w:drawing>
      </w:r>
    </w:p>
    <w:p>
      <w:pPr>
        <w:spacing w:line="570" w:lineRule="exact"/>
        <w:ind w:firstLine="4160" w:firstLineChars="1300"/>
        <w:rPr>
          <w:rFonts w:ascii="Times New Roman" w:hAnsi="Times New Roman" w:eastAsia="仿宋_GB2312" w:cs="Times New Roman"/>
          <w:sz w:val="32"/>
          <w:szCs w:val="32"/>
        </w:rPr>
      </w:pPr>
      <w:r>
        <w:rPr>
          <w:rFonts w:ascii="Times New Roman" w:hAnsi="Times New Roman" w:eastAsia="仿宋_GB2312" w:cs="Times New Roman"/>
          <w:sz w:val="32"/>
          <w:szCs w:val="32"/>
        </w:rPr>
        <w:t>常州市钟楼区卫生健康局</w:t>
      </w:r>
    </w:p>
    <w:p>
      <w:pPr>
        <w:spacing w:line="570" w:lineRule="exact"/>
        <w:ind w:firstLine="4800" w:firstLineChars="1500"/>
        <w:rPr>
          <w:rFonts w:ascii="Times New Roman" w:hAnsi="Times New Roman" w:eastAsia="仿宋_GB2312" w:cs="Times New Roman"/>
          <w:sz w:val="32"/>
          <w:szCs w:val="32"/>
        </w:rPr>
      </w:pPr>
      <w:r>
        <w:rPr>
          <w:rFonts w:ascii="Times New Roman" w:hAnsi="Times New Roman" w:eastAsia="仿宋_GB2312" w:cs="Times New Roman"/>
          <w:sz w:val="32"/>
          <w:szCs w:val="32"/>
        </w:rPr>
        <w:t>2020年7月</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日</w:t>
      </w:r>
    </w:p>
    <w:p>
      <w:pPr>
        <w:spacing w:line="570" w:lineRule="exact"/>
        <w:ind w:firstLine="960" w:firstLineChars="300"/>
        <w:rPr>
          <w:rFonts w:ascii="Times New Roman" w:hAnsi="Times New Roman" w:eastAsia="仿宋_GB2312" w:cs="Times New Roman"/>
          <w:sz w:val="32"/>
          <w:szCs w:val="32"/>
        </w:rPr>
      </w:pPr>
    </w:p>
    <w:p>
      <w:pPr>
        <w:spacing w:line="570" w:lineRule="exact"/>
        <w:ind w:firstLine="960" w:firstLineChars="300"/>
        <w:rPr>
          <w:rFonts w:ascii="Times New Roman" w:hAnsi="Times New Roman" w:eastAsia="仿宋_GB2312" w:cs="Times New Roman"/>
          <w:sz w:val="32"/>
          <w:szCs w:val="32"/>
        </w:rPr>
      </w:pPr>
    </w:p>
    <w:p>
      <w:pPr>
        <w:spacing w:line="570" w:lineRule="exact"/>
        <w:ind w:firstLine="960" w:firstLineChars="300"/>
        <w:rPr>
          <w:rFonts w:ascii="Times New Roman" w:hAnsi="Times New Roman" w:eastAsia="仿宋_GB2312" w:cs="Times New Roman"/>
          <w:sz w:val="32"/>
          <w:szCs w:val="32"/>
        </w:rPr>
      </w:pPr>
    </w:p>
    <w:p>
      <w:pPr>
        <w:spacing w:line="57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700" w:lineRule="exact"/>
        <w:jc w:val="center"/>
        <w:rPr>
          <w:rFonts w:ascii="Times New Roman" w:hAnsi="Times New Roman" w:eastAsia="方正小标宋简体" w:cs="Times New Roman"/>
          <w:spacing w:val="-24"/>
          <w:sz w:val="44"/>
          <w:szCs w:val="44"/>
        </w:rPr>
      </w:pPr>
      <w:r>
        <w:rPr>
          <w:rFonts w:ascii="Times New Roman" w:hAnsi="Times New Roman" w:eastAsia="方正小标宋简体" w:cs="Times New Roman"/>
          <w:spacing w:val="-24"/>
          <w:sz w:val="44"/>
          <w:szCs w:val="44"/>
        </w:rPr>
        <w:t>钟楼区疾病预防控制工作争先进位三年行动方案</w:t>
      </w:r>
    </w:p>
    <w:p>
      <w:pPr>
        <w:spacing w:line="570" w:lineRule="exact"/>
        <w:ind w:firstLine="640" w:firstLineChars="200"/>
        <w:rPr>
          <w:rFonts w:ascii="Times New Roman" w:hAnsi="Times New Roman" w:eastAsia="黑体" w:cs="Times New Roman"/>
          <w:sz w:val="32"/>
          <w:szCs w:val="32"/>
        </w:rPr>
      </w:pP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一、指导思想 </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全面践行总体国家安全观和新时期卫生健康工作方针，以能力建设为主线，人才为根本，改革为动力，加大公共卫生投入力度，完善疾病预防控制工作体制机制，打造平战结合、专业化、复合型、高水平疾病预防控制队伍，推动钟楼区疾病预防控制工作再上新台阶。 </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二、工作目标 </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 完善疾病预防控制体系建设。</w:t>
      </w:r>
      <w:r>
        <w:rPr>
          <w:rFonts w:ascii="Times New Roman" w:hAnsi="Times New Roman" w:eastAsia="仿宋_GB2312" w:cs="Times New Roman"/>
          <w:sz w:val="32"/>
          <w:szCs w:val="32"/>
        </w:rPr>
        <w:t xml:space="preserve">积极推进区级公共卫生中心建设，建设区级新冠病毒核酸检测实验室，优化人员配置，加强技术培训与人力资源储备。 </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2. 强化急性传染病防制。</w:t>
      </w:r>
      <w:r>
        <w:rPr>
          <w:rFonts w:ascii="Times New Roman" w:hAnsi="Times New Roman" w:eastAsia="仿宋_GB2312" w:cs="Times New Roman"/>
          <w:sz w:val="32"/>
          <w:szCs w:val="32"/>
        </w:rPr>
        <w:t xml:space="preserve">甲乙类传染病发病率低于120/10万或低于全省平均水平。 </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3. 提升免疫规划水平。</w:t>
      </w:r>
      <w:r>
        <w:rPr>
          <w:rFonts w:ascii="Times New Roman" w:hAnsi="Times New Roman" w:eastAsia="仿宋_GB2312" w:cs="Times New Roman"/>
          <w:sz w:val="32"/>
          <w:szCs w:val="32"/>
        </w:rPr>
        <w:t xml:space="preserve">一类疫苗儿童预防接种率达到 95%以上，适龄儿童免费接种水痘疫苗达到 95%。 </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4. 加大重大传染病防制力度。</w:t>
      </w:r>
      <w:r>
        <w:rPr>
          <w:rFonts w:ascii="Times New Roman" w:hAnsi="Times New Roman" w:eastAsia="仿宋_GB2312" w:cs="Times New Roman"/>
          <w:sz w:val="32"/>
          <w:szCs w:val="32"/>
        </w:rPr>
        <w:t xml:space="preserve">疑似/肺结核患者总体到位率95%以上。 </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5. 提高慢病防控质量。</w:t>
      </w:r>
      <w:r>
        <w:rPr>
          <w:rFonts w:ascii="Times New Roman" w:hAnsi="Times New Roman" w:eastAsia="仿宋_GB2312" w:cs="Times New Roman"/>
          <w:sz w:val="32"/>
          <w:szCs w:val="32"/>
        </w:rPr>
        <w:t xml:space="preserve">逐年提高人均预期寿命值，逐年降低人均重大慢性病过早死亡率。提升严重精神障碍报告患病率、规范管理率、规律服药率三项核心指标 。 </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6. 增强职业病防治能力。</w:t>
      </w:r>
      <w:r>
        <w:rPr>
          <w:rFonts w:ascii="Times New Roman" w:hAnsi="Times New Roman" w:eastAsia="仿宋_GB2312" w:cs="Times New Roman"/>
          <w:sz w:val="32"/>
          <w:szCs w:val="32"/>
        </w:rPr>
        <w:t>建立功能完善的重点职业病监测工作支撑体系。</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三、工作措施 </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 完善规划布局。</w:t>
      </w:r>
      <w:r>
        <w:rPr>
          <w:rFonts w:ascii="Times New Roman" w:hAnsi="Times New Roman" w:eastAsia="仿宋_GB2312" w:cs="Times New Roman"/>
          <w:sz w:val="32"/>
          <w:szCs w:val="32"/>
        </w:rPr>
        <w:t xml:space="preserve">坚持“平战结合”的理念，进一步加强以区疾控中心为业务技术主干，市三院、其他综合医院为疾病监测救治保障，社区卫生机构为基层支撑的疾控工作网络。按照“统筹规划、能级分工、常规下沉”的原则，合理构建统一质控、资源联动、信息共享的疾控实验室检测网络。 </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2. 加强基础建设。</w:t>
      </w:r>
      <w:r>
        <w:rPr>
          <w:rFonts w:ascii="Times New Roman" w:hAnsi="Times New Roman" w:eastAsia="仿宋_GB2312" w:cs="Times New Roman"/>
          <w:sz w:val="32"/>
          <w:szCs w:val="32"/>
        </w:rPr>
        <w:t>年内建成钟楼区新冠病毒核酸检测实验室；加快推进公共卫生中心建设。加强高端装备配置和关键技术储备，持续保持突发事件现场应急处置、实验室检验检测能力的引领水平，发挥在全区公共卫生体系中的核心作用。</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3. 加强监测预警体系建设。</w:t>
      </w:r>
      <w:r>
        <w:rPr>
          <w:rFonts w:ascii="Times New Roman" w:hAnsi="Times New Roman" w:eastAsia="仿宋_GB2312" w:cs="Times New Roman"/>
          <w:sz w:val="32"/>
          <w:szCs w:val="32"/>
        </w:rPr>
        <w:t xml:space="preserve">以呼吸道传染病、肠道传染病和新发传染病为重点，进一步加强辖区急、慢性传染病监测、报告工作，掌握流行因素和规律，做好疫情趋势研判，切实提高早发现、早诊断、早处理能力。做好环境卫生、食品安全、重点职业病等公共卫生监测与风险评估工作，及时提出相应的防治对策。 </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4. 加强健康干预体系建设。</w:t>
      </w:r>
      <w:r>
        <w:rPr>
          <w:rFonts w:ascii="Times New Roman" w:hAnsi="Times New Roman" w:eastAsia="仿宋_GB2312" w:cs="Times New Roman"/>
          <w:sz w:val="32"/>
          <w:szCs w:val="32"/>
        </w:rPr>
        <w:t xml:space="preserve">持续保持免疫规划疫苗高接种率，维持疫苗可预防传染病发病率较低水平，推动将更多疫苗纳入地方免疫规划。广泛开展社区健康行为干预和健康促进行动，提高城乡居民健康素养水平。 </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5. 加强应急处置体系建设。</w:t>
      </w:r>
      <w:r>
        <w:rPr>
          <w:rFonts w:ascii="Times New Roman" w:hAnsi="Times New Roman" w:eastAsia="仿宋_GB2312" w:cs="Times New Roman"/>
          <w:sz w:val="32"/>
          <w:szCs w:val="32"/>
        </w:rPr>
        <w:t xml:space="preserve">进一步完善突发公共卫生事件应急处置预案，加强应急物资储备，开展应急演练和培训，及时、有效、规范地组织开展传染病暴发疫情、食物中毒、生活饮用水污染、职业中毒等突发公共卫生事件的专业处置工作，有效维护社会安全稳定。 </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6. 加强检验检测体系建设。</w:t>
      </w:r>
      <w:r>
        <w:rPr>
          <w:rFonts w:ascii="Times New Roman" w:hAnsi="Times New Roman" w:eastAsia="仿宋_GB2312" w:cs="Times New Roman"/>
          <w:sz w:val="32"/>
          <w:szCs w:val="32"/>
        </w:rPr>
        <w:t>完善全区卫生检验体系，在微生物检测、作业场所检测、水环境检测、食品检测等方面提升检验检定能力，为一线防病工作做好技术保障。</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7. 加大财政投入。</w:t>
      </w:r>
      <w:r>
        <w:rPr>
          <w:rFonts w:ascii="Times New Roman" w:hAnsi="Times New Roman" w:eastAsia="仿宋_GB2312" w:cs="Times New Roman"/>
          <w:sz w:val="32"/>
          <w:szCs w:val="32"/>
        </w:rPr>
        <w:t>持续稳定加大对疾控机构经费投入总量，完善筹资与补偿机制，健全经费投入稳定增长机制，保障疾控机构必要的业务工作经费、水电、车辆公用经费和科研创新经费。</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8. 优化人事管理。</w:t>
      </w:r>
      <w:r>
        <w:rPr>
          <w:rFonts w:ascii="Times New Roman" w:hAnsi="Times New Roman" w:eastAsia="仿宋_GB2312" w:cs="Times New Roman"/>
          <w:sz w:val="32"/>
          <w:szCs w:val="32"/>
        </w:rPr>
        <w:t>科学实施岗位分级分类管理，完善岗位职责要求，强化岗位聘任管理，科学设置、合理优化疾控机构高、中级专业技术岗位结构比例，按需设置初级岗位。</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9. 完善绩效评价。</w:t>
      </w:r>
      <w:r>
        <w:rPr>
          <w:rFonts w:ascii="Times New Roman" w:hAnsi="Times New Roman" w:eastAsia="仿宋_GB2312" w:cs="Times New Roman"/>
          <w:sz w:val="32"/>
          <w:szCs w:val="32"/>
        </w:rPr>
        <w:t>建立与时俱进的疾控机构专技人员合理补偿机制。同时建立以公益为导向、以实绩为核心的人才评聘管理和分级分类岗位绩效评价机制，确保绩效工资分配向一线、关键的业务骨干倾斜，体现多劳多得、优绩优酬，有效发挥绩效工资的正向激励作用。</w:t>
      </w:r>
    </w:p>
    <w:p>
      <w:pPr>
        <w:spacing w:line="570" w:lineRule="exact"/>
        <w:ind w:firstLine="640" w:firstLineChars="200"/>
        <w:rPr>
          <w:rFonts w:ascii="Times New Roman" w:hAnsi="Times New Roman" w:eastAsia="仿宋_GB2312" w:cs="Times New Roman"/>
          <w:sz w:val="32"/>
          <w:szCs w:val="32"/>
        </w:rPr>
        <w:sectPr>
          <w:footerReference r:id="rId5" w:type="first"/>
          <w:footerReference r:id="rId3" w:type="default"/>
          <w:footerReference r:id="rId4" w:type="even"/>
          <w:type w:val="continuous"/>
          <w:pgSz w:w="11906" w:h="16838"/>
          <w:pgMar w:top="2098" w:right="1531" w:bottom="1985" w:left="1531" w:header="851" w:footer="992" w:gutter="0"/>
          <w:pgNumType w:fmt="numberInDash"/>
          <w:cols w:space="425" w:num="1"/>
          <w:docGrid w:type="lines" w:linePitch="312" w:charSpace="0"/>
        </w:sectPr>
      </w:pPr>
      <w:r>
        <w:rPr>
          <w:rFonts w:ascii="Times New Roman" w:hAnsi="Times New Roman" w:eastAsia="楷体_GB2312" w:cs="Times New Roman"/>
          <w:sz w:val="32"/>
          <w:szCs w:val="32"/>
        </w:rPr>
        <w:t>10. 注重人才培养。</w:t>
      </w:r>
      <w:r>
        <w:rPr>
          <w:rFonts w:ascii="Times New Roman" w:hAnsi="Times New Roman" w:eastAsia="仿宋_GB2312" w:cs="Times New Roman"/>
          <w:sz w:val="32"/>
          <w:szCs w:val="32"/>
        </w:rPr>
        <w:t>培养一批符合疾控实际需要的复合型、应用型人才和学科带头人，构建业内具有影响力的公共卫生人才高地。加大中高端人才培养与引进、骨干人才培养、科研创新激励、科技成果转化等的工作力度。</w:t>
      </w:r>
    </w:p>
    <w:p>
      <w:pPr>
        <w:spacing w:line="570" w:lineRule="exact"/>
        <w:rPr>
          <w:rFonts w:ascii="Times New Roman" w:hAnsi="Times New Roman" w:eastAsia="方正小标宋简体" w:cs="Times New Roman"/>
          <w:sz w:val="44"/>
          <w:szCs w:val="44"/>
        </w:rPr>
        <w:sectPr>
          <w:pgSz w:w="16838" w:h="11906" w:orient="landscape"/>
          <w:pgMar w:top="1531" w:right="2098" w:bottom="1531" w:left="1985" w:header="851" w:footer="992" w:gutter="0"/>
          <w:pgNumType w:fmt="numberInDash"/>
          <w:cols w:space="425" w:num="1"/>
          <w:docGrid w:type="lines" w:linePitch="312" w:charSpace="0"/>
        </w:sectPr>
      </w:pPr>
    </w:p>
    <w:p>
      <w:pPr>
        <w:widowControl/>
        <w:spacing w:line="700" w:lineRule="exact"/>
        <w:rPr>
          <w:rFonts w:ascii="Times New Roman" w:hAnsi="Times New Roman" w:cs="Times New Roman"/>
          <w:color w:val="FF0000"/>
          <w:sz w:val="32"/>
        </w:rPr>
      </w:pPr>
      <w:r>
        <w:rPr>
          <w:rFonts w:ascii="Times New Roman" w:hAnsi="Times New Roman" w:eastAsia="方正小标宋简体" w:cs="Times New Roman"/>
          <w:color w:val="000000"/>
          <w:kern w:val="0"/>
          <w:sz w:val="44"/>
          <w:szCs w:val="44"/>
        </w:rPr>
        <w:t>常州市钟楼区疾病预防控制工作争先进位三年行动方案</w:t>
      </w:r>
      <w:r>
        <w:rPr>
          <w:rFonts w:ascii="Times New Roman" w:hAnsi="Times New Roman" w:eastAsia="方正小标宋简体" w:cs="Times New Roman"/>
          <w:sz w:val="44"/>
          <w:szCs w:val="44"/>
        </w:rPr>
        <w:t>任务分解表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654"/>
        <w:gridCol w:w="4252"/>
        <w:gridCol w:w="5529"/>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widowControl/>
              <w:spacing w:line="440" w:lineRule="exact"/>
              <w:jc w:val="center"/>
              <w:rPr>
                <w:rFonts w:ascii="Times New Roman" w:hAnsi="Times New Roman" w:eastAsia="黑体" w:cs="Times New Roman"/>
                <w:color w:val="000000"/>
                <w:kern w:val="0"/>
                <w:sz w:val="28"/>
                <w:szCs w:val="20"/>
              </w:rPr>
            </w:pPr>
            <w:r>
              <w:rPr>
                <w:rFonts w:ascii="Times New Roman" w:hAnsi="Times New Roman" w:eastAsia="黑体" w:cs="Times New Roman"/>
                <w:color w:val="000000"/>
                <w:kern w:val="0"/>
                <w:sz w:val="28"/>
                <w:szCs w:val="20"/>
              </w:rPr>
              <w:t>序号</w:t>
            </w:r>
          </w:p>
        </w:tc>
        <w:tc>
          <w:tcPr>
            <w:tcW w:w="5906" w:type="dxa"/>
            <w:gridSpan w:val="2"/>
          </w:tcPr>
          <w:p>
            <w:pPr>
              <w:widowControl/>
              <w:spacing w:line="440" w:lineRule="exact"/>
              <w:jc w:val="center"/>
              <w:rPr>
                <w:rFonts w:ascii="Times New Roman" w:hAnsi="Times New Roman" w:eastAsia="黑体" w:cs="Times New Roman"/>
                <w:color w:val="000000"/>
                <w:kern w:val="0"/>
                <w:sz w:val="28"/>
                <w:szCs w:val="20"/>
              </w:rPr>
            </w:pPr>
            <w:r>
              <w:rPr>
                <w:rFonts w:ascii="Times New Roman" w:hAnsi="Times New Roman" w:eastAsia="黑体" w:cs="Times New Roman"/>
                <w:color w:val="000000"/>
                <w:kern w:val="0"/>
                <w:sz w:val="28"/>
                <w:szCs w:val="20"/>
              </w:rPr>
              <w:t>工作任务</w:t>
            </w:r>
          </w:p>
        </w:tc>
        <w:tc>
          <w:tcPr>
            <w:tcW w:w="5529" w:type="dxa"/>
          </w:tcPr>
          <w:p>
            <w:pPr>
              <w:widowControl/>
              <w:spacing w:line="440" w:lineRule="exact"/>
              <w:jc w:val="center"/>
              <w:rPr>
                <w:rFonts w:ascii="Times New Roman" w:hAnsi="Times New Roman" w:eastAsia="黑体" w:cs="Times New Roman"/>
                <w:color w:val="000000"/>
                <w:kern w:val="0"/>
                <w:sz w:val="28"/>
                <w:szCs w:val="20"/>
              </w:rPr>
            </w:pPr>
            <w:r>
              <w:rPr>
                <w:rFonts w:ascii="Times New Roman" w:hAnsi="Times New Roman" w:eastAsia="黑体" w:cs="Times New Roman"/>
                <w:color w:val="000000"/>
                <w:kern w:val="0"/>
                <w:sz w:val="28"/>
                <w:szCs w:val="20"/>
              </w:rPr>
              <w:t>工作进度或措施</w:t>
            </w:r>
          </w:p>
        </w:tc>
        <w:tc>
          <w:tcPr>
            <w:tcW w:w="1551" w:type="dxa"/>
          </w:tcPr>
          <w:p>
            <w:pPr>
              <w:widowControl/>
              <w:spacing w:line="440" w:lineRule="exact"/>
              <w:jc w:val="center"/>
              <w:rPr>
                <w:rFonts w:ascii="Times New Roman" w:hAnsi="Times New Roman" w:eastAsia="黑体" w:cs="Times New Roman"/>
                <w:color w:val="000000"/>
                <w:kern w:val="0"/>
                <w:sz w:val="28"/>
                <w:szCs w:val="20"/>
              </w:rPr>
            </w:pPr>
            <w:r>
              <w:rPr>
                <w:rFonts w:ascii="Times New Roman" w:hAnsi="Times New Roman" w:eastAsia="黑体" w:cs="Times New Roman"/>
                <w:color w:val="000000"/>
                <w:kern w:val="0"/>
                <w:sz w:val="28"/>
                <w:szCs w:val="20"/>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restart"/>
            <w:vAlign w:val="center"/>
          </w:tcPr>
          <w:p>
            <w:pPr>
              <w:widowControl/>
              <w:spacing w:line="300" w:lineRule="exact"/>
              <w:rPr>
                <w:rFonts w:ascii="Times New Roman" w:hAnsi="Times New Roman" w:eastAsia="黑体" w:cs="Times New Roman"/>
                <w:color w:val="000000"/>
                <w:kern w:val="0"/>
                <w:sz w:val="24"/>
                <w:szCs w:val="24"/>
              </w:rPr>
            </w:pPr>
            <w:r>
              <w:rPr>
                <w:rFonts w:ascii="Times New Roman" w:hAnsi="Times New Roman" w:eastAsia="仿宋" w:cs="Times New Roman"/>
                <w:color w:val="000000"/>
                <w:kern w:val="0"/>
                <w:sz w:val="24"/>
                <w:szCs w:val="24"/>
              </w:rPr>
              <w:t>1</w:t>
            </w:r>
          </w:p>
        </w:tc>
        <w:tc>
          <w:tcPr>
            <w:tcW w:w="1654" w:type="dxa"/>
            <w:vMerge w:val="restart"/>
            <w:vAlign w:val="center"/>
          </w:tcPr>
          <w:p>
            <w:pPr>
              <w:widowControl/>
              <w:spacing w:line="300" w:lineRule="exact"/>
              <w:rPr>
                <w:rFonts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疾病预防控制体系建设</w:t>
            </w:r>
          </w:p>
        </w:tc>
        <w:tc>
          <w:tcPr>
            <w:tcW w:w="4252" w:type="dxa"/>
            <w:vAlign w:val="center"/>
          </w:tcPr>
          <w:p>
            <w:pPr>
              <w:widowControl/>
              <w:spacing w:line="300" w:lineRule="exac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推进公共卫生中心建设。</w:t>
            </w:r>
          </w:p>
        </w:tc>
        <w:tc>
          <w:tcPr>
            <w:tcW w:w="5529" w:type="dxa"/>
            <w:vAlign w:val="center"/>
          </w:tcPr>
          <w:p>
            <w:pPr>
              <w:widowControl/>
              <w:spacing w:line="300" w:lineRule="exac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推进辖区公共卫生中心项目规划、建设进度。</w:t>
            </w:r>
          </w:p>
        </w:tc>
        <w:tc>
          <w:tcPr>
            <w:tcW w:w="1551" w:type="dxa"/>
            <w:vAlign w:val="center"/>
          </w:tcPr>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6" w:type="dxa"/>
            <w:vMerge w:val="continue"/>
            <w:vAlign w:val="center"/>
          </w:tcPr>
          <w:p>
            <w:pPr>
              <w:widowControl/>
              <w:spacing w:line="300" w:lineRule="exact"/>
              <w:rPr>
                <w:rFonts w:ascii="Times New Roman" w:hAnsi="Times New Roman" w:eastAsia="黑体" w:cs="Times New Roman"/>
                <w:color w:val="000000"/>
                <w:kern w:val="0"/>
                <w:sz w:val="24"/>
                <w:szCs w:val="24"/>
              </w:rPr>
            </w:pPr>
          </w:p>
        </w:tc>
        <w:tc>
          <w:tcPr>
            <w:tcW w:w="1654" w:type="dxa"/>
            <w:vMerge w:val="continue"/>
            <w:vAlign w:val="center"/>
          </w:tcPr>
          <w:p>
            <w:pPr>
              <w:widowControl/>
              <w:spacing w:line="300" w:lineRule="exact"/>
              <w:rPr>
                <w:rFonts w:ascii="仿宋_GB2312" w:hAnsi="Times New Roman" w:eastAsia="仿宋_GB2312" w:cs="Times New Roman"/>
                <w:color w:val="000000"/>
                <w:kern w:val="0"/>
                <w:sz w:val="24"/>
                <w:szCs w:val="24"/>
              </w:rPr>
            </w:pPr>
          </w:p>
        </w:tc>
        <w:tc>
          <w:tcPr>
            <w:tcW w:w="4252" w:type="dxa"/>
            <w:vAlign w:val="center"/>
          </w:tcPr>
          <w:p>
            <w:pPr>
              <w:widowControl/>
              <w:spacing w:line="300" w:lineRule="exac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建设钟楼区新冠病毒核酸检测实验室。</w:t>
            </w:r>
          </w:p>
        </w:tc>
        <w:tc>
          <w:tcPr>
            <w:tcW w:w="5529" w:type="dxa"/>
            <w:vAlign w:val="center"/>
          </w:tcPr>
          <w:p>
            <w:pPr>
              <w:widowControl/>
              <w:spacing w:line="300" w:lineRule="exac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推进钟楼区新冠病毒核酸检测实验室建设，年内投入使用。</w:t>
            </w:r>
          </w:p>
        </w:tc>
        <w:tc>
          <w:tcPr>
            <w:tcW w:w="1551" w:type="dxa"/>
            <w:vAlign w:val="center"/>
          </w:tcPr>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6" w:type="dxa"/>
            <w:vAlign w:val="center"/>
          </w:tcPr>
          <w:p>
            <w:pPr>
              <w:widowControl/>
              <w:spacing w:line="300" w:lineRule="exact"/>
              <w:rPr>
                <w:rFonts w:ascii="Times New Roman" w:hAnsi="Times New Roman" w:eastAsia="黑体" w:cs="Times New Roman"/>
                <w:color w:val="000000"/>
                <w:kern w:val="0"/>
                <w:sz w:val="24"/>
                <w:szCs w:val="24"/>
              </w:rPr>
            </w:pPr>
            <w:r>
              <w:rPr>
                <w:rFonts w:ascii="Times New Roman" w:hAnsi="Times New Roman" w:eastAsia="仿宋" w:cs="Times New Roman"/>
                <w:color w:val="000000"/>
                <w:kern w:val="0"/>
                <w:sz w:val="24"/>
                <w:szCs w:val="24"/>
              </w:rPr>
              <w:t>2</w:t>
            </w:r>
          </w:p>
        </w:tc>
        <w:tc>
          <w:tcPr>
            <w:tcW w:w="1654" w:type="dxa"/>
            <w:vAlign w:val="center"/>
          </w:tcPr>
          <w:p>
            <w:pPr>
              <w:widowControl/>
              <w:spacing w:line="300" w:lineRule="exact"/>
              <w:rPr>
                <w:rFonts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急性传染病控制</w:t>
            </w:r>
          </w:p>
        </w:tc>
        <w:tc>
          <w:tcPr>
            <w:tcW w:w="4252" w:type="dxa"/>
            <w:vAlign w:val="center"/>
          </w:tcPr>
          <w:p>
            <w:pPr>
              <w:widowControl/>
              <w:spacing w:line="300" w:lineRule="exac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甲乙类传染病发病率低于 120/10 万或低于全省平均水平。</w:t>
            </w:r>
          </w:p>
        </w:tc>
        <w:tc>
          <w:tcPr>
            <w:tcW w:w="5529" w:type="dxa"/>
            <w:vAlign w:val="center"/>
          </w:tcPr>
          <w:p>
            <w:pPr>
              <w:widowControl/>
              <w:spacing w:line="300" w:lineRule="exac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 xml:space="preserve">规范落实“五早”防控措施。 </w:t>
            </w:r>
          </w:p>
        </w:tc>
        <w:tc>
          <w:tcPr>
            <w:tcW w:w="1551" w:type="dxa"/>
            <w:vAlign w:val="center"/>
          </w:tcPr>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卫健局</w:t>
            </w:r>
          </w:p>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疾控中心</w:t>
            </w:r>
          </w:p>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widowControl/>
              <w:spacing w:line="300" w:lineRule="exact"/>
              <w:rPr>
                <w:rFonts w:ascii="Times New Roman" w:hAnsi="Times New Roman" w:eastAsia="黑体" w:cs="Times New Roman"/>
                <w:color w:val="000000"/>
                <w:kern w:val="0"/>
                <w:sz w:val="24"/>
                <w:szCs w:val="24"/>
              </w:rPr>
            </w:pPr>
            <w:r>
              <w:rPr>
                <w:rFonts w:ascii="Times New Roman" w:hAnsi="Times New Roman" w:eastAsia="仿宋" w:cs="Times New Roman"/>
                <w:color w:val="000000"/>
                <w:kern w:val="0"/>
                <w:sz w:val="24"/>
                <w:szCs w:val="24"/>
              </w:rPr>
              <w:t>3</w:t>
            </w:r>
          </w:p>
        </w:tc>
        <w:tc>
          <w:tcPr>
            <w:tcW w:w="1654" w:type="dxa"/>
            <w:vAlign w:val="center"/>
          </w:tcPr>
          <w:p>
            <w:pPr>
              <w:widowControl/>
              <w:spacing w:line="300" w:lineRule="exac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预防接种</w:t>
            </w:r>
          </w:p>
        </w:tc>
        <w:tc>
          <w:tcPr>
            <w:tcW w:w="4252" w:type="dxa"/>
            <w:vAlign w:val="center"/>
          </w:tcPr>
          <w:p>
            <w:pPr>
              <w:widowControl/>
              <w:spacing w:line="300" w:lineRule="exac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一类疫苗儿童预防接种率达到 95%以上，适龄儿童免费接种水痘疫苗达到 95%。</w:t>
            </w:r>
          </w:p>
        </w:tc>
        <w:tc>
          <w:tcPr>
            <w:tcW w:w="5529" w:type="dxa"/>
            <w:vAlign w:val="center"/>
          </w:tcPr>
          <w:p>
            <w:pPr>
              <w:widowControl/>
              <w:spacing w:line="300" w:lineRule="exac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 xml:space="preserve">进一步规范预防接种门诊标准化建设和信息化建设，加大宣传力度，加强业务培训，提升预防接种水平。 </w:t>
            </w:r>
          </w:p>
        </w:tc>
        <w:tc>
          <w:tcPr>
            <w:tcW w:w="1551" w:type="dxa"/>
            <w:vAlign w:val="center"/>
          </w:tcPr>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卫健局</w:t>
            </w:r>
          </w:p>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疾控中心</w:t>
            </w:r>
          </w:p>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widowControl/>
              <w:spacing w:line="300" w:lineRule="exact"/>
              <w:rPr>
                <w:rFonts w:ascii="Times New Roman" w:hAnsi="Times New Roman" w:eastAsia="黑体" w:cs="Times New Roman"/>
                <w:color w:val="000000"/>
                <w:kern w:val="0"/>
                <w:sz w:val="24"/>
                <w:szCs w:val="24"/>
              </w:rPr>
            </w:pPr>
            <w:r>
              <w:rPr>
                <w:rFonts w:ascii="Times New Roman" w:hAnsi="Times New Roman" w:eastAsia="仿宋" w:cs="Times New Roman"/>
                <w:color w:val="000000"/>
                <w:kern w:val="0"/>
                <w:sz w:val="24"/>
                <w:szCs w:val="24"/>
              </w:rPr>
              <w:t>4</w:t>
            </w:r>
          </w:p>
        </w:tc>
        <w:tc>
          <w:tcPr>
            <w:tcW w:w="1654" w:type="dxa"/>
            <w:vAlign w:val="center"/>
          </w:tcPr>
          <w:p>
            <w:pPr>
              <w:widowControl/>
              <w:spacing w:line="300" w:lineRule="exact"/>
              <w:rPr>
                <w:rFonts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重大传染病防制</w:t>
            </w:r>
          </w:p>
        </w:tc>
        <w:tc>
          <w:tcPr>
            <w:tcW w:w="4252" w:type="dxa"/>
            <w:vAlign w:val="center"/>
          </w:tcPr>
          <w:p>
            <w:pPr>
              <w:widowControl/>
              <w:spacing w:line="300" w:lineRule="exac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疑似/肺结核患者总体到位率 95%以上。</w:t>
            </w:r>
          </w:p>
        </w:tc>
        <w:tc>
          <w:tcPr>
            <w:tcW w:w="5529" w:type="dxa"/>
            <w:vAlign w:val="center"/>
          </w:tcPr>
          <w:p>
            <w:pPr>
              <w:widowControl/>
              <w:spacing w:line="300" w:lineRule="exac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加大与定点医院的沟通协调，加强基层医疗机构的检测能力，提高随访管理力度和成效。</w:t>
            </w:r>
          </w:p>
        </w:tc>
        <w:tc>
          <w:tcPr>
            <w:tcW w:w="1551" w:type="dxa"/>
            <w:vAlign w:val="center"/>
          </w:tcPr>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卫健局</w:t>
            </w:r>
          </w:p>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疾控中心</w:t>
            </w:r>
          </w:p>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restart"/>
            <w:vAlign w:val="center"/>
          </w:tcPr>
          <w:p>
            <w:pPr>
              <w:widowControl/>
              <w:spacing w:line="300" w:lineRule="exact"/>
              <w:rPr>
                <w:rFonts w:ascii="Times New Roman" w:hAnsi="Times New Roman" w:eastAsia="黑体" w:cs="Times New Roman"/>
                <w:color w:val="000000"/>
                <w:kern w:val="0"/>
                <w:sz w:val="24"/>
                <w:szCs w:val="24"/>
              </w:rPr>
            </w:pPr>
            <w:r>
              <w:rPr>
                <w:rFonts w:ascii="Times New Roman" w:hAnsi="Times New Roman" w:eastAsia="仿宋" w:cs="Times New Roman"/>
                <w:color w:val="000000"/>
                <w:kern w:val="0"/>
                <w:sz w:val="24"/>
                <w:szCs w:val="24"/>
              </w:rPr>
              <w:t>5</w:t>
            </w:r>
          </w:p>
        </w:tc>
        <w:tc>
          <w:tcPr>
            <w:tcW w:w="1654" w:type="dxa"/>
            <w:vMerge w:val="restart"/>
            <w:vAlign w:val="center"/>
          </w:tcPr>
          <w:p>
            <w:pPr>
              <w:widowControl/>
              <w:spacing w:line="300" w:lineRule="exac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慢病防制</w:t>
            </w:r>
          </w:p>
        </w:tc>
        <w:tc>
          <w:tcPr>
            <w:tcW w:w="4252" w:type="dxa"/>
            <w:vAlign w:val="center"/>
          </w:tcPr>
          <w:p>
            <w:pPr>
              <w:widowControl/>
              <w:spacing w:line="300" w:lineRule="exac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逐年提高人均预期寿命值，逐年降低人均重大慢性病过早死亡率 。</w:t>
            </w:r>
          </w:p>
        </w:tc>
        <w:tc>
          <w:tcPr>
            <w:tcW w:w="5529" w:type="dxa"/>
            <w:vAlign w:val="center"/>
          </w:tcPr>
          <w:p>
            <w:pPr>
              <w:widowControl/>
              <w:spacing w:line="300" w:lineRule="exac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 xml:space="preserve">巩固慢病防控示范区建设成果，按上级要求落实国家级慢病防控示范区复评验收工作。 </w:t>
            </w:r>
          </w:p>
        </w:tc>
        <w:tc>
          <w:tcPr>
            <w:tcW w:w="1551" w:type="dxa"/>
            <w:vAlign w:val="center"/>
          </w:tcPr>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vAlign w:val="center"/>
          </w:tcPr>
          <w:p>
            <w:pPr>
              <w:widowControl/>
              <w:spacing w:line="300" w:lineRule="exact"/>
              <w:rPr>
                <w:rFonts w:ascii="Times New Roman" w:hAnsi="Times New Roman" w:eastAsia="黑体" w:cs="Times New Roman"/>
                <w:color w:val="000000"/>
                <w:kern w:val="0"/>
                <w:sz w:val="24"/>
                <w:szCs w:val="20"/>
              </w:rPr>
            </w:pPr>
          </w:p>
        </w:tc>
        <w:tc>
          <w:tcPr>
            <w:tcW w:w="1654" w:type="dxa"/>
            <w:vMerge w:val="continue"/>
            <w:vAlign w:val="center"/>
          </w:tcPr>
          <w:p>
            <w:pPr>
              <w:widowControl/>
              <w:spacing w:line="300" w:lineRule="exact"/>
              <w:rPr>
                <w:rFonts w:ascii="仿宋_GB2312" w:hAnsi="Times New Roman" w:eastAsia="仿宋_GB2312" w:cs="Times New Roman"/>
                <w:color w:val="000000"/>
                <w:kern w:val="0"/>
                <w:sz w:val="24"/>
                <w:szCs w:val="24"/>
              </w:rPr>
            </w:pPr>
          </w:p>
        </w:tc>
        <w:tc>
          <w:tcPr>
            <w:tcW w:w="4252" w:type="dxa"/>
            <w:vAlign w:val="center"/>
          </w:tcPr>
          <w:p>
            <w:pPr>
              <w:widowControl/>
              <w:spacing w:line="300" w:lineRule="exac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逐年提升严重精神障碍报告患病率、规范管理率、规律服药率三项核心指标。</w:t>
            </w:r>
          </w:p>
        </w:tc>
        <w:tc>
          <w:tcPr>
            <w:tcW w:w="5529" w:type="dxa"/>
            <w:vAlign w:val="center"/>
          </w:tcPr>
          <w:p>
            <w:pPr>
              <w:widowControl/>
              <w:spacing w:line="300" w:lineRule="exac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加强与专科医院的协作，不断提升数据录入的及时性和准确性。建立健全社区卫生服务中心发现和报告病例流程，落实信息交换、联合管理的工作制度。提升患者免费服药、参与管理的救治救助力度。</w:t>
            </w:r>
          </w:p>
        </w:tc>
        <w:tc>
          <w:tcPr>
            <w:tcW w:w="1551" w:type="dxa"/>
            <w:vAlign w:val="center"/>
          </w:tcPr>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卫健局</w:t>
            </w:r>
          </w:p>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疾控中心</w:t>
            </w:r>
          </w:p>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006" w:type="dxa"/>
            <w:vAlign w:val="center"/>
          </w:tcPr>
          <w:p>
            <w:pPr>
              <w:widowControl/>
              <w:spacing w:line="300" w:lineRule="exact"/>
              <w:rPr>
                <w:rFonts w:ascii="Times New Roman" w:hAnsi="Times New Roman" w:eastAsia="宋体" w:cs="Times New Roman"/>
                <w:kern w:val="0"/>
                <w:sz w:val="24"/>
                <w:szCs w:val="20"/>
              </w:rPr>
            </w:pPr>
            <w:r>
              <w:rPr>
                <w:rFonts w:ascii="Times New Roman" w:hAnsi="Times New Roman" w:eastAsia="仿宋" w:cs="Times New Roman"/>
                <w:color w:val="000000"/>
                <w:kern w:val="0"/>
                <w:sz w:val="24"/>
                <w:szCs w:val="20"/>
              </w:rPr>
              <w:t>6</w:t>
            </w:r>
          </w:p>
        </w:tc>
        <w:tc>
          <w:tcPr>
            <w:tcW w:w="1654" w:type="dxa"/>
            <w:vAlign w:val="center"/>
          </w:tcPr>
          <w:p>
            <w:pPr>
              <w:widowControl/>
              <w:spacing w:line="300" w:lineRule="exact"/>
              <w:rPr>
                <w:rFonts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职业病防治</w:t>
            </w:r>
          </w:p>
        </w:tc>
        <w:tc>
          <w:tcPr>
            <w:tcW w:w="4252" w:type="dxa"/>
            <w:vAlign w:val="center"/>
          </w:tcPr>
          <w:p>
            <w:pPr>
              <w:widowControl/>
              <w:spacing w:line="300" w:lineRule="exac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建立并完善重点职业病监测工作支撑体系。</w:t>
            </w:r>
          </w:p>
        </w:tc>
        <w:tc>
          <w:tcPr>
            <w:tcW w:w="5529" w:type="dxa"/>
            <w:vAlign w:val="center"/>
          </w:tcPr>
          <w:p>
            <w:pPr>
              <w:widowControl/>
              <w:spacing w:line="300" w:lineRule="exact"/>
              <w:rPr>
                <w:rFonts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 xml:space="preserve">完善工作体系，加强职业病防治技术技能培训和重点职业病的监测。 </w:t>
            </w:r>
          </w:p>
        </w:tc>
        <w:tc>
          <w:tcPr>
            <w:tcW w:w="1551" w:type="dxa"/>
            <w:vAlign w:val="center"/>
          </w:tcPr>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卫健局</w:t>
            </w:r>
          </w:p>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疾控中心</w:t>
            </w:r>
          </w:p>
          <w:p>
            <w:pPr>
              <w:widowControl/>
              <w:spacing w:line="300" w:lineRule="exac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医疗机构</w:t>
            </w:r>
          </w:p>
        </w:tc>
      </w:tr>
    </w:tbl>
    <w:p>
      <w:pPr>
        <w:rPr>
          <w:rFonts w:ascii="Times New Roman" w:hAnsi="Times New Roman" w:cs="Times New Roman"/>
        </w:rPr>
      </w:pPr>
    </w:p>
    <w:p>
      <w:pPr>
        <w:spacing w:line="570" w:lineRule="exact"/>
        <w:rPr>
          <w:rFonts w:ascii="Times New Roman" w:hAnsi="Times New Roman" w:eastAsia="方正小标宋简体" w:cs="Times New Roman"/>
          <w:sz w:val="44"/>
          <w:szCs w:val="44"/>
        </w:rPr>
        <w:sectPr>
          <w:type w:val="continuous"/>
          <w:pgSz w:w="16838" w:h="11906" w:orient="landscape"/>
          <w:pgMar w:top="2098" w:right="1531" w:bottom="1985" w:left="1531" w:header="851" w:footer="992" w:gutter="0"/>
          <w:pgNumType w:fmt="numberInDash"/>
          <w:cols w:space="425" w:num="1"/>
          <w:docGrid w:type="lines" w:linePitch="312" w:charSpace="0"/>
        </w:sectPr>
      </w:pPr>
    </w:p>
    <w:p>
      <w:pPr>
        <w:spacing w:line="57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700" w:lineRule="exact"/>
        <w:jc w:val="center"/>
        <w:rPr>
          <w:rFonts w:ascii="Times New Roman" w:hAnsi="Times New Roman" w:eastAsia="方正小标宋简体" w:cs="Times New Roman"/>
          <w:spacing w:val="-22"/>
          <w:sz w:val="44"/>
          <w:szCs w:val="44"/>
        </w:rPr>
      </w:pPr>
      <w:r>
        <w:rPr>
          <w:rFonts w:ascii="Times New Roman" w:hAnsi="Times New Roman" w:eastAsia="方正小标宋简体" w:cs="Times New Roman"/>
          <w:spacing w:val="-22"/>
          <w:sz w:val="44"/>
          <w:szCs w:val="44"/>
        </w:rPr>
        <w:t>钟楼区基层卫生健康工作争先进位三年行动方案</w:t>
      </w:r>
    </w:p>
    <w:p>
      <w:pPr>
        <w:spacing w:line="570" w:lineRule="exact"/>
        <w:ind w:firstLine="640" w:firstLineChars="200"/>
        <w:rPr>
          <w:rFonts w:ascii="Times New Roman" w:hAnsi="Times New Roman" w:eastAsia="黑体" w:cs="Times New Roman"/>
          <w:sz w:val="32"/>
          <w:szCs w:val="32"/>
        </w:rPr>
      </w:pP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坚持新时代卫生与健康工作方针和以人民健康为中心发展理念，以服务体系建设为基础，以人才队伍建设为核心，以基层运行机制为重点，建成现代化整合型基层卫生服务体系，打造高素质全能型基层卫生人才队伍、构建充满活力的基层运行机制，全面推进基层卫生事业高质量发展，更好地满足群众日益增长的健康需求。</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二、工作目标</w:t>
      </w:r>
    </w:p>
    <w:p>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基层卫生服务网络健全率100%；</w:t>
      </w:r>
    </w:p>
    <w:p>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基层医疗卫生机构基本建设达标率100%；</w:t>
      </w:r>
    </w:p>
    <w:p>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 基层医疗卫生机构门急诊人次占比提高到60%；</w:t>
      </w:r>
    </w:p>
    <w:p>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 基本公共卫生服务项目绩效考核保持全市前三；</w:t>
      </w:r>
    </w:p>
    <w:p>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 省级基层特色科室建成率40%；</w:t>
      </w:r>
    </w:p>
    <w:p>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 每万人全科医生数保持在全市处于领先。</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三、工作措施</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（一）实施基层医疗卫生服务体系建设工程。</w:t>
      </w:r>
      <w:r>
        <w:rPr>
          <w:rFonts w:ascii="Times New Roman" w:hAnsi="Times New Roman" w:eastAsia="仿宋_GB2312" w:cs="Times New Roman"/>
          <w:b/>
          <w:bCs/>
          <w:sz w:val="32"/>
          <w:szCs w:val="32"/>
        </w:rPr>
        <w:t>全面推进基层卫生基础设施建设</w:t>
      </w:r>
      <w:r>
        <w:rPr>
          <w:rFonts w:ascii="Times New Roman" w:hAnsi="Times New Roman" w:eastAsia="仿宋_GB2312" w:cs="Times New Roman"/>
          <w:sz w:val="32"/>
          <w:szCs w:val="32"/>
        </w:rPr>
        <w:t>，邹区镇卫生院启动建设，按照二级医院标准谋划新院建设；新闸街道社区卫生服务中心推进新大楼内部装修，为顺利过渡搬迁做好准备。</w:t>
      </w:r>
      <w:r>
        <w:rPr>
          <w:rFonts w:ascii="Times New Roman" w:hAnsi="Times New Roman" w:eastAsia="仿宋_GB2312" w:cs="Times New Roman"/>
          <w:b/>
          <w:bCs/>
          <w:sz w:val="32"/>
          <w:szCs w:val="32"/>
        </w:rPr>
        <w:t>加强农村区域性医疗卫生中心建设，</w:t>
      </w:r>
      <w:r>
        <w:rPr>
          <w:rFonts w:ascii="Times New Roman" w:hAnsi="Times New Roman" w:eastAsia="仿宋_GB2312" w:cs="Times New Roman"/>
          <w:sz w:val="32"/>
          <w:szCs w:val="32"/>
        </w:rPr>
        <w:t>邹区镇卫生院落实农村区域性医疗卫生中心，到2022年建成二级医院。</w:t>
      </w:r>
      <w:r>
        <w:rPr>
          <w:rFonts w:ascii="Times New Roman" w:hAnsi="Times New Roman" w:eastAsia="仿宋_GB2312" w:cs="Times New Roman"/>
          <w:b/>
          <w:bCs/>
          <w:sz w:val="32"/>
          <w:szCs w:val="32"/>
        </w:rPr>
        <w:t>推进基层机构标准化建设，</w:t>
      </w:r>
      <w:r>
        <w:rPr>
          <w:rFonts w:ascii="Times New Roman" w:hAnsi="Times New Roman" w:eastAsia="仿宋_GB2312" w:cs="Times New Roman"/>
          <w:sz w:val="32"/>
          <w:szCs w:val="32"/>
        </w:rPr>
        <w:t>开展发热门诊建设。推进新一轮社区卫生服务机构标准化建设，加强村卫生室和家庭医生规划建设，到2022年，行政村卫生室（家庭医生工作室）建设全覆盖，社区卫生服务机构100%达到规范化建设标准。</w:t>
      </w:r>
    </w:p>
    <w:p>
      <w:pPr>
        <w:spacing w:line="570" w:lineRule="exact"/>
        <w:ind w:firstLine="630"/>
        <w:rPr>
          <w:rFonts w:ascii="Times New Roman" w:hAnsi="Times New Roman" w:eastAsia="仿宋_GB2312" w:cs="Times New Roman"/>
          <w:sz w:val="32"/>
          <w:szCs w:val="32"/>
        </w:rPr>
      </w:pPr>
      <w:r>
        <w:rPr>
          <w:rFonts w:ascii="Times New Roman" w:hAnsi="Times New Roman" w:eastAsia="楷体_GB2312" w:cs="Times New Roman"/>
          <w:sz w:val="32"/>
          <w:szCs w:val="32"/>
        </w:rPr>
        <w:t>（二）实施基层医疗卫生服务能力提升工程。</w:t>
      </w:r>
      <w:r>
        <w:rPr>
          <w:rFonts w:ascii="Times New Roman" w:hAnsi="Times New Roman" w:eastAsia="仿宋_GB2312" w:cs="Times New Roman"/>
          <w:b/>
          <w:bCs/>
          <w:sz w:val="32"/>
          <w:szCs w:val="32"/>
        </w:rPr>
        <w:t>扎实开展优质服务基层行活动，</w:t>
      </w:r>
      <w:r>
        <w:rPr>
          <w:rFonts w:ascii="Times New Roman" w:hAnsi="Times New Roman" w:eastAsia="仿宋_GB2312" w:cs="Times New Roman"/>
          <w:sz w:val="32"/>
          <w:szCs w:val="32"/>
        </w:rPr>
        <w:t>2020年，五星、永红街道社区卫生服务中心达到国家推荐标准，60%的基层机构达到国家基本标准。到2022年，所有基层机构达国家基本标准，新增邹区镇卫生院达到国家推荐标准。</w:t>
      </w:r>
      <w:r>
        <w:rPr>
          <w:rFonts w:ascii="Times New Roman" w:hAnsi="Times New Roman" w:eastAsia="仿宋_GB2312" w:cs="Times New Roman"/>
          <w:b/>
          <w:bCs/>
          <w:sz w:val="32"/>
          <w:szCs w:val="32"/>
        </w:rPr>
        <w:t>着力提升社区医院建设水平，</w:t>
      </w:r>
      <w:r>
        <w:rPr>
          <w:rFonts w:ascii="Times New Roman" w:hAnsi="Times New Roman" w:eastAsia="仿宋_GB2312" w:cs="Times New Roman"/>
          <w:sz w:val="32"/>
          <w:szCs w:val="32"/>
        </w:rPr>
        <w:t>三年争取建设1家社区医院，2020年五星街道社区卫生服务中心建设社区医院，提升区域内社区医院整体建设水平。</w:t>
      </w:r>
      <w:r>
        <w:rPr>
          <w:rFonts w:ascii="Times New Roman" w:hAnsi="Times New Roman" w:eastAsia="仿宋_GB2312" w:cs="Times New Roman"/>
          <w:b/>
          <w:bCs/>
          <w:sz w:val="32"/>
          <w:szCs w:val="32"/>
        </w:rPr>
        <w:t>加强基层特色科室建设，</w:t>
      </w:r>
      <w:r>
        <w:rPr>
          <w:rFonts w:ascii="Times New Roman" w:hAnsi="Times New Roman" w:eastAsia="仿宋_GB2312" w:cs="Times New Roman"/>
          <w:sz w:val="32"/>
          <w:szCs w:val="32"/>
        </w:rPr>
        <w:t>重点向常见病、多发病、老年病领域倾斜，新增1个省级特色科室、1个省级特色科室建设单位、2个市级基层特色科室，到2022年每家基层机构至少有1个特色科室。</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 xml:space="preserve"> (三)实施基本公共卫生服务增质工程。</w:t>
      </w:r>
      <w:r>
        <w:rPr>
          <w:rFonts w:ascii="Times New Roman" w:hAnsi="Times New Roman" w:eastAsia="仿宋_GB2312" w:cs="Times New Roman"/>
          <w:b/>
          <w:bCs/>
          <w:sz w:val="32"/>
          <w:szCs w:val="32"/>
        </w:rPr>
        <w:t>提高项目经费标准，</w:t>
      </w:r>
      <w:r>
        <w:rPr>
          <w:rFonts w:ascii="Times New Roman" w:hAnsi="Times New Roman" w:eastAsia="仿宋_GB2312" w:cs="Times New Roman"/>
          <w:sz w:val="32"/>
          <w:szCs w:val="32"/>
        </w:rPr>
        <w:t>2020年，全市原基本公共卫生服务经费补助标准达到83元，到2022年经费标准不低于100元，并落实新划入项目的经费保障。</w:t>
      </w:r>
      <w:r>
        <w:rPr>
          <w:rFonts w:ascii="Times New Roman" w:hAnsi="Times New Roman" w:eastAsia="仿宋_GB2312" w:cs="Times New Roman"/>
          <w:b/>
          <w:bCs/>
          <w:sz w:val="32"/>
          <w:szCs w:val="32"/>
        </w:rPr>
        <w:t>强化重点人群健康管理，</w:t>
      </w:r>
      <w:r>
        <w:rPr>
          <w:rFonts w:ascii="Times New Roman" w:hAnsi="Times New Roman" w:eastAsia="仿宋_GB2312" w:cs="Times New Roman"/>
          <w:sz w:val="32"/>
          <w:szCs w:val="32"/>
        </w:rPr>
        <w:t>制定《钟楼区老人健康体检服务实施方案》，推动老年人健康体检服务纳入民生实事项目，2020年居民健康档案建档率、孕产妇健康管理率达到90%以上，老年人健康管理率力争达到75%，目标人群中医药健康管理率达65%以上。</w:t>
      </w:r>
      <w:r>
        <w:rPr>
          <w:rFonts w:ascii="Times New Roman" w:hAnsi="Times New Roman" w:eastAsia="仿宋_GB2312" w:cs="Times New Roman"/>
          <w:b/>
          <w:bCs/>
          <w:sz w:val="32"/>
          <w:szCs w:val="32"/>
        </w:rPr>
        <w:t>推进医防融合，</w:t>
      </w:r>
      <w:r>
        <w:rPr>
          <w:rFonts w:ascii="Times New Roman" w:hAnsi="Times New Roman" w:eastAsia="仿宋_GB2312" w:cs="Times New Roman"/>
          <w:sz w:val="32"/>
          <w:szCs w:val="32"/>
        </w:rPr>
        <w:t>以高血压、糖尿病为切入点，通过家庭医生签约服务将基本公共卫生服务、基本医疗、健康管理融合为一体，实行“五统一”管理，形成高血压、糖尿病医防融合的钟楼模式。</w:t>
      </w:r>
      <w:r>
        <w:rPr>
          <w:rFonts w:ascii="Times New Roman" w:hAnsi="Times New Roman" w:eastAsia="仿宋_GB2312" w:cs="Times New Roman"/>
          <w:b/>
          <w:bCs/>
          <w:sz w:val="32"/>
          <w:szCs w:val="32"/>
        </w:rPr>
        <w:t>提升服务效率，</w:t>
      </w:r>
      <w:r>
        <w:rPr>
          <w:rFonts w:ascii="Times New Roman" w:hAnsi="Times New Roman" w:eastAsia="仿宋_GB2312" w:cs="Times New Roman"/>
          <w:sz w:val="32"/>
          <w:szCs w:val="32"/>
        </w:rPr>
        <w:t>将基本公共卫生服务交家庭医生团队承担，将从事公共卫生、基本医疗、健康管理的不同人员和服务融合一体，集中连续提供服务。</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（四）实施家庭医生签约服务提效工程。</w:t>
      </w:r>
      <w:r>
        <w:rPr>
          <w:rFonts w:ascii="Times New Roman" w:hAnsi="Times New Roman" w:eastAsia="仿宋_GB2312" w:cs="Times New Roman"/>
          <w:b/>
          <w:bCs/>
          <w:sz w:val="32"/>
          <w:szCs w:val="32"/>
        </w:rPr>
        <w:t>巩固签约覆盖面，</w:t>
      </w:r>
      <w:r>
        <w:rPr>
          <w:rFonts w:ascii="Times New Roman" w:hAnsi="Times New Roman" w:eastAsia="仿宋_GB2312" w:cs="Times New Roman"/>
          <w:sz w:val="32"/>
          <w:szCs w:val="32"/>
        </w:rPr>
        <w:t>重点人群签约率稳定在75%，其中有偿个性化签约率不低于10%，七类特殊人群应签尽签。</w:t>
      </w:r>
      <w:r>
        <w:rPr>
          <w:rFonts w:ascii="Times New Roman" w:hAnsi="Times New Roman" w:eastAsia="仿宋_GB2312" w:cs="Times New Roman"/>
          <w:b/>
          <w:bCs/>
          <w:sz w:val="32"/>
          <w:szCs w:val="32"/>
        </w:rPr>
        <w:t>创新签约服务模式，</w:t>
      </w:r>
      <w:r>
        <w:rPr>
          <w:rFonts w:ascii="Times New Roman" w:hAnsi="Times New Roman" w:eastAsia="仿宋_GB2312" w:cs="Times New Roman"/>
          <w:sz w:val="32"/>
          <w:szCs w:val="32"/>
        </w:rPr>
        <w:t>利用全市高血压糖尿病门诊用药补偿政策，创新在医保政策支撑下的慢病管理服务机制；开展商业保险优质客户专项签约服务，探索商业保险支持下的家庭医生签约服务机制。</w:t>
      </w:r>
      <w:r>
        <w:rPr>
          <w:rFonts w:ascii="Times New Roman" w:hAnsi="Times New Roman" w:eastAsia="仿宋_GB2312" w:cs="Times New Roman"/>
          <w:b/>
          <w:bCs/>
          <w:sz w:val="32"/>
          <w:szCs w:val="32"/>
        </w:rPr>
        <w:t>推进开展预约上门服务，</w:t>
      </w:r>
      <w:r>
        <w:rPr>
          <w:rFonts w:ascii="Times New Roman" w:hAnsi="Times New Roman" w:eastAsia="仿宋_GB2312" w:cs="Times New Roman"/>
          <w:sz w:val="32"/>
          <w:szCs w:val="32"/>
        </w:rPr>
        <w:t>2020年，选择荷花池、南大街街道社区卫生服务中心开展预约上门和家庭病床服务试点，到2022年所有基层机构均开展预约上门服务，较好满足特殊家庭服务需求。</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（五）实施基层卫生人才强基工程。</w:t>
      </w:r>
      <w:r>
        <w:rPr>
          <w:rFonts w:ascii="Times New Roman" w:hAnsi="Times New Roman" w:eastAsia="仿宋_GB2312" w:cs="Times New Roman"/>
          <w:b/>
          <w:bCs/>
          <w:sz w:val="32"/>
          <w:szCs w:val="32"/>
        </w:rPr>
        <w:t>加大卫生人才引进和培养力度，</w:t>
      </w:r>
      <w:r>
        <w:rPr>
          <w:rFonts w:ascii="Times New Roman" w:hAnsi="Times New Roman" w:eastAsia="仿宋_GB2312" w:cs="Times New Roman"/>
          <w:sz w:val="32"/>
          <w:szCs w:val="32"/>
        </w:rPr>
        <w:t>每年为基层新招录补充15名卫生人员。</w:t>
      </w:r>
      <w:r>
        <w:rPr>
          <w:rFonts w:ascii="Times New Roman" w:hAnsi="Times New Roman" w:eastAsia="仿宋_GB2312" w:cs="Times New Roman"/>
          <w:b/>
          <w:bCs/>
          <w:sz w:val="32"/>
          <w:szCs w:val="32"/>
        </w:rPr>
        <w:t>加强岗位培训，</w:t>
      </w:r>
      <w:r>
        <w:rPr>
          <w:rFonts w:ascii="Times New Roman" w:hAnsi="Times New Roman" w:eastAsia="仿宋_GB2312" w:cs="Times New Roman"/>
          <w:sz w:val="32"/>
          <w:szCs w:val="32"/>
        </w:rPr>
        <w:t>实施基层糖尿病和高血压首席医生培训项目，用3年时间培训24名基层糖尿病和高血压首席医生。推进基层卫生人员实训基地建设，到2022年有1家基层卫生人员实训基地，建立常态化轮训制度。</w:t>
      </w:r>
      <w:r>
        <w:rPr>
          <w:rFonts w:ascii="Times New Roman" w:hAnsi="Times New Roman" w:eastAsia="仿宋_GB2312" w:cs="Times New Roman"/>
          <w:b/>
          <w:bCs/>
          <w:sz w:val="32"/>
          <w:szCs w:val="32"/>
        </w:rPr>
        <w:t>拓展职业发展前景，</w:t>
      </w:r>
      <w:r>
        <w:rPr>
          <w:rFonts w:ascii="Times New Roman" w:hAnsi="Times New Roman" w:eastAsia="仿宋_GB2312" w:cs="Times New Roman"/>
          <w:sz w:val="32"/>
          <w:szCs w:val="32"/>
        </w:rPr>
        <w:t>将基层单位的中、高级专业技术岗位比例提高到50%、20%，落实基层全科医生高级职称超岗位聘用政策。按照不低于乡镇卫生院、社区卫生服务中心卫技人员总数10%的比例，遴选基层卫生骨干人才。</w:t>
      </w:r>
    </w:p>
    <w:p>
      <w:pPr>
        <w:spacing w:line="570" w:lineRule="exact"/>
        <w:ind w:firstLine="630"/>
        <w:rPr>
          <w:rFonts w:ascii="Times New Roman" w:hAnsi="Times New Roman" w:eastAsia="仿宋_GB2312" w:cs="Times New Roman"/>
          <w:sz w:val="32"/>
          <w:szCs w:val="32"/>
        </w:rPr>
        <w:sectPr>
          <w:headerReference r:id="rId6" w:type="default"/>
          <w:footerReference r:id="rId7" w:type="default"/>
          <w:type w:val="continuous"/>
          <w:pgSz w:w="11906" w:h="16838"/>
          <w:pgMar w:top="2098" w:right="1531" w:bottom="1985" w:left="1531" w:header="851" w:footer="992" w:gutter="0"/>
          <w:pgNumType w:fmt="numberInDash"/>
          <w:cols w:space="720" w:num="1"/>
          <w:docGrid w:type="lines" w:linePitch="312" w:charSpace="0"/>
        </w:sectPr>
      </w:pPr>
      <w:r>
        <w:rPr>
          <w:rFonts w:ascii="Times New Roman" w:hAnsi="Times New Roman" w:eastAsia="楷体_GB2312" w:cs="Times New Roman"/>
          <w:sz w:val="32"/>
          <w:szCs w:val="32"/>
        </w:rPr>
        <w:t>（六）实施基层运行激励机制完善工程。</w:t>
      </w:r>
      <w:r>
        <w:rPr>
          <w:rFonts w:ascii="Times New Roman" w:hAnsi="Times New Roman" w:eastAsia="仿宋_GB2312" w:cs="Times New Roman"/>
          <w:sz w:val="32"/>
          <w:szCs w:val="32"/>
        </w:rPr>
        <w:t>落实基层医疗卫生机构公益一类财政保障、公益二类绩效管理政策规定。实行以区为单位核定基层机构绩效工资总量，区域内绩效工资总量统筹调配使用。落实收支结余可提取60%用于人员奖励，签约服务费单独核算，骨干人才协议工资制等激励政策。提高基层医保分配额度，参保居民在基层医疗卫生机构的就诊比例达到60%以上，支付给基层医疗卫生机构的医保基金应达当年筹资总额的30%以上，并确保医保基金支付给基层医疗卫生机构的比例与参保人员在基层就医比例保持同步增长。</w:t>
      </w:r>
    </w:p>
    <w:p>
      <w:pPr>
        <w:pStyle w:val="5"/>
        <w:shd w:val="clear" w:color="auto" w:fill="FFFFFF"/>
        <w:spacing w:before="0" w:beforeAutospacing="0" w:after="0" w:afterAutospacing="0" w:line="660" w:lineRule="exact"/>
        <w:ind w:firstLine="880" w:firstLineChars="200"/>
        <w:jc w:val="center"/>
        <w:textAlignment w:val="baseline"/>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钟楼区基层卫生健康争先进位三年行动方案任务分解表</w:t>
      </w:r>
    </w:p>
    <w:tbl>
      <w:tblPr>
        <w:tblStyle w:val="6"/>
        <w:tblW w:w="144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559"/>
        <w:gridCol w:w="8539"/>
        <w:gridCol w:w="17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817" w:type="dxa"/>
            <w:vAlign w:val="center"/>
          </w:tcPr>
          <w:p>
            <w:pPr>
              <w:pStyle w:val="5"/>
              <w:spacing w:before="0" w:beforeAutospacing="0" w:after="0" w:afterAutospacing="0" w:line="400" w:lineRule="exact"/>
              <w:jc w:val="center"/>
              <w:textAlignment w:val="baseline"/>
              <w:rPr>
                <w:rFonts w:ascii="Times New Roman" w:hAnsi="Times New Roman" w:eastAsia="黑体" w:cs="Times New Roman"/>
                <w:color w:val="000000"/>
                <w:sz w:val="28"/>
                <w:szCs w:val="21"/>
              </w:rPr>
            </w:pPr>
            <w:r>
              <w:rPr>
                <w:rFonts w:ascii="Times New Roman" w:hAnsi="Times New Roman" w:eastAsia="黑体" w:cs="Times New Roman"/>
                <w:color w:val="000000"/>
                <w:sz w:val="28"/>
                <w:szCs w:val="21"/>
              </w:rPr>
              <w:t>序号</w:t>
            </w:r>
          </w:p>
        </w:tc>
        <w:tc>
          <w:tcPr>
            <w:tcW w:w="1559" w:type="dxa"/>
            <w:vAlign w:val="center"/>
          </w:tcPr>
          <w:p>
            <w:pPr>
              <w:pStyle w:val="5"/>
              <w:spacing w:before="0" w:beforeAutospacing="0" w:after="0" w:afterAutospacing="0" w:line="400" w:lineRule="exact"/>
              <w:jc w:val="center"/>
              <w:textAlignment w:val="baseline"/>
              <w:rPr>
                <w:rFonts w:ascii="Times New Roman" w:hAnsi="Times New Roman" w:eastAsia="黑体" w:cs="Times New Roman"/>
                <w:color w:val="000000"/>
                <w:sz w:val="28"/>
                <w:szCs w:val="21"/>
              </w:rPr>
            </w:pPr>
            <w:r>
              <w:rPr>
                <w:rFonts w:ascii="Times New Roman" w:hAnsi="Times New Roman" w:eastAsia="黑体" w:cs="Times New Roman"/>
                <w:color w:val="000000"/>
                <w:sz w:val="28"/>
                <w:szCs w:val="21"/>
              </w:rPr>
              <w:t>项目名称</w:t>
            </w:r>
          </w:p>
        </w:tc>
        <w:tc>
          <w:tcPr>
            <w:tcW w:w="8539" w:type="dxa"/>
            <w:vAlign w:val="center"/>
          </w:tcPr>
          <w:p>
            <w:pPr>
              <w:pStyle w:val="5"/>
              <w:spacing w:before="0" w:beforeAutospacing="0" w:after="0" w:afterAutospacing="0" w:line="400" w:lineRule="exact"/>
              <w:jc w:val="center"/>
              <w:textAlignment w:val="baseline"/>
              <w:rPr>
                <w:rFonts w:ascii="Times New Roman" w:hAnsi="Times New Roman" w:eastAsia="黑体" w:cs="Times New Roman"/>
                <w:color w:val="000000"/>
                <w:sz w:val="28"/>
                <w:szCs w:val="21"/>
              </w:rPr>
            </w:pPr>
            <w:r>
              <w:rPr>
                <w:rFonts w:ascii="Times New Roman" w:hAnsi="Times New Roman" w:eastAsia="黑体" w:cs="Times New Roman"/>
                <w:color w:val="000000"/>
                <w:sz w:val="28"/>
                <w:szCs w:val="21"/>
              </w:rPr>
              <w:t>工作任务</w:t>
            </w:r>
          </w:p>
        </w:tc>
        <w:tc>
          <w:tcPr>
            <w:tcW w:w="1701" w:type="dxa"/>
            <w:vAlign w:val="center"/>
          </w:tcPr>
          <w:p>
            <w:pPr>
              <w:pStyle w:val="5"/>
              <w:spacing w:before="0" w:beforeAutospacing="0" w:after="0" w:afterAutospacing="0" w:line="400" w:lineRule="exact"/>
              <w:jc w:val="center"/>
              <w:textAlignment w:val="baseline"/>
              <w:rPr>
                <w:rFonts w:ascii="Times New Roman" w:hAnsi="Times New Roman" w:eastAsia="黑体" w:cs="Times New Roman"/>
                <w:color w:val="000000"/>
                <w:sz w:val="28"/>
                <w:szCs w:val="21"/>
              </w:rPr>
            </w:pPr>
            <w:r>
              <w:rPr>
                <w:rFonts w:ascii="Times New Roman" w:hAnsi="Times New Roman" w:eastAsia="黑体" w:cs="Times New Roman"/>
                <w:color w:val="000000"/>
                <w:sz w:val="28"/>
                <w:szCs w:val="21"/>
              </w:rPr>
              <w:t>工作进度</w:t>
            </w:r>
          </w:p>
        </w:tc>
        <w:tc>
          <w:tcPr>
            <w:tcW w:w="1843" w:type="dxa"/>
            <w:vAlign w:val="center"/>
          </w:tcPr>
          <w:p>
            <w:pPr>
              <w:pStyle w:val="5"/>
              <w:spacing w:before="0" w:beforeAutospacing="0" w:after="0" w:afterAutospacing="0" w:line="400" w:lineRule="exact"/>
              <w:jc w:val="center"/>
              <w:textAlignment w:val="baseline"/>
              <w:rPr>
                <w:rFonts w:ascii="Times New Roman" w:hAnsi="Times New Roman" w:eastAsia="黑体" w:cs="Times New Roman"/>
                <w:color w:val="000000"/>
                <w:sz w:val="28"/>
                <w:szCs w:val="21"/>
              </w:rPr>
            </w:pPr>
            <w:r>
              <w:rPr>
                <w:rFonts w:ascii="Times New Roman" w:hAnsi="Times New Roman" w:eastAsia="黑体" w:cs="Times New Roman"/>
                <w:color w:val="000000"/>
                <w:sz w:val="28"/>
                <w:szCs w:val="21"/>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817"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1</w:t>
            </w:r>
          </w:p>
        </w:tc>
        <w:tc>
          <w:tcPr>
            <w:tcW w:w="1559"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spacing w:val="-20"/>
              </w:rPr>
            </w:pPr>
            <w:r>
              <w:rPr>
                <w:rFonts w:ascii="Times New Roman" w:hAnsi="Times New Roman" w:eastAsia="仿宋_GB2312" w:cs="Times New Roman"/>
                <w:color w:val="000000"/>
                <w:spacing w:val="-20"/>
              </w:rPr>
              <w:t>整合型基层医疗卫生服务体系建设工程</w:t>
            </w:r>
          </w:p>
        </w:tc>
        <w:tc>
          <w:tcPr>
            <w:tcW w:w="8539" w:type="dxa"/>
            <w:vAlign w:val="center"/>
          </w:tcPr>
          <w:p>
            <w:pPr>
              <w:pStyle w:val="5"/>
              <w:spacing w:before="0" w:beforeAutospacing="0" w:after="0" w:afterAutospacing="0" w:line="300" w:lineRule="exact"/>
              <w:jc w:val="both"/>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1.邹区镇卫生院启动建设，新闸街道社区卫生服务中心内部装修。</w:t>
            </w:r>
          </w:p>
          <w:p>
            <w:pPr>
              <w:pStyle w:val="5"/>
              <w:spacing w:before="0" w:beforeAutospacing="0" w:after="0" w:afterAutospacing="0" w:line="300" w:lineRule="exact"/>
              <w:jc w:val="both"/>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2.邹区镇卫生院规划二级医院建设，并建成农村区域性医疗卫生中心。</w:t>
            </w:r>
          </w:p>
          <w:p>
            <w:pPr>
              <w:pStyle w:val="5"/>
              <w:spacing w:before="0" w:beforeAutospacing="0" w:after="0" w:afterAutospacing="0" w:line="300" w:lineRule="exact"/>
              <w:jc w:val="both"/>
              <w:textAlignment w:val="baseline"/>
              <w:rPr>
                <w:rFonts w:ascii="Times New Roman" w:hAnsi="Times New Roman" w:eastAsia="仿宋_GB2312" w:cs="Times New Roman"/>
                <w:color w:val="000000"/>
                <w:spacing w:val="-20"/>
              </w:rPr>
            </w:pPr>
            <w:r>
              <w:rPr>
                <w:rFonts w:ascii="Times New Roman" w:hAnsi="Times New Roman" w:eastAsia="仿宋_GB2312" w:cs="Times New Roman"/>
                <w:color w:val="000000"/>
                <w:spacing w:val="-20"/>
              </w:rPr>
              <w:t>3.行政村卫生室（家庭医生工作室）建设全覆盖，社区卫生服务机构100%达到建设标准。</w:t>
            </w:r>
          </w:p>
        </w:tc>
        <w:tc>
          <w:tcPr>
            <w:tcW w:w="1701"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2020-2022年</w:t>
            </w:r>
          </w:p>
        </w:tc>
        <w:tc>
          <w:tcPr>
            <w:tcW w:w="1843"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各医疗机构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 w:hRule="atLeast"/>
        </w:trPr>
        <w:tc>
          <w:tcPr>
            <w:tcW w:w="817"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2</w:t>
            </w:r>
          </w:p>
        </w:tc>
        <w:tc>
          <w:tcPr>
            <w:tcW w:w="1559"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基层医疗卫生服务能力提升工程</w:t>
            </w:r>
          </w:p>
        </w:tc>
        <w:tc>
          <w:tcPr>
            <w:tcW w:w="8539" w:type="dxa"/>
            <w:vAlign w:val="center"/>
          </w:tcPr>
          <w:p>
            <w:pPr>
              <w:pStyle w:val="5"/>
              <w:spacing w:before="0" w:beforeAutospacing="0" w:after="0" w:afterAutospacing="0" w:line="300" w:lineRule="exact"/>
              <w:jc w:val="both"/>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1.所有基层机构达国家基本标准，五星街道社区卫生服务中心、永红街道社区卫生服服务中心、邹区镇卫生院达到国家推荐标准。</w:t>
            </w:r>
          </w:p>
          <w:p>
            <w:pPr>
              <w:pStyle w:val="5"/>
              <w:spacing w:before="0" w:beforeAutospacing="0" w:after="0" w:afterAutospacing="0" w:line="300" w:lineRule="exact"/>
              <w:jc w:val="both"/>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2、建设1家社区医院。</w:t>
            </w:r>
          </w:p>
          <w:p>
            <w:pPr>
              <w:pStyle w:val="5"/>
              <w:spacing w:before="0" w:beforeAutospacing="0" w:after="0" w:afterAutospacing="0" w:line="300" w:lineRule="exact"/>
              <w:jc w:val="both"/>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3.每家基层乡镇卫生院（社区卫生服务中心）至少有1个特色科室，每家中心卫生院有1个省级基层特色科室。</w:t>
            </w:r>
          </w:p>
        </w:tc>
        <w:tc>
          <w:tcPr>
            <w:tcW w:w="1701"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2020-2022年</w:t>
            </w:r>
          </w:p>
        </w:tc>
        <w:tc>
          <w:tcPr>
            <w:tcW w:w="1843"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各医疗机构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trPr>
        <w:tc>
          <w:tcPr>
            <w:tcW w:w="817"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3</w:t>
            </w:r>
          </w:p>
        </w:tc>
        <w:tc>
          <w:tcPr>
            <w:tcW w:w="1559"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基本公共卫生服务增质工程</w:t>
            </w:r>
          </w:p>
        </w:tc>
        <w:tc>
          <w:tcPr>
            <w:tcW w:w="8539" w:type="dxa"/>
            <w:vAlign w:val="center"/>
          </w:tcPr>
          <w:p>
            <w:pPr>
              <w:pStyle w:val="5"/>
              <w:spacing w:before="0" w:beforeAutospacing="0" w:after="0" w:afterAutospacing="0" w:line="300" w:lineRule="exact"/>
              <w:jc w:val="both"/>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1.原基本公共卫生服务经费补助标准达到经费标准不低于100元。</w:t>
            </w:r>
          </w:p>
          <w:p>
            <w:pPr>
              <w:pStyle w:val="5"/>
              <w:spacing w:before="0" w:beforeAutospacing="0" w:after="0" w:afterAutospacing="0" w:line="300" w:lineRule="exact"/>
              <w:jc w:val="both"/>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2.实施老年人健康体检民生实事项目，老年人健康管理率力争达到75%。</w:t>
            </w:r>
          </w:p>
          <w:p>
            <w:pPr>
              <w:pStyle w:val="5"/>
              <w:spacing w:before="0" w:beforeAutospacing="0" w:after="0" w:afterAutospacing="0" w:line="300" w:lineRule="exact"/>
              <w:jc w:val="both"/>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3.以高血压、糖尿病为切入点，通过家庭医生提供综合连续健康服务。</w:t>
            </w:r>
          </w:p>
        </w:tc>
        <w:tc>
          <w:tcPr>
            <w:tcW w:w="1701"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2020-2022年</w:t>
            </w:r>
          </w:p>
        </w:tc>
        <w:tc>
          <w:tcPr>
            <w:tcW w:w="1843"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各医疗机构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817"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4</w:t>
            </w:r>
          </w:p>
        </w:tc>
        <w:tc>
          <w:tcPr>
            <w:tcW w:w="1559"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家庭医生签约服务提效工程</w:t>
            </w:r>
          </w:p>
        </w:tc>
        <w:tc>
          <w:tcPr>
            <w:tcW w:w="8539" w:type="dxa"/>
            <w:vAlign w:val="center"/>
          </w:tcPr>
          <w:p>
            <w:pPr>
              <w:pStyle w:val="5"/>
              <w:spacing w:before="0" w:beforeAutospacing="0" w:after="0" w:afterAutospacing="0" w:line="300" w:lineRule="exact"/>
              <w:jc w:val="both"/>
              <w:textAlignment w:val="baseline"/>
              <w:rPr>
                <w:rFonts w:ascii="Times New Roman" w:hAnsi="Times New Roman" w:eastAsia="仿宋_GB2312" w:cs="Times New Roman"/>
                <w:color w:val="000000"/>
                <w:spacing w:val="-20"/>
              </w:rPr>
            </w:pPr>
            <w:r>
              <w:rPr>
                <w:rFonts w:ascii="Times New Roman" w:hAnsi="Times New Roman" w:eastAsia="仿宋_GB2312" w:cs="Times New Roman"/>
                <w:color w:val="000000"/>
                <w:spacing w:val="-20"/>
              </w:rPr>
              <w:t>1.2020年重点人群签约率75%，其中有偿个性化签约率不低于10%，七类特殊人群应签尽签。</w:t>
            </w:r>
          </w:p>
          <w:p>
            <w:pPr>
              <w:pStyle w:val="5"/>
              <w:spacing w:before="0" w:beforeAutospacing="0" w:after="0" w:afterAutospacing="0" w:line="300" w:lineRule="exact"/>
              <w:jc w:val="both"/>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2.创新在医保政策支撑下的慢病管理服务机制。</w:t>
            </w:r>
          </w:p>
          <w:p>
            <w:pPr>
              <w:pStyle w:val="5"/>
              <w:spacing w:before="0" w:beforeAutospacing="0" w:after="0" w:afterAutospacing="0" w:line="300" w:lineRule="exact"/>
              <w:jc w:val="both"/>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3.所有基层机构均开展预约预约上门和家庭病床服务。</w:t>
            </w:r>
          </w:p>
        </w:tc>
        <w:tc>
          <w:tcPr>
            <w:tcW w:w="1701"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2020-2022年</w:t>
            </w:r>
          </w:p>
        </w:tc>
        <w:tc>
          <w:tcPr>
            <w:tcW w:w="1843"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各医疗机构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817"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5</w:t>
            </w:r>
          </w:p>
        </w:tc>
        <w:tc>
          <w:tcPr>
            <w:tcW w:w="1559" w:type="dxa"/>
            <w:vAlign w:val="center"/>
          </w:tcPr>
          <w:p>
            <w:pPr>
              <w:pStyle w:val="5"/>
              <w:spacing w:before="0" w:beforeAutospacing="0" w:after="0" w:afterAutospacing="0" w:line="300" w:lineRule="exact"/>
              <w:jc w:val="both"/>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基层卫生人才强基工程</w:t>
            </w:r>
          </w:p>
        </w:tc>
        <w:tc>
          <w:tcPr>
            <w:tcW w:w="8539" w:type="dxa"/>
            <w:vAlign w:val="center"/>
          </w:tcPr>
          <w:p>
            <w:pPr>
              <w:pStyle w:val="5"/>
              <w:spacing w:before="0" w:beforeAutospacing="0" w:after="0" w:afterAutospacing="0" w:line="300" w:lineRule="exact"/>
              <w:jc w:val="both"/>
              <w:textAlignment w:val="baseline"/>
              <w:rPr>
                <w:rFonts w:ascii="Times New Roman" w:hAnsi="Times New Roman" w:eastAsia="仿宋_GB2312" w:cs="Times New Roman"/>
              </w:rPr>
            </w:pPr>
            <w:r>
              <w:rPr>
                <w:rFonts w:ascii="Times New Roman" w:hAnsi="Times New Roman" w:eastAsia="仿宋_GB2312" w:cs="Times New Roman"/>
              </w:rPr>
              <w:t>1.每年为基层新招录补充15名卫生人员。</w:t>
            </w:r>
          </w:p>
          <w:p>
            <w:pPr>
              <w:pStyle w:val="5"/>
              <w:spacing w:before="0" w:beforeAutospacing="0" w:after="0" w:afterAutospacing="0" w:line="300" w:lineRule="exact"/>
              <w:jc w:val="both"/>
              <w:textAlignment w:val="baseline"/>
              <w:rPr>
                <w:rFonts w:ascii="Times New Roman" w:hAnsi="Times New Roman" w:eastAsia="仿宋_GB2312" w:cs="Times New Roman"/>
              </w:rPr>
            </w:pPr>
            <w:r>
              <w:rPr>
                <w:rFonts w:ascii="Times New Roman" w:hAnsi="Times New Roman" w:eastAsia="仿宋_GB2312" w:cs="Times New Roman"/>
              </w:rPr>
              <w:t>2.培训24名基层糖尿病和高血压首席医生。</w:t>
            </w:r>
          </w:p>
          <w:p>
            <w:pPr>
              <w:pStyle w:val="5"/>
              <w:spacing w:before="0" w:beforeAutospacing="0" w:after="0" w:afterAutospacing="0" w:line="300" w:lineRule="exact"/>
              <w:jc w:val="both"/>
              <w:textAlignment w:val="baseline"/>
              <w:rPr>
                <w:rFonts w:ascii="Times New Roman" w:hAnsi="Times New Roman" w:eastAsia="仿宋_GB2312" w:cs="Times New Roman"/>
                <w:spacing w:val="-20"/>
              </w:rPr>
            </w:pPr>
            <w:r>
              <w:rPr>
                <w:rFonts w:ascii="Times New Roman" w:hAnsi="Times New Roman" w:eastAsia="仿宋_GB2312" w:cs="Times New Roman"/>
                <w:spacing w:val="-20"/>
              </w:rPr>
              <w:t>3.按照不低于乡镇卫生院、社区卫生服务中心卫技人员总数10%的比例，遴选基层卫生骨干人才。</w:t>
            </w:r>
          </w:p>
          <w:p>
            <w:pPr>
              <w:pStyle w:val="5"/>
              <w:spacing w:before="0" w:beforeAutospacing="0" w:after="0" w:afterAutospacing="0" w:line="300" w:lineRule="exact"/>
              <w:jc w:val="both"/>
              <w:textAlignment w:val="baseline"/>
              <w:rPr>
                <w:rFonts w:ascii="Times New Roman" w:hAnsi="Times New Roman" w:eastAsia="仿宋_GB2312" w:cs="Times New Roman"/>
              </w:rPr>
            </w:pPr>
            <w:r>
              <w:rPr>
                <w:rFonts w:ascii="Times New Roman" w:hAnsi="Times New Roman" w:eastAsia="仿宋_GB2312" w:cs="Times New Roman"/>
              </w:rPr>
              <w:t>4.将基层单位高级专业技术岗位比例提高到20%。</w:t>
            </w:r>
          </w:p>
        </w:tc>
        <w:tc>
          <w:tcPr>
            <w:tcW w:w="1701"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2020-2022年</w:t>
            </w:r>
          </w:p>
        </w:tc>
        <w:tc>
          <w:tcPr>
            <w:tcW w:w="1843"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各医疗机构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817" w:type="dxa"/>
            <w:tcBorders>
              <w:bottom w:val="single" w:color="auto" w:sz="4" w:space="0"/>
            </w:tcBorders>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color w:val="000000"/>
              </w:rPr>
              <w:t>6</w:t>
            </w:r>
          </w:p>
        </w:tc>
        <w:tc>
          <w:tcPr>
            <w:tcW w:w="1559" w:type="dxa"/>
            <w:tcBorders>
              <w:bottom w:val="single" w:color="auto" w:sz="4" w:space="0"/>
            </w:tcBorders>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rPr>
            </w:pPr>
            <w:r>
              <w:rPr>
                <w:rFonts w:ascii="Times New Roman" w:hAnsi="Times New Roman" w:eastAsia="仿宋_GB2312" w:cs="Times New Roman"/>
              </w:rPr>
              <w:t>基层运行激励机制完善工程</w:t>
            </w:r>
          </w:p>
        </w:tc>
        <w:tc>
          <w:tcPr>
            <w:tcW w:w="8539" w:type="dxa"/>
            <w:tcBorders>
              <w:bottom w:val="single" w:color="auto" w:sz="4" w:space="0"/>
            </w:tcBorders>
            <w:vAlign w:val="center"/>
          </w:tcPr>
          <w:p>
            <w:pPr>
              <w:pStyle w:val="5"/>
              <w:spacing w:before="0" w:beforeAutospacing="0" w:after="0" w:afterAutospacing="0" w:line="300" w:lineRule="exact"/>
              <w:jc w:val="both"/>
              <w:textAlignment w:val="baseline"/>
              <w:rPr>
                <w:rFonts w:ascii="Times New Roman" w:hAnsi="Times New Roman" w:eastAsia="仿宋_GB2312" w:cs="Times New Roman"/>
              </w:rPr>
            </w:pPr>
            <w:r>
              <w:rPr>
                <w:rFonts w:ascii="Times New Roman" w:hAnsi="Times New Roman" w:eastAsia="仿宋_GB2312" w:cs="Times New Roman"/>
              </w:rPr>
              <w:t>1.落实基层医疗卫生机构公益一类财政保障、公益二类绩效管理政策规定。</w:t>
            </w:r>
          </w:p>
          <w:p>
            <w:pPr>
              <w:pStyle w:val="5"/>
              <w:spacing w:before="0" w:beforeAutospacing="0" w:after="0" w:afterAutospacing="0" w:line="300" w:lineRule="exact"/>
              <w:jc w:val="both"/>
              <w:textAlignment w:val="baseline"/>
              <w:rPr>
                <w:rFonts w:ascii="Times New Roman" w:hAnsi="Times New Roman" w:eastAsia="仿宋_GB2312" w:cs="Times New Roman"/>
              </w:rPr>
            </w:pPr>
            <w:r>
              <w:rPr>
                <w:rFonts w:ascii="Times New Roman" w:hAnsi="Times New Roman" w:eastAsia="仿宋_GB2312" w:cs="Times New Roman"/>
              </w:rPr>
              <w:t>2.落实收支结余可提取60%用于人员奖励，签约服务费单独核算，骨干人才协议工资制等激励政策。</w:t>
            </w:r>
          </w:p>
          <w:p>
            <w:pPr>
              <w:pStyle w:val="5"/>
              <w:spacing w:before="0" w:beforeAutospacing="0" w:after="0" w:afterAutospacing="0" w:line="300" w:lineRule="exact"/>
              <w:jc w:val="both"/>
              <w:textAlignment w:val="baseline"/>
              <w:rPr>
                <w:rFonts w:ascii="Times New Roman" w:hAnsi="Times New Roman" w:eastAsia="仿宋_GB2312" w:cs="Times New Roman"/>
              </w:rPr>
            </w:pPr>
            <w:r>
              <w:rPr>
                <w:rFonts w:ascii="Times New Roman" w:hAnsi="Times New Roman" w:eastAsia="仿宋_GB2312" w:cs="Times New Roman"/>
              </w:rPr>
              <w:t>3.参保居民在基层机构的就诊比例达到60%以上，支付给基层机构的医保基金应达当年筹资总额的30%。</w:t>
            </w:r>
          </w:p>
        </w:tc>
        <w:tc>
          <w:tcPr>
            <w:tcW w:w="1701" w:type="dxa"/>
            <w:vAlign w:val="center"/>
          </w:tcPr>
          <w:p>
            <w:pPr>
              <w:pStyle w:val="11"/>
              <w:spacing w:line="300" w:lineRule="exact"/>
              <w:jc w:val="center"/>
              <w:rPr>
                <w:rFonts w:ascii="Times New Roman" w:hAnsi="Times New Roman" w:eastAsia="仿宋_GB2312"/>
                <w:sz w:val="24"/>
              </w:rPr>
            </w:pPr>
            <w:r>
              <w:rPr>
                <w:rFonts w:ascii="Times New Roman" w:hAnsi="Times New Roman" w:eastAsia="仿宋_GB2312"/>
                <w:sz w:val="24"/>
              </w:rPr>
              <w:t>2020-2022年</w:t>
            </w:r>
          </w:p>
        </w:tc>
        <w:tc>
          <w:tcPr>
            <w:tcW w:w="1843" w:type="dxa"/>
            <w:vAlign w:val="center"/>
          </w:tcPr>
          <w:p>
            <w:pPr>
              <w:pStyle w:val="11"/>
              <w:spacing w:line="300" w:lineRule="exact"/>
              <w:jc w:val="center"/>
              <w:rPr>
                <w:rFonts w:ascii="Times New Roman" w:hAnsi="Times New Roman" w:eastAsia="仿宋_GB2312"/>
                <w:color w:val="000000"/>
                <w:sz w:val="24"/>
              </w:rPr>
            </w:pPr>
            <w:r>
              <w:rPr>
                <w:rFonts w:ascii="Times New Roman" w:hAnsi="Times New Roman" w:eastAsia="仿宋_GB2312"/>
                <w:color w:val="000000"/>
                <w:sz w:val="24"/>
              </w:rPr>
              <w:t>各医疗机构</w:t>
            </w:r>
          </w:p>
        </w:tc>
      </w:tr>
    </w:tbl>
    <w:p>
      <w:pPr>
        <w:spacing w:line="560" w:lineRule="exact"/>
        <w:rPr>
          <w:rFonts w:ascii="Times New Roman" w:hAnsi="Times New Roman" w:eastAsia="仿宋_GB2312" w:cs="Times New Roman"/>
          <w:sz w:val="32"/>
          <w:szCs w:val="32"/>
        </w:rPr>
        <w:sectPr>
          <w:type w:val="continuous"/>
          <w:pgSz w:w="16838" w:h="11906" w:orient="landscape"/>
          <w:pgMar w:top="2098" w:right="1531" w:bottom="1985" w:left="1531" w:header="851" w:footer="992" w:gutter="0"/>
          <w:pgNumType w:fmt="numberInDash"/>
          <w:cols w:space="720" w:num="1"/>
          <w:docGrid w:type="lines" w:linePitch="312" w:charSpace="0"/>
        </w:sectPr>
      </w:pPr>
    </w:p>
    <w:p>
      <w:pPr>
        <w:pStyle w:val="5"/>
        <w:shd w:val="clear" w:color="auto" w:fill="FFFFFF"/>
        <w:spacing w:before="0" w:beforeAutospacing="0" w:after="0" w:afterAutospacing="0" w:line="570" w:lineRule="exact"/>
        <w:textAlignment w:val="baseline"/>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附件3</w:t>
      </w:r>
    </w:p>
    <w:p>
      <w:pPr>
        <w:pStyle w:val="5"/>
        <w:shd w:val="clear" w:color="auto" w:fill="FFFFFF"/>
        <w:spacing w:before="0" w:beforeAutospacing="0" w:after="0" w:afterAutospacing="0" w:line="700" w:lineRule="exact"/>
        <w:jc w:val="center"/>
        <w:textAlignment w:val="baseline"/>
        <w:rPr>
          <w:rFonts w:ascii="Times New Roman" w:hAnsi="Times New Roman" w:eastAsia="方正小标宋简体" w:cs="Times New Roman"/>
          <w:color w:val="000000"/>
          <w:spacing w:val="-20"/>
          <w:sz w:val="44"/>
          <w:szCs w:val="44"/>
        </w:rPr>
      </w:pPr>
      <w:r>
        <w:rPr>
          <w:rFonts w:ascii="Times New Roman" w:hAnsi="Times New Roman" w:eastAsia="方正小标宋简体" w:cs="Times New Roman"/>
          <w:color w:val="000000"/>
          <w:spacing w:val="-20"/>
          <w:sz w:val="44"/>
          <w:szCs w:val="44"/>
        </w:rPr>
        <w:t>钟楼区医疗服务争先进位三年行动方案</w:t>
      </w:r>
    </w:p>
    <w:p>
      <w:pPr>
        <w:pStyle w:val="5"/>
        <w:shd w:val="clear" w:color="auto" w:fill="FFFFFF"/>
        <w:spacing w:before="0" w:beforeAutospacing="0" w:after="0" w:afterAutospacing="0" w:line="560" w:lineRule="exact"/>
        <w:ind w:firstLine="640" w:firstLineChars="200"/>
        <w:jc w:val="both"/>
        <w:textAlignment w:val="baseline"/>
        <w:rPr>
          <w:rFonts w:ascii="Times New Roman" w:hAnsi="Times New Roman" w:eastAsia="仿宋_GB2312" w:cs="Times New Roman"/>
          <w:color w:val="000000"/>
          <w:sz w:val="32"/>
          <w:szCs w:val="32"/>
        </w:rPr>
      </w:pPr>
    </w:p>
    <w:p>
      <w:pPr>
        <w:pStyle w:val="5"/>
        <w:shd w:val="clear" w:color="auto" w:fill="FFFFFF"/>
        <w:spacing w:before="0" w:beforeAutospacing="0" w:after="0" w:afterAutospacing="0" w:line="560" w:lineRule="exact"/>
        <w:ind w:firstLine="640" w:firstLineChars="200"/>
        <w:jc w:val="both"/>
        <w:textAlignment w:val="baseline"/>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一、指导思想</w:t>
      </w:r>
    </w:p>
    <w:p>
      <w:pPr>
        <w:pStyle w:val="5"/>
        <w:shd w:val="clear" w:color="auto" w:fill="FFFFFF"/>
        <w:spacing w:before="0" w:beforeAutospacing="0" w:after="0" w:afterAutospacing="0" w:line="56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坚持以人民健康为中心，以高质量发展为主题，按照公平可及、群众受益的原则，对标先进地区，科学谋划、统筹推进，不断提升全区整体医疗服务能力，为幸福钟楼建设提供有力支撑。</w:t>
      </w:r>
    </w:p>
    <w:p>
      <w:pPr>
        <w:pStyle w:val="5"/>
        <w:shd w:val="clear" w:color="auto" w:fill="FFFFFF"/>
        <w:spacing w:before="0" w:beforeAutospacing="0" w:after="0" w:afterAutospacing="0" w:line="560" w:lineRule="exact"/>
        <w:ind w:firstLine="640" w:firstLineChars="200"/>
        <w:jc w:val="both"/>
        <w:textAlignment w:val="baseline"/>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二、工作目标</w:t>
      </w:r>
    </w:p>
    <w:p>
      <w:pPr>
        <w:pStyle w:val="5"/>
        <w:shd w:val="clear" w:color="auto" w:fill="FFFFFF"/>
        <w:spacing w:before="0" w:beforeAutospacing="0" w:after="0" w:afterAutospacing="0" w:line="56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到2022年，医疗卫生服务体系更加完善，服务能力持续提升。持续改进就医环境,推进社区卫生服务中心和乡镇卫生院改扩建,添置更新医疗设备。改善医疗服务，以大数据中心为依托，提升信息化改造优化，完善信息化建设，提升群众看病就医获得感和满意度。</w:t>
      </w:r>
    </w:p>
    <w:p>
      <w:pPr>
        <w:pStyle w:val="5"/>
        <w:shd w:val="clear" w:color="auto" w:fill="FFFFFF"/>
        <w:spacing w:before="0" w:beforeAutospacing="0" w:after="0" w:afterAutospacing="0" w:line="56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新闸中心投入使用，邹区卫生院一期建设任务完成。</w:t>
      </w:r>
    </w:p>
    <w:p>
      <w:pPr>
        <w:pStyle w:val="5"/>
        <w:shd w:val="clear" w:color="auto" w:fill="FFFFFF"/>
        <w:spacing w:before="0" w:beforeAutospacing="0" w:after="0" w:afterAutospacing="0" w:line="56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加强医疗质量管理，提升医疗服务水平。</w:t>
      </w:r>
    </w:p>
    <w:p>
      <w:pPr>
        <w:pStyle w:val="5"/>
        <w:shd w:val="clear" w:color="auto" w:fill="FFFFFF"/>
        <w:spacing w:before="0" w:beforeAutospacing="0" w:after="0" w:afterAutospacing="0" w:line="56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 强化医院感染控制，完善医院感染信息化建设。</w:t>
      </w:r>
    </w:p>
    <w:p>
      <w:pPr>
        <w:pStyle w:val="5"/>
        <w:shd w:val="clear" w:color="auto" w:fill="FFFFFF"/>
        <w:spacing w:before="0" w:beforeAutospacing="0" w:after="0" w:afterAutospacing="0" w:line="56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 辖区内至少建设二家符合基本要求的发热门诊。</w:t>
      </w:r>
    </w:p>
    <w:p>
      <w:pPr>
        <w:pStyle w:val="5"/>
        <w:shd w:val="clear" w:color="auto" w:fill="FFFFFF"/>
        <w:spacing w:before="0" w:beforeAutospacing="0" w:after="0" w:afterAutospacing="0" w:line="56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 加强医疗联合体建设，深入推进共建专科建设。</w:t>
      </w:r>
    </w:p>
    <w:p>
      <w:pPr>
        <w:pStyle w:val="5"/>
        <w:shd w:val="clear" w:color="auto" w:fill="FFFFFF"/>
        <w:spacing w:before="0" w:beforeAutospacing="0" w:after="0" w:afterAutospacing="0" w:line="560" w:lineRule="exact"/>
        <w:ind w:firstLine="640" w:firstLineChars="200"/>
        <w:jc w:val="both"/>
        <w:textAlignment w:val="baseline"/>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三、工作措施</w:t>
      </w:r>
    </w:p>
    <w:p>
      <w:pPr>
        <w:pStyle w:val="5"/>
        <w:shd w:val="clear" w:color="auto" w:fill="FFFFFF"/>
        <w:spacing w:before="0" w:beforeAutospacing="0" w:after="0" w:afterAutospacing="0" w:line="560" w:lineRule="exact"/>
        <w:ind w:firstLine="640" w:firstLineChars="200"/>
        <w:jc w:val="both"/>
        <w:textAlignment w:val="baseline"/>
        <w:rPr>
          <w:rFonts w:ascii="Times New Roman" w:hAnsi="Times New Roman" w:eastAsia="黑体" w:cs="Times New Roman"/>
          <w:color w:val="000000"/>
          <w:sz w:val="32"/>
          <w:szCs w:val="32"/>
        </w:rPr>
      </w:pPr>
      <w:r>
        <w:rPr>
          <w:rFonts w:ascii="Times New Roman" w:hAnsi="Times New Roman" w:eastAsia="楷体_GB2312" w:cs="Times New Roman"/>
          <w:color w:val="000000"/>
          <w:kern w:val="2"/>
          <w:sz w:val="32"/>
          <w:szCs w:val="32"/>
        </w:rPr>
        <w:t>（一）优化医疗资源布局上有新突破</w:t>
      </w:r>
      <w:r>
        <w:rPr>
          <w:rFonts w:ascii="Times New Roman" w:hAnsi="Times New Roman" w:eastAsia="楷体_GB2312" w:cs="Times New Roman"/>
          <w:color w:val="000000"/>
          <w:sz w:val="32"/>
          <w:szCs w:val="32"/>
        </w:rPr>
        <w:t>。</w:t>
      </w:r>
      <w:r>
        <w:rPr>
          <w:rFonts w:ascii="Times New Roman" w:hAnsi="Times New Roman" w:eastAsia="仿宋_GB2312" w:cs="Times New Roman"/>
          <w:color w:val="000000"/>
          <w:sz w:val="32"/>
          <w:szCs w:val="32"/>
        </w:rPr>
        <w:t>医疗卫生资源布局兼顾近远，与城乡发展战略空间相协调。推进新闸中心异地新建和邹区卫生院原址改建工程等项目，更加合理的布局医疗资源。</w:t>
      </w:r>
    </w:p>
    <w:p>
      <w:pPr>
        <w:pStyle w:val="5"/>
        <w:shd w:val="clear" w:color="auto" w:fill="FFFFFF"/>
        <w:spacing w:before="0" w:beforeAutospacing="0" w:after="0" w:afterAutospacing="0" w:line="56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楷体_GB2312" w:cs="Times New Roman"/>
          <w:color w:val="000000"/>
          <w:kern w:val="2"/>
          <w:sz w:val="32"/>
          <w:szCs w:val="32"/>
        </w:rPr>
        <w:t>（二）医疗联合体共建专科有新突破。</w:t>
      </w:r>
      <w:r>
        <w:rPr>
          <w:rFonts w:ascii="Times New Roman" w:hAnsi="Times New Roman" w:eastAsia="仿宋_GB2312" w:cs="Times New Roman"/>
          <w:color w:val="000000"/>
          <w:sz w:val="32"/>
          <w:szCs w:val="32"/>
        </w:rPr>
        <w:t>坚持错位发展和资源优化的原则，充分利用常州一院的医疗资源，在原有共建专科的基础上，深入挖掘周边医疗需求，争取更多医保政策，更好的实现分级诊疗，落实“康复进社区”。做到每个中心的专科特色不冲突，以常见病、多发病、慢性病诊疗服务为主，做精做细做实专科特色，为区域内居民提供较高水平的医疗服务。</w:t>
      </w:r>
    </w:p>
    <w:p>
      <w:pPr>
        <w:pStyle w:val="5"/>
        <w:shd w:val="clear" w:color="auto" w:fill="FFFFFF"/>
        <w:spacing w:before="0" w:beforeAutospacing="0" w:after="0" w:afterAutospacing="0" w:line="56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楷体_GB2312" w:cs="Times New Roman"/>
          <w:color w:val="000000"/>
          <w:kern w:val="2"/>
          <w:sz w:val="32"/>
          <w:szCs w:val="32"/>
        </w:rPr>
        <w:t>（三）基层医疗机构能力提升上有新突破。</w:t>
      </w:r>
      <w:r>
        <w:rPr>
          <w:rFonts w:ascii="Times New Roman" w:hAnsi="Times New Roman" w:eastAsia="仿宋_GB2312" w:cs="Times New Roman"/>
          <w:color w:val="000000"/>
          <w:sz w:val="32"/>
          <w:szCs w:val="32"/>
        </w:rPr>
        <w:t>三级医院与基层医疗机构建立长期的帮扶关系，增强患病人群的获得感。通过医联体、上级医院结对帮扶等形式，促进优质医疗资源纵向流动，提高基层医疗服务机构运行效率。畅通会诊、转诊通道，共享疑难病诊断信息，提升基层专科专病救治能力，共同推进医疗同质化发展。邹区卫生院努力创建二级综合医院，以创促建，通过二级医院创建，带动乡镇医疗机构服务能力的提升。加强医疗质量和医院感染的培训和落实，通过处方点评、病案讨论以及多种形式的检查督导，提升基层机构的医疗服务水平和医疗安全。</w:t>
      </w:r>
    </w:p>
    <w:p>
      <w:pPr>
        <w:pStyle w:val="5"/>
        <w:shd w:val="clear" w:color="auto" w:fill="FFFFFF"/>
        <w:spacing w:before="0" w:beforeAutospacing="0" w:after="0" w:afterAutospacing="0" w:line="56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楷体_GB2312" w:cs="Times New Roman"/>
          <w:color w:val="000000"/>
          <w:kern w:val="2"/>
          <w:sz w:val="32"/>
          <w:szCs w:val="32"/>
        </w:rPr>
        <w:t>（四）重大疫情应急体系建设上有新突破。</w:t>
      </w:r>
      <w:r>
        <w:rPr>
          <w:rFonts w:ascii="Times New Roman" w:hAnsi="Times New Roman" w:eastAsia="仿宋_GB2312" w:cs="Times New Roman"/>
          <w:color w:val="000000"/>
          <w:sz w:val="32"/>
          <w:szCs w:val="32"/>
        </w:rPr>
        <w:t>加大财政投入和配套政策支持，推动重大疫情医疗应急体系建设。加强公卫中心的建设，加强P2实验室的基础建设、设备投入和人员培训，提升区域内的病毒核酸检测能力。加快推进基层医疗机构的发热门诊建设，特别是邹区卫生院的发热门诊建设。力争在三年内至少建成二家符合基本要求的发热门诊。</w:t>
      </w:r>
    </w:p>
    <w:p>
      <w:pPr>
        <w:pStyle w:val="5"/>
        <w:shd w:val="clear" w:color="auto" w:fill="FFFFFF"/>
        <w:spacing w:before="0" w:beforeAutospacing="0" w:after="0" w:afterAutospacing="0" w:line="540" w:lineRule="exact"/>
        <w:ind w:firstLine="640" w:firstLineChars="200"/>
        <w:jc w:val="both"/>
        <w:textAlignment w:val="baseline"/>
        <w:rPr>
          <w:rFonts w:ascii="Times New Roman" w:hAnsi="Times New Roman" w:eastAsia="仿宋" w:cs="Times New Roman"/>
          <w:color w:val="000000"/>
          <w:sz w:val="32"/>
          <w:szCs w:val="32"/>
        </w:rPr>
        <w:sectPr>
          <w:footerReference r:id="rId8" w:type="even"/>
          <w:type w:val="continuous"/>
          <w:pgSz w:w="11906" w:h="16838"/>
          <w:pgMar w:top="2098" w:right="1531" w:bottom="1985" w:left="1531" w:header="851" w:footer="992" w:gutter="0"/>
          <w:pgNumType w:fmt="numberInDash"/>
          <w:cols w:space="720" w:num="1"/>
          <w:docGrid w:type="lines" w:linePitch="312" w:charSpace="0"/>
        </w:sectPr>
      </w:pPr>
    </w:p>
    <w:p>
      <w:pPr>
        <w:pStyle w:val="5"/>
        <w:shd w:val="clear" w:color="auto" w:fill="FFFFFF"/>
        <w:spacing w:before="0" w:beforeAutospacing="0" w:after="0" w:afterAutospacing="0" w:line="700" w:lineRule="exact"/>
        <w:ind w:firstLine="880" w:firstLineChars="200"/>
        <w:jc w:val="center"/>
        <w:textAlignment w:val="baseline"/>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钟楼区医疗服务争先进位三年行动方案任务分解表</w:t>
      </w:r>
    </w:p>
    <w:tbl>
      <w:tblPr>
        <w:tblStyle w:val="6"/>
        <w:tblpPr w:leftFromText="180" w:rightFromText="180" w:horzAnchor="margin" w:tblpY="1239"/>
        <w:tblW w:w="144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2234"/>
        <w:gridCol w:w="6662"/>
        <w:gridCol w:w="2552"/>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5"/>
              <w:spacing w:before="0" w:beforeAutospacing="0" w:after="0" w:afterAutospacing="0" w:line="540" w:lineRule="exact"/>
              <w:jc w:val="center"/>
              <w:textAlignment w:val="baseline"/>
              <w:rPr>
                <w:rFonts w:ascii="Times New Roman" w:hAnsi="Times New Roman" w:eastAsia="黑体" w:cs="Times New Roman"/>
                <w:color w:val="000000"/>
                <w:sz w:val="28"/>
              </w:rPr>
            </w:pPr>
            <w:r>
              <w:rPr>
                <w:rFonts w:ascii="Times New Roman" w:hAnsi="Times New Roman" w:eastAsia="黑体" w:cs="Times New Roman"/>
                <w:color w:val="000000"/>
                <w:sz w:val="28"/>
              </w:rPr>
              <w:t>序号</w:t>
            </w:r>
          </w:p>
        </w:tc>
        <w:tc>
          <w:tcPr>
            <w:tcW w:w="2234" w:type="dxa"/>
            <w:vAlign w:val="center"/>
          </w:tcPr>
          <w:p>
            <w:pPr>
              <w:pStyle w:val="5"/>
              <w:spacing w:before="0" w:beforeAutospacing="0" w:after="0" w:afterAutospacing="0" w:line="540" w:lineRule="exact"/>
              <w:jc w:val="center"/>
              <w:textAlignment w:val="baseline"/>
              <w:rPr>
                <w:rFonts w:ascii="Times New Roman" w:hAnsi="Times New Roman" w:eastAsia="黑体" w:cs="Times New Roman"/>
                <w:color w:val="000000"/>
                <w:sz w:val="28"/>
              </w:rPr>
            </w:pPr>
            <w:r>
              <w:rPr>
                <w:rFonts w:ascii="Times New Roman" w:hAnsi="Times New Roman" w:eastAsia="黑体" w:cs="Times New Roman"/>
                <w:color w:val="000000"/>
                <w:sz w:val="28"/>
              </w:rPr>
              <w:t>项目名称</w:t>
            </w:r>
          </w:p>
        </w:tc>
        <w:tc>
          <w:tcPr>
            <w:tcW w:w="6662" w:type="dxa"/>
            <w:vAlign w:val="center"/>
          </w:tcPr>
          <w:p>
            <w:pPr>
              <w:pStyle w:val="5"/>
              <w:spacing w:before="0" w:beforeAutospacing="0" w:after="0" w:afterAutospacing="0" w:line="540" w:lineRule="exact"/>
              <w:jc w:val="center"/>
              <w:textAlignment w:val="baseline"/>
              <w:rPr>
                <w:rFonts w:ascii="Times New Roman" w:hAnsi="Times New Roman" w:eastAsia="黑体" w:cs="Times New Roman"/>
                <w:color w:val="000000"/>
                <w:sz w:val="28"/>
              </w:rPr>
            </w:pPr>
            <w:r>
              <w:rPr>
                <w:rFonts w:ascii="Times New Roman" w:hAnsi="Times New Roman" w:eastAsia="黑体" w:cs="Times New Roman"/>
                <w:color w:val="000000"/>
                <w:sz w:val="28"/>
              </w:rPr>
              <w:t>工作任务</w:t>
            </w:r>
          </w:p>
        </w:tc>
        <w:tc>
          <w:tcPr>
            <w:tcW w:w="2552" w:type="dxa"/>
            <w:vAlign w:val="center"/>
          </w:tcPr>
          <w:p>
            <w:pPr>
              <w:pStyle w:val="5"/>
              <w:spacing w:before="0" w:beforeAutospacing="0" w:after="0" w:afterAutospacing="0" w:line="540" w:lineRule="exact"/>
              <w:jc w:val="center"/>
              <w:textAlignment w:val="baseline"/>
              <w:rPr>
                <w:rFonts w:ascii="Times New Roman" w:hAnsi="Times New Roman" w:eastAsia="黑体" w:cs="Times New Roman"/>
                <w:color w:val="000000"/>
                <w:sz w:val="28"/>
              </w:rPr>
            </w:pPr>
            <w:r>
              <w:rPr>
                <w:rFonts w:ascii="Times New Roman" w:hAnsi="Times New Roman" w:eastAsia="黑体" w:cs="Times New Roman"/>
                <w:color w:val="000000"/>
                <w:sz w:val="28"/>
              </w:rPr>
              <w:t>工作进度</w:t>
            </w:r>
          </w:p>
        </w:tc>
        <w:tc>
          <w:tcPr>
            <w:tcW w:w="2160" w:type="dxa"/>
            <w:vAlign w:val="center"/>
          </w:tcPr>
          <w:p>
            <w:pPr>
              <w:pStyle w:val="5"/>
              <w:spacing w:before="0" w:beforeAutospacing="0" w:after="0" w:afterAutospacing="0" w:line="540" w:lineRule="exact"/>
              <w:jc w:val="center"/>
              <w:textAlignment w:val="baseline"/>
              <w:rPr>
                <w:rFonts w:ascii="Times New Roman" w:hAnsi="Times New Roman" w:eastAsia="黑体" w:cs="Times New Roman"/>
                <w:color w:val="000000"/>
                <w:sz w:val="28"/>
              </w:rPr>
            </w:pPr>
            <w:r>
              <w:rPr>
                <w:rFonts w:ascii="Times New Roman" w:hAnsi="Times New Roman" w:eastAsia="黑体" w:cs="Times New Roman"/>
                <w:color w:val="000000"/>
                <w:sz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851"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w:t>
            </w:r>
          </w:p>
        </w:tc>
        <w:tc>
          <w:tcPr>
            <w:tcW w:w="2234"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基础设施推进项目</w:t>
            </w:r>
          </w:p>
        </w:tc>
        <w:tc>
          <w:tcPr>
            <w:tcW w:w="6662" w:type="dxa"/>
            <w:vAlign w:val="center"/>
          </w:tcPr>
          <w:p>
            <w:pPr>
              <w:pStyle w:val="5"/>
              <w:spacing w:before="0" w:beforeAutospacing="0" w:after="0" w:afterAutospacing="0" w:line="300" w:lineRule="exact"/>
              <w:jc w:val="both"/>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1.新闸中心投入使用</w:t>
            </w:r>
            <w:r>
              <w:rPr>
                <w:rFonts w:hint="eastAsia" w:ascii="Times New Roman" w:hAnsi="Times New Roman" w:eastAsia="仿宋_GB2312" w:cs="Times New Roman"/>
                <w:color w:val="000000"/>
                <w:szCs w:val="21"/>
              </w:rPr>
              <w:t>。</w:t>
            </w:r>
          </w:p>
          <w:p>
            <w:pPr>
              <w:pStyle w:val="5"/>
              <w:spacing w:before="0" w:beforeAutospacing="0" w:after="0" w:afterAutospacing="0" w:line="300" w:lineRule="exact"/>
              <w:jc w:val="both"/>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2.邹区卫生院一期建设任务完成</w:t>
            </w:r>
            <w:r>
              <w:rPr>
                <w:rFonts w:hint="eastAsia" w:ascii="Times New Roman" w:hAnsi="Times New Roman" w:eastAsia="仿宋_GB2312" w:cs="Times New Roman"/>
                <w:color w:val="000000"/>
                <w:szCs w:val="21"/>
              </w:rPr>
              <w:t>。</w:t>
            </w:r>
          </w:p>
        </w:tc>
        <w:tc>
          <w:tcPr>
            <w:tcW w:w="2552"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2020-2022年</w:t>
            </w:r>
          </w:p>
        </w:tc>
        <w:tc>
          <w:tcPr>
            <w:tcW w:w="2160" w:type="dxa"/>
            <w:vAlign w:val="center"/>
          </w:tcPr>
          <w:p>
            <w:pPr>
              <w:pStyle w:val="5"/>
              <w:spacing w:before="0" w:beforeAutospacing="0" w:after="0" w:afterAutospacing="0" w:line="300" w:lineRule="exact"/>
              <w:ind w:left="240" w:hanging="240" w:hangingChars="100"/>
              <w:jc w:val="center"/>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邹区</w:t>
            </w:r>
            <w:r>
              <w:rPr>
                <w:rFonts w:hint="eastAsia" w:ascii="Times New Roman" w:hAnsi="Times New Roman" w:eastAsia="仿宋_GB2312" w:cs="Times New Roman"/>
                <w:color w:val="000000"/>
                <w:szCs w:val="21"/>
              </w:rPr>
              <w:t>镇</w:t>
            </w:r>
            <w:r>
              <w:rPr>
                <w:rFonts w:ascii="Times New Roman" w:hAnsi="Times New Roman" w:eastAsia="仿宋_GB2312" w:cs="Times New Roman"/>
                <w:color w:val="000000"/>
                <w:szCs w:val="21"/>
              </w:rPr>
              <w:t>卫生院</w:t>
            </w:r>
          </w:p>
          <w:p>
            <w:pPr>
              <w:pStyle w:val="5"/>
              <w:spacing w:before="0" w:beforeAutospacing="0" w:after="0" w:afterAutospacing="0" w:line="300" w:lineRule="exact"/>
              <w:ind w:left="240" w:hanging="240" w:hangingChars="100"/>
              <w:jc w:val="center"/>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新闸中心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51"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w:t>
            </w:r>
          </w:p>
        </w:tc>
        <w:tc>
          <w:tcPr>
            <w:tcW w:w="2234"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共建专科建设项目</w:t>
            </w:r>
          </w:p>
        </w:tc>
        <w:tc>
          <w:tcPr>
            <w:tcW w:w="6662" w:type="dxa"/>
            <w:vAlign w:val="center"/>
          </w:tcPr>
          <w:p>
            <w:pPr>
              <w:pStyle w:val="5"/>
              <w:spacing w:before="0" w:beforeAutospacing="0" w:after="0" w:afterAutospacing="0" w:line="300" w:lineRule="exact"/>
              <w:ind w:left="-109" w:leftChars="-52" w:firstLine="120" w:firstLineChars="50"/>
              <w:jc w:val="both"/>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至少建成3个运行良好的共建专科。</w:t>
            </w:r>
          </w:p>
        </w:tc>
        <w:tc>
          <w:tcPr>
            <w:tcW w:w="2552"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2020-2022年</w:t>
            </w:r>
          </w:p>
        </w:tc>
        <w:tc>
          <w:tcPr>
            <w:tcW w:w="2160"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相关</w:t>
            </w:r>
            <w:r>
              <w:rPr>
                <w:rFonts w:hint="eastAsia" w:ascii="Times New Roman" w:hAnsi="Times New Roman" w:eastAsia="仿宋_GB2312" w:cs="Times New Roman"/>
                <w:color w:val="000000"/>
                <w:szCs w:val="21"/>
              </w:rPr>
              <w:t>医疗机构</w:t>
            </w:r>
          </w:p>
          <w:p>
            <w:pPr>
              <w:pStyle w:val="5"/>
              <w:spacing w:before="0" w:beforeAutospacing="0" w:after="0" w:afterAutospacing="0" w:line="300" w:lineRule="exact"/>
              <w:jc w:val="center"/>
              <w:textAlignment w:val="baseline"/>
              <w:rPr>
                <w:rFonts w:ascii="Times New Roman" w:hAnsi="Times New Roman" w:eastAsia="仿宋_GB2312"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851"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3</w:t>
            </w:r>
          </w:p>
        </w:tc>
        <w:tc>
          <w:tcPr>
            <w:tcW w:w="2234"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基层能力提升项目</w:t>
            </w:r>
          </w:p>
        </w:tc>
        <w:tc>
          <w:tcPr>
            <w:tcW w:w="6662" w:type="dxa"/>
            <w:vAlign w:val="center"/>
          </w:tcPr>
          <w:p>
            <w:pPr>
              <w:pStyle w:val="5"/>
              <w:spacing w:before="0" w:beforeAutospacing="0" w:after="0" w:afterAutospacing="0" w:line="300" w:lineRule="exact"/>
              <w:jc w:val="both"/>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1.邹区卫生院力争创成二级综合医院</w:t>
            </w:r>
            <w:r>
              <w:rPr>
                <w:rFonts w:hint="eastAsia" w:ascii="Times New Roman" w:hAnsi="Times New Roman" w:eastAsia="仿宋_GB2312" w:cs="Times New Roman"/>
                <w:color w:val="000000"/>
                <w:szCs w:val="21"/>
              </w:rPr>
              <w:t>。</w:t>
            </w:r>
          </w:p>
          <w:p>
            <w:pPr>
              <w:pStyle w:val="5"/>
              <w:spacing w:before="0" w:beforeAutospacing="0" w:after="0" w:afterAutospacing="0" w:line="300" w:lineRule="exact"/>
              <w:jc w:val="both"/>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2.强化医疗质量和医院感染管理</w:t>
            </w:r>
            <w:r>
              <w:rPr>
                <w:rFonts w:hint="eastAsia" w:ascii="Times New Roman" w:hAnsi="Times New Roman" w:eastAsia="仿宋_GB2312" w:cs="Times New Roman"/>
                <w:color w:val="000000"/>
                <w:szCs w:val="21"/>
              </w:rPr>
              <w:t>。</w:t>
            </w:r>
          </w:p>
        </w:tc>
        <w:tc>
          <w:tcPr>
            <w:tcW w:w="2552"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2020-2022年</w:t>
            </w:r>
          </w:p>
        </w:tc>
        <w:tc>
          <w:tcPr>
            <w:tcW w:w="2160"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邹区</w:t>
            </w:r>
            <w:r>
              <w:rPr>
                <w:rFonts w:hint="eastAsia" w:ascii="Times New Roman" w:hAnsi="Times New Roman" w:eastAsia="仿宋_GB2312" w:cs="Times New Roman"/>
                <w:color w:val="000000"/>
                <w:szCs w:val="21"/>
              </w:rPr>
              <w:t>镇</w:t>
            </w:r>
            <w:r>
              <w:rPr>
                <w:rFonts w:ascii="Times New Roman" w:hAnsi="Times New Roman" w:eastAsia="仿宋_GB2312" w:cs="Times New Roman"/>
                <w:color w:val="000000"/>
                <w:szCs w:val="21"/>
              </w:rPr>
              <w:t>卫生院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851" w:type="dxa"/>
            <w:vMerge w:val="restart"/>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4</w:t>
            </w:r>
          </w:p>
        </w:tc>
        <w:tc>
          <w:tcPr>
            <w:tcW w:w="2234" w:type="dxa"/>
            <w:vMerge w:val="restart"/>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重大疫情应急项目</w:t>
            </w:r>
          </w:p>
        </w:tc>
        <w:tc>
          <w:tcPr>
            <w:tcW w:w="6662" w:type="dxa"/>
            <w:vAlign w:val="center"/>
          </w:tcPr>
          <w:p>
            <w:pPr>
              <w:pStyle w:val="5"/>
              <w:spacing w:before="0" w:beforeAutospacing="0" w:after="0" w:afterAutospacing="0" w:line="300" w:lineRule="exact"/>
              <w:jc w:val="both"/>
              <w:textAlignment w:val="baseline"/>
              <w:rPr>
                <w:rFonts w:ascii="Times New Roman" w:hAnsi="Times New Roman" w:eastAsia="仿宋_GB2312" w:cs="Times New Roman"/>
                <w:color w:val="000000"/>
                <w:szCs w:val="21"/>
              </w:rPr>
            </w:pPr>
            <w:r>
              <w:rPr>
                <w:rFonts w:ascii="Times New Roman" w:hAnsi="Times New Roman" w:eastAsia="仿宋_GB2312" w:cs="Times New Roman"/>
                <w:szCs w:val="21"/>
              </w:rPr>
              <w:t>加强发热门诊标准化建设、规范化管理、常态化运行。2022年底完成至少2家发热门诊建设。</w:t>
            </w:r>
          </w:p>
        </w:tc>
        <w:tc>
          <w:tcPr>
            <w:tcW w:w="2552" w:type="dxa"/>
            <w:vAlign w:val="center"/>
          </w:tcPr>
          <w:p>
            <w:pPr>
              <w:pStyle w:val="11"/>
              <w:spacing w:line="300" w:lineRule="exact"/>
              <w:jc w:val="center"/>
              <w:rPr>
                <w:rFonts w:ascii="Times New Roman" w:hAnsi="Times New Roman" w:eastAsia="仿宋_GB2312"/>
                <w:sz w:val="24"/>
                <w:szCs w:val="21"/>
              </w:rPr>
            </w:pPr>
            <w:r>
              <w:rPr>
                <w:rFonts w:ascii="Times New Roman" w:hAnsi="Times New Roman" w:eastAsia="仿宋_GB2312"/>
                <w:sz w:val="24"/>
                <w:szCs w:val="21"/>
              </w:rPr>
              <w:t>2020-2022年</w:t>
            </w:r>
          </w:p>
        </w:tc>
        <w:tc>
          <w:tcPr>
            <w:tcW w:w="2160" w:type="dxa"/>
            <w:vAlign w:val="center"/>
          </w:tcPr>
          <w:p>
            <w:pPr>
              <w:pStyle w:val="11"/>
              <w:spacing w:line="300" w:lineRule="exact"/>
              <w:jc w:val="center"/>
              <w:rPr>
                <w:rFonts w:ascii="Times New Roman" w:hAnsi="Times New Roman" w:eastAsia="仿宋_GB2312"/>
                <w:color w:val="000000"/>
                <w:sz w:val="24"/>
                <w:szCs w:val="21"/>
              </w:rPr>
            </w:pPr>
            <w:r>
              <w:rPr>
                <w:rFonts w:ascii="Times New Roman" w:hAnsi="Times New Roman" w:eastAsia="仿宋_GB2312"/>
                <w:sz w:val="24"/>
                <w:szCs w:val="21"/>
              </w:rPr>
              <w:t>相关医疗机构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851" w:type="dxa"/>
            <w:vMerge w:val="continue"/>
            <w:vAlign w:val="center"/>
          </w:tcPr>
          <w:p>
            <w:pPr>
              <w:pStyle w:val="5"/>
              <w:spacing w:before="0" w:beforeAutospacing="0" w:after="0" w:afterAutospacing="0" w:line="300" w:lineRule="exact"/>
              <w:jc w:val="both"/>
              <w:textAlignment w:val="baseline"/>
              <w:rPr>
                <w:rFonts w:ascii="Times New Roman" w:hAnsi="Times New Roman" w:eastAsia="仿宋_GB2312" w:cs="Times New Roman"/>
                <w:color w:val="000000"/>
                <w:szCs w:val="21"/>
              </w:rPr>
            </w:pPr>
          </w:p>
        </w:tc>
        <w:tc>
          <w:tcPr>
            <w:tcW w:w="2234" w:type="dxa"/>
            <w:vMerge w:val="continue"/>
            <w:vAlign w:val="center"/>
          </w:tcPr>
          <w:p>
            <w:pPr>
              <w:pStyle w:val="5"/>
              <w:spacing w:before="0" w:beforeAutospacing="0" w:after="0" w:afterAutospacing="0" w:line="300" w:lineRule="exact"/>
              <w:jc w:val="both"/>
              <w:textAlignment w:val="baseline"/>
              <w:rPr>
                <w:rFonts w:ascii="Times New Roman" w:hAnsi="Times New Roman" w:eastAsia="仿宋_GB2312" w:cs="Times New Roman"/>
                <w:color w:val="000000"/>
                <w:szCs w:val="21"/>
              </w:rPr>
            </w:pPr>
          </w:p>
        </w:tc>
        <w:tc>
          <w:tcPr>
            <w:tcW w:w="6662" w:type="dxa"/>
            <w:vAlign w:val="center"/>
          </w:tcPr>
          <w:p>
            <w:pPr>
              <w:pStyle w:val="5"/>
              <w:spacing w:before="0" w:beforeAutospacing="0" w:after="0" w:afterAutospacing="0" w:line="300" w:lineRule="exact"/>
              <w:jc w:val="both"/>
              <w:textAlignment w:val="baseline"/>
              <w:rPr>
                <w:rFonts w:ascii="Times New Roman" w:hAnsi="Times New Roman" w:eastAsia="仿宋_GB2312" w:cs="Times New Roman"/>
                <w:color w:val="000000"/>
                <w:szCs w:val="21"/>
              </w:rPr>
            </w:pPr>
            <w:r>
              <w:rPr>
                <w:rFonts w:ascii="Times New Roman" w:hAnsi="Times New Roman" w:eastAsia="仿宋_GB2312" w:cs="Times New Roman"/>
                <w:szCs w:val="21"/>
              </w:rPr>
              <w:t>建成符合P2标准的核酸检测实验室</w:t>
            </w:r>
            <w:r>
              <w:rPr>
                <w:rFonts w:hint="eastAsia" w:ascii="Times New Roman" w:hAnsi="Times New Roman" w:eastAsia="仿宋_GB2312" w:cs="Times New Roman"/>
                <w:szCs w:val="21"/>
              </w:rPr>
              <w:t>。</w:t>
            </w:r>
          </w:p>
        </w:tc>
        <w:tc>
          <w:tcPr>
            <w:tcW w:w="2552"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2020年12月</w:t>
            </w:r>
          </w:p>
        </w:tc>
        <w:tc>
          <w:tcPr>
            <w:tcW w:w="2160" w:type="dxa"/>
            <w:vAlign w:val="center"/>
          </w:tcPr>
          <w:p>
            <w:pPr>
              <w:pStyle w:val="5"/>
              <w:spacing w:before="0" w:beforeAutospacing="0" w:after="0" w:afterAutospacing="0" w:line="300" w:lineRule="exact"/>
              <w:jc w:val="center"/>
              <w:textAlignment w:val="baseline"/>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疾控中心</w:t>
            </w:r>
          </w:p>
        </w:tc>
      </w:tr>
    </w:tbl>
    <w:p>
      <w:pPr>
        <w:pStyle w:val="5"/>
        <w:shd w:val="clear" w:color="auto" w:fill="FFFFFF"/>
        <w:spacing w:before="0" w:beforeAutospacing="0" w:after="0" w:afterAutospacing="0" w:line="540" w:lineRule="exact"/>
        <w:textAlignment w:val="baseline"/>
        <w:rPr>
          <w:rFonts w:ascii="Times New Roman" w:hAnsi="Times New Roman" w:eastAsia="仿宋" w:cs="Times New Roman"/>
          <w:color w:val="000000"/>
          <w:sz w:val="32"/>
          <w:szCs w:val="32"/>
        </w:rPr>
        <w:sectPr>
          <w:type w:val="continuous"/>
          <w:pgSz w:w="16838" w:h="11906" w:orient="landscape"/>
          <w:pgMar w:top="2098" w:right="1531" w:bottom="1985" w:left="1531" w:header="851" w:footer="992" w:gutter="0"/>
          <w:pgNumType w:fmt="numberInDash"/>
          <w:cols w:space="720" w:num="1"/>
          <w:docGrid w:type="linesAndChars" w:linePitch="312" w:charSpace="0"/>
        </w:sectPr>
      </w:pPr>
    </w:p>
    <w:p>
      <w:pPr>
        <w:pStyle w:val="5"/>
        <w:shd w:val="clear" w:color="auto" w:fill="FFFFFF"/>
        <w:spacing w:before="0" w:beforeAutospacing="0" w:after="0" w:afterAutospacing="0" w:line="570" w:lineRule="exact"/>
        <w:textAlignment w:val="baseline"/>
        <w:rPr>
          <w:rFonts w:ascii="黑体" w:hAnsi="黑体" w:eastAsia="黑体" w:cs="仿宋_GB2312"/>
          <w:color w:val="000000"/>
          <w:sz w:val="32"/>
          <w:szCs w:val="32"/>
        </w:rPr>
      </w:pPr>
      <w:r>
        <w:rPr>
          <w:rFonts w:hint="eastAsia" w:ascii="黑体" w:hAnsi="黑体" w:eastAsia="黑体" w:cs="仿宋_GB2312"/>
          <w:color w:val="000000"/>
          <w:sz w:val="32"/>
          <w:szCs w:val="32"/>
        </w:rPr>
        <w:t>附件</w:t>
      </w:r>
      <w:r>
        <w:rPr>
          <w:rFonts w:ascii="黑体" w:hAnsi="黑体" w:eastAsia="黑体" w:cs="仿宋_GB2312"/>
          <w:color w:val="000000"/>
          <w:sz w:val="32"/>
          <w:szCs w:val="32"/>
        </w:rPr>
        <w:t>4</w:t>
      </w:r>
    </w:p>
    <w:p>
      <w:pPr>
        <w:pStyle w:val="5"/>
        <w:shd w:val="clear" w:color="auto" w:fill="FFFFFF"/>
        <w:spacing w:before="0" w:beforeAutospacing="0" w:after="0" w:afterAutospacing="0" w:line="700" w:lineRule="exact"/>
        <w:jc w:val="center"/>
        <w:textAlignment w:val="baseline"/>
        <w:rPr>
          <w:rFonts w:ascii="方正小标宋简体" w:hAnsi="黑体" w:eastAsia="方正小标宋简体"/>
          <w:color w:val="000000"/>
          <w:spacing w:val="-20"/>
          <w:sz w:val="44"/>
          <w:szCs w:val="44"/>
        </w:rPr>
      </w:pPr>
      <w:r>
        <w:rPr>
          <w:rFonts w:hint="eastAsia" w:ascii="方正小标宋简体" w:hAnsi="黑体" w:eastAsia="方正小标宋简体"/>
          <w:color w:val="000000"/>
          <w:spacing w:val="-20"/>
          <w:sz w:val="44"/>
          <w:szCs w:val="44"/>
        </w:rPr>
        <w:t>钟楼区中医药工作争先进位三年行动方案</w:t>
      </w:r>
    </w:p>
    <w:p>
      <w:pPr>
        <w:pStyle w:val="5"/>
        <w:shd w:val="clear" w:color="auto" w:fill="FFFFFF"/>
        <w:spacing w:before="0" w:beforeAutospacing="0" w:after="0" w:afterAutospacing="0" w:line="570" w:lineRule="exact"/>
        <w:jc w:val="both"/>
        <w:textAlignment w:val="baseline"/>
        <w:rPr>
          <w:rFonts w:ascii="仿宋_GB2312" w:hAnsi="仿宋_GB2312" w:eastAsia="仿宋_GB2312" w:cs="仿宋_GB2312"/>
          <w:color w:val="000000"/>
          <w:sz w:val="32"/>
          <w:szCs w:val="32"/>
        </w:rPr>
      </w:pPr>
    </w:p>
    <w:p>
      <w:pPr>
        <w:spacing w:line="57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一、指导思想</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入贯彻《中共中央国务院关于促进中医药传承创新发展的意见》精神，紧紧围绕“幸福钟楼”建设，围绕重点指标和重点工作内容，明确目标找准新定位，拉高标杆谋求新作为，优化中医医疗服务体系，全面提升中医药综合服务能力，加快推进人才队伍建设，进一步普及中医药健康文化，推动我区中医药事业高质量发展，充分发挥中医药在防病治病中的独特作用，争先进位开创中医药工作新局面。</w:t>
      </w:r>
      <w:r>
        <w:rPr>
          <w:rFonts w:ascii="仿宋_GB2312" w:hAnsi="仿宋_GB2312" w:eastAsia="仿宋_GB2312" w:cs="仿宋_GB2312"/>
          <w:color w:val="000000"/>
          <w:sz w:val="32"/>
          <w:szCs w:val="32"/>
        </w:rPr>
        <w:t xml:space="preserve"> </w:t>
      </w:r>
    </w:p>
    <w:p>
      <w:pPr>
        <w:spacing w:line="57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二、工作目标</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所有社区卫生服务中心、乡镇卫生院建成标准化的中医馆，建好一批社区卫生服务站、村卫生室中医综合服务区，到</w:t>
      </w:r>
      <w:r>
        <w:rPr>
          <w:rFonts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rPr>
        <w:t>年全区基层医疗卫生机构中医诊疗量占基层医疗卫生机构诊疗总量比例有明显提升。</w:t>
      </w:r>
    </w:p>
    <w:p>
      <w:pPr>
        <w:spacing w:line="57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 xml:space="preserve"> 推广</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项以上具有代表性的孟河医派特色技术和适宜技术。</w:t>
      </w:r>
    </w:p>
    <w:p>
      <w:pPr>
        <w:spacing w:line="57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 xml:space="preserve"> 基层医疗卫生机构中医诊疗量占基层医疗卫生机构诊疗总量比例力争达</w:t>
      </w:r>
      <w:r>
        <w:rPr>
          <w:rFonts w:ascii="仿宋_GB2312" w:hAnsi="仿宋_GB2312" w:eastAsia="仿宋_GB2312" w:cs="仿宋_GB2312"/>
          <w:color w:val="000000"/>
          <w:sz w:val="32"/>
          <w:szCs w:val="32"/>
        </w:rPr>
        <w:t>37%</w:t>
      </w:r>
      <w:r>
        <w:rPr>
          <w:rFonts w:hint="eastAsia" w:ascii="仿宋_GB2312" w:hAnsi="仿宋_GB2312" w:eastAsia="仿宋_GB2312" w:cs="仿宋_GB2312"/>
          <w:color w:val="000000"/>
          <w:sz w:val="32"/>
          <w:szCs w:val="32"/>
        </w:rPr>
        <w:t>。</w:t>
      </w:r>
    </w:p>
    <w:p>
      <w:pPr>
        <w:spacing w:line="57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社区卫生服务中心、乡镇卫生院建成标准化的中医馆；社区卫生服务站、村卫生室中医综合服务区建设达标率</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w:t>
      </w:r>
    </w:p>
    <w:p>
      <w:pPr>
        <w:spacing w:line="57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三、工作措施</w:t>
      </w:r>
    </w:p>
    <w:p>
      <w:pPr>
        <w:spacing w:line="570" w:lineRule="exact"/>
        <w:ind w:firstLine="640" w:firstLineChars="200"/>
        <w:rPr>
          <w:rFonts w:ascii="仿宋_GB2312" w:hAnsi="仿宋_GB2312" w:eastAsia="仿宋_GB2312" w:cs="仿宋_GB2312"/>
          <w:color w:val="000000"/>
          <w:sz w:val="32"/>
          <w:szCs w:val="32"/>
        </w:rPr>
      </w:pPr>
      <w:r>
        <w:rPr>
          <w:rFonts w:ascii="楷体_GB2312" w:eastAsia="楷体_GB2312" w:cs="楷体_GB2312"/>
          <w:bCs/>
          <w:color w:val="0D0D0D"/>
          <w:kern w:val="0"/>
          <w:sz w:val="32"/>
          <w:szCs w:val="32"/>
        </w:rPr>
        <w:t>(</w:t>
      </w:r>
      <w:r>
        <w:rPr>
          <w:rFonts w:hint="eastAsia" w:ascii="楷体_GB2312" w:eastAsia="楷体_GB2312" w:cs="楷体_GB2312"/>
          <w:bCs/>
          <w:color w:val="0D0D0D"/>
          <w:kern w:val="0"/>
          <w:sz w:val="32"/>
          <w:szCs w:val="32"/>
        </w:rPr>
        <w:t>一</w:t>
      </w:r>
      <w:r>
        <w:rPr>
          <w:rFonts w:ascii="楷体_GB2312" w:eastAsia="楷体_GB2312" w:cs="楷体_GB2312"/>
          <w:bCs/>
          <w:color w:val="0D0D0D"/>
          <w:kern w:val="0"/>
          <w:sz w:val="32"/>
          <w:szCs w:val="32"/>
        </w:rPr>
        <w:t xml:space="preserve">) </w:t>
      </w:r>
      <w:r>
        <w:rPr>
          <w:rFonts w:hint="eastAsia" w:ascii="楷体_GB2312" w:eastAsia="楷体_GB2312" w:cs="楷体_GB2312"/>
          <w:bCs/>
          <w:color w:val="0D0D0D"/>
          <w:kern w:val="0"/>
          <w:sz w:val="32"/>
          <w:szCs w:val="32"/>
        </w:rPr>
        <w:t>基层医疗机构能力提升上有新突破。</w:t>
      </w:r>
      <w:r>
        <w:rPr>
          <w:rFonts w:hint="eastAsia" w:ascii="仿宋_GB2312" w:hAnsi="仿宋_GB2312" w:eastAsia="仿宋_GB2312" w:cs="仿宋_GB2312"/>
          <w:color w:val="000000"/>
          <w:sz w:val="32"/>
          <w:szCs w:val="32"/>
        </w:rPr>
        <w:t>组织实施好基层医疗卫生机构中医综合服务区标准化和示范化建设，要加快社区卫生服务中心、乡镇卫生院中医馆标准化建设，将中医馆建设与紧密型医联体建设、对口支援等工作相结合，将中医馆条件改善与基层名中医工作室、基层医疗卫生机构特色科室创建、中医类别全科医生培训等项目有机结合，统筹考虑，统一安排，切实提高基层中医药服务能力；采取新建、改建、扩建等多种措施加强社区卫生服务站、村卫生室网底建设，中医阁建设达标率要达</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；继续开展常州市名中医工作室基层工作站建设项目，促进优质医疗资源下沉，进一步丰富基层中医药人才的培养模式，不断提升基层中医药服务能力。</w:t>
      </w:r>
    </w:p>
    <w:p>
      <w:pPr>
        <w:spacing w:line="570" w:lineRule="exact"/>
        <w:ind w:firstLine="640" w:firstLineChars="200"/>
        <w:rPr>
          <w:rFonts w:ascii="仿宋_GB2312" w:hAnsi="仿宋_GB2312" w:eastAsia="仿宋_GB2312" w:cs="仿宋_GB2312"/>
          <w:color w:val="000000"/>
          <w:sz w:val="32"/>
          <w:szCs w:val="32"/>
        </w:rPr>
      </w:pPr>
      <w:r>
        <w:rPr>
          <w:rFonts w:hint="eastAsia" w:ascii="楷体_GB2312" w:eastAsia="楷体_GB2312" w:cs="楷体_GB2312"/>
          <w:bCs/>
          <w:color w:val="0D0D0D"/>
          <w:kern w:val="0"/>
          <w:sz w:val="32"/>
          <w:szCs w:val="32"/>
        </w:rPr>
        <w:t>（二）继续加强中医药适宜技术的推广力度。</w:t>
      </w:r>
      <w:r>
        <w:rPr>
          <w:rFonts w:hint="eastAsia" w:ascii="仿宋_GB2312" w:hAnsi="仿宋_GB2312" w:eastAsia="仿宋_GB2312" w:cs="仿宋_GB2312"/>
          <w:color w:val="000000"/>
          <w:sz w:val="32"/>
          <w:szCs w:val="32"/>
        </w:rPr>
        <w:t>按照逐步推进、分步实施的原则，每年至少优选出适合在基层医疗机构推广的中医药适宜技术1</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项，针对全区的中医师和全科医师进行强化培训和考核，要求一线社区卫生服务中心、卫生院和服务站、村卫生室的医务人员熟练掌握并广泛应用。</w:t>
      </w:r>
    </w:p>
    <w:p>
      <w:pPr>
        <w:spacing w:line="570" w:lineRule="exact"/>
        <w:ind w:firstLine="640" w:firstLineChars="200"/>
        <w:rPr>
          <w:rFonts w:ascii="仿宋_GB2312" w:hAnsi="仿宋_GB2312" w:eastAsia="仿宋_GB2312" w:cs="仿宋_GB2312"/>
          <w:color w:val="000000"/>
          <w:sz w:val="32"/>
          <w:szCs w:val="32"/>
        </w:rPr>
      </w:pPr>
    </w:p>
    <w:p>
      <w:pPr>
        <w:spacing w:line="570" w:lineRule="exact"/>
        <w:ind w:firstLine="640" w:firstLineChars="200"/>
        <w:rPr>
          <w:rFonts w:ascii="仿宋_GB2312" w:hAnsi="仿宋_GB2312" w:eastAsia="仿宋_GB2312" w:cs="仿宋_GB2312"/>
          <w:color w:val="000000"/>
          <w:sz w:val="32"/>
          <w:szCs w:val="32"/>
        </w:rPr>
      </w:pPr>
    </w:p>
    <w:p>
      <w:pPr>
        <w:spacing w:line="570" w:lineRule="exact"/>
        <w:ind w:firstLine="640" w:firstLineChars="200"/>
        <w:rPr>
          <w:rFonts w:ascii="仿宋_GB2312" w:hAnsi="仿宋_GB2312" w:eastAsia="仿宋_GB2312" w:cs="仿宋_GB2312"/>
          <w:color w:val="000000"/>
          <w:sz w:val="32"/>
          <w:szCs w:val="32"/>
        </w:rPr>
      </w:pPr>
    </w:p>
    <w:p>
      <w:pPr>
        <w:spacing w:line="570" w:lineRule="exact"/>
        <w:ind w:firstLine="640" w:firstLineChars="200"/>
        <w:rPr>
          <w:rFonts w:ascii="仿宋_GB2312" w:hAnsi="仿宋_GB2312" w:eastAsia="仿宋_GB2312" w:cs="仿宋_GB2312"/>
          <w:color w:val="000000"/>
          <w:sz w:val="32"/>
          <w:szCs w:val="32"/>
        </w:rPr>
      </w:pPr>
    </w:p>
    <w:p>
      <w:pPr>
        <w:spacing w:line="570" w:lineRule="exact"/>
        <w:ind w:firstLine="640" w:firstLineChars="200"/>
        <w:rPr>
          <w:rFonts w:ascii="仿宋_GB2312" w:hAnsi="仿宋_GB2312" w:eastAsia="仿宋_GB2312" w:cs="仿宋_GB2312"/>
          <w:color w:val="000000"/>
          <w:sz w:val="32"/>
          <w:szCs w:val="32"/>
        </w:rPr>
        <w:sectPr>
          <w:footerReference r:id="rId9" w:type="even"/>
          <w:type w:val="continuous"/>
          <w:pgSz w:w="11906" w:h="16838"/>
          <w:pgMar w:top="2098" w:right="1531" w:bottom="1985" w:left="1531" w:header="851" w:footer="992" w:gutter="0"/>
          <w:pgNumType w:fmt="numberInDash"/>
          <w:cols w:space="720" w:num="1"/>
          <w:docGrid w:type="lines" w:linePitch="312" w:charSpace="0"/>
        </w:sectPr>
      </w:pPr>
    </w:p>
    <w:tbl>
      <w:tblPr>
        <w:tblStyle w:val="6"/>
        <w:tblpPr w:leftFromText="180" w:rightFromText="180" w:vertAnchor="text" w:horzAnchor="margin" w:tblpXSpec="center" w:tblpY="999"/>
        <w:tblW w:w="14291" w:type="dxa"/>
        <w:tblInd w:w="0" w:type="dxa"/>
        <w:tblLayout w:type="autofit"/>
        <w:tblCellMar>
          <w:top w:w="0" w:type="dxa"/>
          <w:left w:w="108" w:type="dxa"/>
          <w:bottom w:w="0" w:type="dxa"/>
          <w:right w:w="108" w:type="dxa"/>
        </w:tblCellMar>
      </w:tblPr>
      <w:tblGrid>
        <w:gridCol w:w="959"/>
        <w:gridCol w:w="745"/>
        <w:gridCol w:w="5087"/>
        <w:gridCol w:w="4700"/>
        <w:gridCol w:w="2800"/>
      </w:tblGrid>
      <w:tr>
        <w:tblPrEx>
          <w:tblCellMar>
            <w:top w:w="0" w:type="dxa"/>
            <w:left w:w="108" w:type="dxa"/>
            <w:bottom w:w="0" w:type="dxa"/>
            <w:right w:w="108" w:type="dxa"/>
          </w:tblCellMar>
        </w:tblPrEx>
        <w:trPr>
          <w:trHeight w:val="555" w:hRule="atLeast"/>
        </w:trPr>
        <w:tc>
          <w:tcPr>
            <w:tcW w:w="14291" w:type="dxa"/>
            <w:gridSpan w:val="5"/>
            <w:tcBorders>
              <w:top w:val="nil"/>
              <w:left w:val="nil"/>
              <w:bottom w:val="single" w:color="auto" w:sz="4" w:space="0"/>
              <w:right w:val="nil"/>
            </w:tcBorders>
            <w:noWrap/>
            <w:vAlign w:val="center"/>
          </w:tcPr>
          <w:p>
            <w:pPr>
              <w:pStyle w:val="5"/>
              <w:shd w:val="clear" w:color="auto" w:fill="FFFFFF"/>
              <w:spacing w:before="0" w:beforeAutospacing="0" w:after="0" w:afterAutospacing="0" w:line="540" w:lineRule="exact"/>
              <w:jc w:val="center"/>
              <w:textAlignment w:val="baseline"/>
              <w:rPr>
                <w:rFonts w:ascii="方正小标宋简体" w:eastAsia="方正小标宋简体" w:cs="仿宋_GB2312"/>
                <w:sz w:val="36"/>
                <w:szCs w:val="36"/>
              </w:rPr>
            </w:pPr>
            <w:r>
              <w:rPr>
                <w:rFonts w:hint="eastAsia" w:ascii="方正小标宋简体" w:eastAsia="方正小标宋简体" w:cs="仿宋_GB2312"/>
                <w:sz w:val="44"/>
                <w:szCs w:val="44"/>
              </w:rPr>
              <w:t>钟楼区中医药工作争先进位三年行动方案</w:t>
            </w:r>
            <w:r>
              <w:rPr>
                <w:rFonts w:ascii="Times New Roman" w:hAnsi="Times New Roman" w:eastAsia="方正小标宋简体" w:cs="Times New Roman"/>
                <w:sz w:val="44"/>
                <w:szCs w:val="44"/>
              </w:rPr>
              <w:t>任务分解表</w:t>
            </w:r>
          </w:p>
        </w:tc>
      </w:tr>
      <w:tr>
        <w:tblPrEx>
          <w:tblCellMar>
            <w:top w:w="0" w:type="dxa"/>
            <w:left w:w="108" w:type="dxa"/>
            <w:bottom w:w="0" w:type="dxa"/>
            <w:right w:w="108" w:type="dxa"/>
          </w:tblCellMar>
        </w:tblPrEx>
        <w:trPr>
          <w:trHeight w:val="450" w:hRule="atLeast"/>
        </w:trPr>
        <w:tc>
          <w:tcPr>
            <w:tcW w:w="959"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黑体" w:hAnsi="黑体" w:eastAsia="黑体" w:cs="宋体"/>
                <w:color w:val="000000"/>
                <w:kern w:val="0"/>
                <w:sz w:val="28"/>
              </w:rPr>
            </w:pPr>
            <w:r>
              <w:rPr>
                <w:rFonts w:hint="eastAsia" w:ascii="黑体" w:hAnsi="黑体" w:eastAsia="黑体" w:cs="宋体"/>
                <w:color w:val="000000"/>
                <w:kern w:val="0"/>
                <w:sz w:val="28"/>
              </w:rPr>
              <w:t>序号</w:t>
            </w:r>
          </w:p>
        </w:tc>
        <w:tc>
          <w:tcPr>
            <w:tcW w:w="583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center"/>
              <w:rPr>
                <w:rFonts w:ascii="黑体" w:hAnsi="黑体" w:eastAsia="黑体" w:cs="宋体"/>
                <w:color w:val="000000"/>
                <w:kern w:val="0"/>
                <w:sz w:val="28"/>
              </w:rPr>
            </w:pPr>
            <w:r>
              <w:rPr>
                <w:rFonts w:hint="eastAsia" w:ascii="黑体" w:hAnsi="黑体" w:eastAsia="黑体" w:cs="宋体"/>
                <w:color w:val="000000"/>
                <w:kern w:val="0"/>
                <w:sz w:val="28"/>
              </w:rPr>
              <w:t>工作任务</w:t>
            </w:r>
          </w:p>
        </w:tc>
        <w:tc>
          <w:tcPr>
            <w:tcW w:w="470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黑体" w:hAnsi="黑体" w:eastAsia="黑体" w:cs="宋体"/>
                <w:color w:val="000000"/>
                <w:kern w:val="0"/>
                <w:sz w:val="28"/>
              </w:rPr>
            </w:pPr>
            <w:r>
              <w:rPr>
                <w:rFonts w:hint="eastAsia" w:ascii="黑体" w:hAnsi="黑体" w:eastAsia="黑体" w:cs="宋体"/>
                <w:color w:val="000000"/>
                <w:kern w:val="0"/>
                <w:sz w:val="28"/>
              </w:rPr>
              <w:t>工作进度</w:t>
            </w:r>
          </w:p>
        </w:tc>
        <w:tc>
          <w:tcPr>
            <w:tcW w:w="280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黑体" w:hAnsi="黑体" w:eastAsia="黑体" w:cs="宋体"/>
                <w:color w:val="000000"/>
                <w:kern w:val="0"/>
                <w:sz w:val="28"/>
              </w:rPr>
            </w:pPr>
            <w:r>
              <w:rPr>
                <w:rFonts w:hint="eastAsia" w:ascii="黑体" w:hAnsi="黑体" w:eastAsia="黑体" w:cs="宋体"/>
                <w:color w:val="000000"/>
                <w:kern w:val="0"/>
                <w:sz w:val="28"/>
              </w:rPr>
              <w:t>责任部门和单位</w:t>
            </w:r>
          </w:p>
        </w:tc>
      </w:tr>
      <w:tr>
        <w:tblPrEx>
          <w:tblCellMar>
            <w:top w:w="0" w:type="dxa"/>
            <w:left w:w="108" w:type="dxa"/>
            <w:bottom w:w="0" w:type="dxa"/>
            <w:right w:w="108" w:type="dxa"/>
          </w:tblCellMar>
        </w:tblPrEx>
        <w:trPr>
          <w:trHeight w:val="240" w:hRule="atLeast"/>
        </w:trPr>
        <w:tc>
          <w:tcPr>
            <w:tcW w:w="95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 w:val="24"/>
                <w:szCs w:val="24"/>
              </w:rPr>
            </w:pPr>
          </w:p>
        </w:tc>
        <w:tc>
          <w:tcPr>
            <w:tcW w:w="58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ascii="黑体" w:hAnsi="黑体" w:eastAsia="黑体" w:cs="宋体"/>
                <w:color w:val="000000"/>
                <w:kern w:val="0"/>
                <w:sz w:val="24"/>
                <w:szCs w:val="24"/>
              </w:rPr>
            </w:pPr>
          </w:p>
        </w:tc>
        <w:tc>
          <w:tcPr>
            <w:tcW w:w="47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 w:val="24"/>
                <w:szCs w:val="24"/>
              </w:rPr>
            </w:pPr>
          </w:p>
        </w:tc>
        <w:tc>
          <w:tcPr>
            <w:tcW w:w="28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 w:val="24"/>
                <w:szCs w:val="24"/>
              </w:rPr>
            </w:pPr>
          </w:p>
        </w:tc>
      </w:tr>
      <w:tr>
        <w:tblPrEx>
          <w:tblCellMar>
            <w:top w:w="0" w:type="dxa"/>
            <w:left w:w="108" w:type="dxa"/>
            <w:bottom w:w="0" w:type="dxa"/>
            <w:right w:w="108" w:type="dxa"/>
          </w:tblCellMar>
        </w:tblPrEx>
        <w:trPr>
          <w:trHeight w:val="406" w:hRule="atLeast"/>
        </w:trPr>
        <w:tc>
          <w:tcPr>
            <w:tcW w:w="959" w:type="dxa"/>
            <w:tcBorders>
              <w:top w:val="nil"/>
              <w:left w:val="single" w:color="auto" w:sz="4" w:space="0"/>
              <w:bottom w:val="single" w:color="000000" w:sz="4" w:space="0"/>
              <w:right w:val="single" w:color="auto" w:sz="4" w:space="0"/>
            </w:tcBorders>
            <w:noWrap/>
            <w:vAlign w:val="center"/>
          </w:tcPr>
          <w:p>
            <w:pPr>
              <w:widowControl/>
              <w:spacing w:line="300" w:lineRule="exact"/>
              <w:jc w:val="center"/>
              <w:rPr>
                <w:rFonts w:ascii="仿宋_GB2312" w:hAnsi="宋体" w:eastAsia="仿宋_GB2312" w:cs="宋体"/>
                <w:color w:val="000000"/>
                <w:kern w:val="0"/>
                <w:sz w:val="24"/>
              </w:rPr>
            </w:pPr>
            <w:r>
              <w:rPr>
                <w:rFonts w:ascii="仿宋_GB2312" w:hAnsi="宋体" w:eastAsia="仿宋_GB2312" w:cs="宋体"/>
                <w:color w:val="000000"/>
                <w:kern w:val="0"/>
                <w:sz w:val="24"/>
              </w:rPr>
              <w:t>1</w:t>
            </w:r>
          </w:p>
        </w:tc>
        <w:tc>
          <w:tcPr>
            <w:tcW w:w="745" w:type="dxa"/>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技术</w:t>
            </w:r>
          </w:p>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应用</w:t>
            </w:r>
          </w:p>
        </w:tc>
        <w:tc>
          <w:tcPr>
            <w:tcW w:w="5087"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推广</w:t>
            </w:r>
            <w:r>
              <w:rPr>
                <w:rFonts w:ascii="仿宋_GB2312" w:hAnsi="宋体" w:eastAsia="仿宋_GB2312" w:cs="宋体"/>
                <w:color w:val="000000"/>
                <w:kern w:val="0"/>
                <w:sz w:val="24"/>
              </w:rPr>
              <w:t>30</w:t>
            </w:r>
            <w:r>
              <w:rPr>
                <w:rFonts w:hint="eastAsia" w:ascii="仿宋_GB2312" w:hAnsi="宋体" w:eastAsia="仿宋_GB2312" w:cs="宋体"/>
                <w:color w:val="000000"/>
                <w:kern w:val="0"/>
                <w:sz w:val="24"/>
              </w:rPr>
              <w:t>项以上具有代表性的孟河医派特色技术、适宜技术和名方。</w:t>
            </w:r>
          </w:p>
        </w:tc>
        <w:tc>
          <w:tcPr>
            <w:tcW w:w="470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三年内每年推广</w:t>
            </w:r>
            <w:r>
              <w:rPr>
                <w:rFonts w:ascii="仿宋_GB2312" w:hAnsi="宋体" w:eastAsia="仿宋_GB2312" w:cs="宋体"/>
                <w:color w:val="000000"/>
                <w:kern w:val="0"/>
                <w:sz w:val="24"/>
              </w:rPr>
              <w:t>10</w:t>
            </w:r>
            <w:r>
              <w:rPr>
                <w:rFonts w:hint="eastAsia" w:ascii="仿宋_GB2312" w:hAnsi="宋体" w:eastAsia="仿宋_GB2312" w:cs="宋体"/>
                <w:color w:val="000000"/>
                <w:kern w:val="0"/>
                <w:sz w:val="24"/>
              </w:rPr>
              <w:t>项以上。</w:t>
            </w:r>
          </w:p>
        </w:tc>
        <w:tc>
          <w:tcPr>
            <w:tcW w:w="28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医政医管与中医科    各医疗机构</w:t>
            </w:r>
          </w:p>
        </w:tc>
      </w:tr>
      <w:tr>
        <w:tblPrEx>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color w:val="000000"/>
                <w:kern w:val="0"/>
                <w:sz w:val="24"/>
              </w:rPr>
            </w:pPr>
            <w:r>
              <w:rPr>
                <w:rFonts w:ascii="仿宋_GB2312" w:hAnsi="宋体" w:eastAsia="仿宋_GB2312" w:cs="宋体"/>
                <w:color w:val="000000"/>
                <w:kern w:val="0"/>
                <w:sz w:val="24"/>
              </w:rPr>
              <w:t>2</w:t>
            </w:r>
          </w:p>
        </w:tc>
        <w:tc>
          <w:tcPr>
            <w:tcW w:w="7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机构</w:t>
            </w:r>
          </w:p>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建设</w:t>
            </w:r>
          </w:p>
        </w:tc>
        <w:tc>
          <w:tcPr>
            <w:tcW w:w="5087" w:type="dxa"/>
            <w:tcBorders>
              <w:top w:val="nil"/>
              <w:left w:val="nil"/>
              <w:bottom w:val="nil"/>
              <w:right w:val="nil"/>
            </w:tcBorders>
            <w:noWrap/>
            <w:vAlign w:val="center"/>
          </w:tcPr>
          <w:p>
            <w:pPr>
              <w:widowControl/>
              <w:spacing w:line="3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加强基层医疗机构中医馆、中医阁的建设。</w:t>
            </w:r>
          </w:p>
        </w:tc>
        <w:tc>
          <w:tcPr>
            <w:tcW w:w="4700" w:type="dxa"/>
            <w:tcBorders>
              <w:top w:val="nil"/>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4"/>
              </w:rPr>
            </w:pPr>
            <w:r>
              <w:rPr>
                <w:rFonts w:ascii="仿宋_GB2312" w:hAnsi="宋体" w:eastAsia="仿宋_GB2312" w:cs="宋体"/>
                <w:color w:val="000000"/>
                <w:kern w:val="0"/>
                <w:sz w:val="24"/>
              </w:rPr>
              <w:t>2020</w:t>
            </w:r>
            <w:r>
              <w:rPr>
                <w:rFonts w:hint="eastAsia" w:ascii="仿宋_GB2312" w:hAnsi="宋体" w:eastAsia="仿宋_GB2312" w:cs="宋体"/>
                <w:color w:val="000000"/>
                <w:kern w:val="0"/>
                <w:sz w:val="24"/>
              </w:rPr>
              <w:t>年中医馆标准化率达</w:t>
            </w:r>
            <w:r>
              <w:rPr>
                <w:rFonts w:ascii="仿宋_GB2312" w:hAnsi="宋体" w:eastAsia="仿宋_GB2312" w:cs="宋体"/>
                <w:color w:val="000000"/>
                <w:kern w:val="0"/>
                <w:sz w:val="24"/>
              </w:rPr>
              <w:t>100%</w:t>
            </w: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2022</w:t>
            </w:r>
            <w:r>
              <w:rPr>
                <w:rFonts w:hint="eastAsia" w:ascii="仿宋_GB2312" w:hAnsi="宋体" w:eastAsia="仿宋_GB2312" w:cs="宋体"/>
                <w:color w:val="000000"/>
                <w:kern w:val="0"/>
                <w:sz w:val="24"/>
              </w:rPr>
              <w:t>年中医阁标准化率达</w:t>
            </w:r>
            <w:r>
              <w:rPr>
                <w:rFonts w:ascii="仿宋_GB2312" w:hAnsi="宋体" w:eastAsia="仿宋_GB2312" w:cs="宋体"/>
                <w:color w:val="000000"/>
                <w:kern w:val="0"/>
                <w:sz w:val="24"/>
              </w:rPr>
              <w:t>60%</w:t>
            </w:r>
            <w:r>
              <w:rPr>
                <w:rFonts w:hint="eastAsia" w:ascii="仿宋_GB2312" w:hAnsi="宋体" w:eastAsia="仿宋_GB2312" w:cs="宋体"/>
                <w:color w:val="000000"/>
                <w:kern w:val="0"/>
                <w:sz w:val="24"/>
              </w:rPr>
              <w:t>、示范中医馆达</w:t>
            </w:r>
            <w:r>
              <w:rPr>
                <w:rFonts w:ascii="仿宋_GB2312" w:hAnsi="宋体" w:eastAsia="仿宋_GB2312" w:cs="宋体"/>
                <w:color w:val="000000"/>
                <w:kern w:val="0"/>
                <w:sz w:val="24"/>
              </w:rPr>
              <w:t>20%</w:t>
            </w:r>
            <w:r>
              <w:rPr>
                <w:rFonts w:hint="eastAsia" w:ascii="仿宋_GB2312" w:hAnsi="宋体" w:eastAsia="仿宋_GB2312" w:cs="宋体"/>
                <w:color w:val="000000"/>
                <w:kern w:val="0"/>
                <w:sz w:val="24"/>
              </w:rPr>
              <w:t>左右。</w:t>
            </w:r>
          </w:p>
        </w:tc>
        <w:tc>
          <w:tcPr>
            <w:tcW w:w="28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医政医管与中医科    各医疗机构</w:t>
            </w:r>
          </w:p>
        </w:tc>
      </w:tr>
      <w:tr>
        <w:tblPrEx>
          <w:tblCellMar>
            <w:top w:w="0" w:type="dxa"/>
            <w:left w:w="108" w:type="dxa"/>
            <w:bottom w:w="0" w:type="dxa"/>
            <w:right w:w="108" w:type="dxa"/>
          </w:tblCellMar>
        </w:tblPrEx>
        <w:trPr>
          <w:trHeight w:val="597" w:hRule="atLeast"/>
        </w:trPr>
        <w:tc>
          <w:tcPr>
            <w:tcW w:w="959"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color w:val="000000"/>
                <w:kern w:val="0"/>
                <w:sz w:val="24"/>
              </w:rPr>
            </w:pPr>
            <w:r>
              <w:rPr>
                <w:rFonts w:ascii="仿宋_GB2312" w:hAnsi="宋体" w:eastAsia="仿宋_GB2312" w:cs="宋体"/>
                <w:color w:val="000000"/>
                <w:kern w:val="0"/>
                <w:sz w:val="24"/>
              </w:rPr>
              <w:t>3</w:t>
            </w:r>
          </w:p>
        </w:tc>
        <w:tc>
          <w:tcPr>
            <w:tcW w:w="7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文化</w:t>
            </w:r>
          </w:p>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宣传</w:t>
            </w:r>
          </w:p>
        </w:tc>
        <w:tc>
          <w:tcPr>
            <w:tcW w:w="508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通过“中医文化节”、“中医养生节”，开展中医文化和孟河医派的宣传。</w:t>
            </w:r>
          </w:p>
        </w:tc>
        <w:tc>
          <w:tcPr>
            <w:tcW w:w="470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每年实施。</w:t>
            </w:r>
          </w:p>
        </w:tc>
        <w:tc>
          <w:tcPr>
            <w:tcW w:w="28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医政医管与中医科    各医疗机构</w:t>
            </w:r>
          </w:p>
        </w:tc>
      </w:tr>
    </w:tbl>
    <w:p>
      <w:pPr>
        <w:spacing w:line="570" w:lineRule="exact"/>
        <w:rPr>
          <w:rFonts w:ascii="仿宋_GB2312" w:hAnsi="仿宋_GB2312" w:eastAsia="仿宋_GB2312" w:cs="仿宋_GB2312"/>
          <w:color w:val="000000"/>
          <w:sz w:val="32"/>
          <w:szCs w:val="32"/>
        </w:rPr>
        <w:sectPr>
          <w:pgSz w:w="16838" w:h="11906" w:orient="landscape"/>
          <w:pgMar w:top="1531" w:right="2098" w:bottom="1531" w:left="1985" w:header="851" w:footer="992" w:gutter="0"/>
          <w:pgNumType w:fmt="numberInDash"/>
          <w:cols w:space="720" w:num="1"/>
          <w:docGrid w:type="lines" w:linePitch="312" w:charSpace="0"/>
        </w:sectPr>
      </w:pPr>
    </w:p>
    <w:p>
      <w:pPr>
        <w:adjustRightInd w:val="0"/>
        <w:snapToGrid w:val="0"/>
        <w:spacing w:line="20" w:lineRule="exact"/>
      </w:pPr>
    </w:p>
    <w:p>
      <w:pPr>
        <w:pStyle w:val="5"/>
        <w:shd w:val="clear" w:color="auto" w:fill="FFFFFF"/>
        <w:spacing w:before="0" w:beforeAutospacing="0" w:after="0" w:afterAutospacing="0" w:line="570" w:lineRule="exact"/>
        <w:jc w:val="both"/>
        <w:textAlignment w:val="baseline"/>
        <w:rPr>
          <w:rFonts w:ascii="Times New Roman" w:hAnsi="Times New Roman" w:eastAsia="黑体" w:cs="Times New Roman"/>
          <w:color w:val="000000"/>
          <w:spacing w:val="-20"/>
          <w:sz w:val="32"/>
          <w:szCs w:val="32"/>
        </w:rPr>
      </w:pPr>
      <w:r>
        <w:rPr>
          <w:rFonts w:ascii="Times New Roman" w:hAnsi="Times New Roman" w:eastAsia="黑体" w:cs="Times New Roman"/>
          <w:color w:val="000000"/>
          <w:spacing w:val="-20"/>
          <w:sz w:val="32"/>
          <w:szCs w:val="32"/>
        </w:rPr>
        <w:t>附件5</w:t>
      </w:r>
    </w:p>
    <w:p>
      <w:pPr>
        <w:pStyle w:val="5"/>
        <w:shd w:val="clear" w:color="auto" w:fill="FFFFFF"/>
        <w:spacing w:before="0" w:beforeAutospacing="0" w:after="0" w:afterAutospacing="0" w:line="700" w:lineRule="exact"/>
        <w:jc w:val="center"/>
        <w:textAlignment w:val="baseline"/>
        <w:rPr>
          <w:rFonts w:ascii="Times New Roman" w:hAnsi="Times New Roman" w:eastAsia="方正小标宋简体" w:cs="Times New Roman"/>
          <w:color w:val="000000"/>
          <w:spacing w:val="-22"/>
          <w:sz w:val="44"/>
          <w:szCs w:val="44"/>
        </w:rPr>
      </w:pPr>
      <w:r>
        <w:rPr>
          <w:rFonts w:ascii="Times New Roman" w:hAnsi="Times New Roman" w:eastAsia="方正小标宋简体" w:cs="Times New Roman"/>
          <w:color w:val="000000"/>
          <w:spacing w:val="-22"/>
          <w:sz w:val="44"/>
          <w:szCs w:val="44"/>
        </w:rPr>
        <w:t>钟楼区妇幼健康工作争先进位三年行动方案</w:t>
      </w:r>
    </w:p>
    <w:p>
      <w:pPr>
        <w:pStyle w:val="5"/>
        <w:shd w:val="clear" w:color="auto" w:fill="FFFFFF"/>
        <w:spacing w:before="0" w:beforeAutospacing="0" w:after="0" w:afterAutospacing="0" w:line="570" w:lineRule="exact"/>
        <w:ind w:firstLine="640" w:firstLineChars="200"/>
        <w:jc w:val="both"/>
        <w:textAlignment w:val="baseline"/>
        <w:rPr>
          <w:rFonts w:ascii="Times New Roman" w:hAnsi="Times New Roman" w:eastAsia="仿宋_GB2312" w:cs="Times New Roman"/>
          <w:color w:val="000000"/>
          <w:sz w:val="32"/>
          <w:szCs w:val="32"/>
        </w:rPr>
      </w:pPr>
    </w:p>
    <w:p>
      <w:pPr>
        <w:spacing w:line="57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一、指导思想</w:t>
      </w:r>
    </w:p>
    <w:p>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大妇幼、大健康”为引领，充分发挥政府主导作用，推进部门合作和社会参与，不断完善政策制度和服务链条，将妇女儿童健康融入所有政策，努力为全体妇女儿童提供公平可及和系统连续的妇幼健康服务，逐步实现从胎儿到生命终点的全程健康服务和保障。</w:t>
      </w:r>
    </w:p>
    <w:p>
      <w:pPr>
        <w:spacing w:line="57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二、工作目标</w:t>
      </w:r>
    </w:p>
    <w:p>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进一步优化妇幼健康服务资源配置，建立以市妇幼保健院、区妇计中心为主体，基层医疗卫生机构的妇儿保门诊、计划生育门诊等为基础的新型妇幼健康服务体系。到2022年，基本建成覆盖城乡居民的现代妇幼健康服务体系，妇幼健康服务能力与水平、公平性和可及性进一步提高，影响妇女儿童健康的突出问题逐步解决，妇女儿童主要健康指标处于市内第一方阵。重点指标为：</w:t>
      </w:r>
    </w:p>
    <w:p>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高危儿规范管理率≥80%。</w:t>
      </w:r>
    </w:p>
    <w:p>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孕产妇死亡率下降到8/10万以下。</w:t>
      </w:r>
    </w:p>
    <w:p>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 严重多发致残出生缺陷率逐步下降。</w:t>
      </w:r>
    </w:p>
    <w:p>
      <w:pPr>
        <w:spacing w:line="57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三、工作措施</w:t>
      </w:r>
    </w:p>
    <w:p>
      <w:pPr>
        <w:spacing w:line="57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bCs/>
          <w:color w:val="0D0D0D"/>
          <w:sz w:val="32"/>
          <w:szCs w:val="32"/>
        </w:rPr>
        <w:t>（一）</w:t>
      </w:r>
      <w:r>
        <w:rPr>
          <w:rFonts w:ascii="Times New Roman" w:hAnsi="Times New Roman" w:eastAsia="楷体_GB2312" w:cs="Times New Roman"/>
          <w:sz w:val="32"/>
          <w:szCs w:val="32"/>
        </w:rPr>
        <w:t>建体系，实施妇幼健康服务体系建设项目</w:t>
      </w:r>
    </w:p>
    <w:p>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 w:cs="Times New Roman"/>
          <w:sz w:val="32"/>
          <w:szCs w:val="32"/>
        </w:rPr>
        <w:t>妇幼健康服务体系，是开展妇幼健康服务的物质载体和基础条件，必须要把妇幼健康基础打牢。</w:t>
      </w:r>
      <w:r>
        <w:rPr>
          <w:rFonts w:ascii="Times New Roman" w:hAnsi="Times New Roman" w:eastAsia="仿宋_GB2312" w:cs="Times New Roman"/>
          <w:b/>
          <w:sz w:val="32"/>
          <w:szCs w:val="32"/>
        </w:rPr>
        <w:t>一是构建妇幼健康协同服务体系。</w:t>
      </w:r>
      <w:r>
        <w:rPr>
          <w:rFonts w:ascii="Times New Roman" w:hAnsi="Times New Roman" w:eastAsia="仿宋" w:cs="Times New Roman"/>
          <w:sz w:val="32"/>
          <w:szCs w:val="32"/>
        </w:rPr>
        <w:t>坚持“大妇幼”理念，依托“1+6+N妇幼健康联合体”，大力构建市妇保院、区妇计中心和社区卫生服务中心（卫生院）的协同服务体系。建立基层人才培养合作机制，充分利用市妇幼保健院实训中心培训我区妇幼健康工作人员，提升服务水平和管理能力。</w:t>
      </w:r>
      <w:r>
        <w:rPr>
          <w:rFonts w:ascii="Times New Roman" w:hAnsi="Times New Roman" w:eastAsia="仿宋_GB2312" w:cs="Times New Roman"/>
          <w:b/>
          <w:sz w:val="32"/>
          <w:szCs w:val="32"/>
        </w:rPr>
        <w:t>二是推进区妇计中心、社区卫生服务中心（卫生院）规范化建设。</w:t>
      </w:r>
      <w:r>
        <w:rPr>
          <w:rFonts w:ascii="Times New Roman" w:hAnsi="Times New Roman" w:eastAsia="仿宋" w:cs="Times New Roman"/>
          <w:sz w:val="32"/>
          <w:szCs w:val="32"/>
        </w:rPr>
        <w:t>2020年区妇计中心新址建设通过立项审批，并开展省二级妇幼保健院（妇幼保健计划生育服务中心）评审工作。对照《江苏省基层医疗卫生机构规范化妇幼健康服务门诊建设标准》，加强妇幼健康相关人员和设备配备，推进城乡基层医疗卫生机构妇女保健门诊、儿童保健门诊和计划生育门诊规范化建设。2020年，力争5家社区卫生服务中心规范化妇幼健康服务门诊通过市级验收，确保完成“基层医疗卫生机构规范化妇幼健康服务门诊建成率80%以上”的目标。2022年，基层医疗卫生机构规范化妇幼健康服务门诊建成率100%。</w:t>
      </w:r>
    </w:p>
    <w:p>
      <w:pPr>
        <w:spacing w:line="570" w:lineRule="exact"/>
        <w:ind w:firstLine="320" w:firstLineChars="100"/>
        <w:rPr>
          <w:rFonts w:ascii="Times New Roman" w:hAnsi="Times New Roman" w:eastAsia="楷体_GB2312" w:cs="Times New Roman"/>
          <w:color w:val="000000"/>
          <w:sz w:val="32"/>
          <w:szCs w:val="32"/>
        </w:rPr>
      </w:pPr>
      <w:r>
        <w:rPr>
          <w:rFonts w:ascii="Times New Roman" w:hAnsi="Times New Roman" w:eastAsia="楷体_GB2312" w:cs="Times New Roman"/>
          <w:bCs/>
          <w:color w:val="0D0D0D"/>
          <w:kern w:val="0"/>
          <w:sz w:val="32"/>
          <w:szCs w:val="32"/>
        </w:rPr>
        <w:t>（二）</w:t>
      </w:r>
      <w:r>
        <w:rPr>
          <w:rFonts w:ascii="Times New Roman" w:hAnsi="Times New Roman" w:eastAsia="楷体_GB2312" w:cs="Times New Roman"/>
          <w:sz w:val="32"/>
          <w:szCs w:val="32"/>
        </w:rPr>
        <w:t>提能力，</w:t>
      </w:r>
      <w:r>
        <w:rPr>
          <w:rFonts w:ascii="Times New Roman" w:hAnsi="Times New Roman" w:eastAsia="楷体_GB2312" w:cs="Times New Roman"/>
          <w:color w:val="000000"/>
          <w:sz w:val="32"/>
          <w:szCs w:val="32"/>
        </w:rPr>
        <w:t>全力保障母婴安全</w:t>
      </w:r>
    </w:p>
    <w:p>
      <w:pPr>
        <w:spacing w:line="570" w:lineRule="exact"/>
        <w:ind w:firstLine="320" w:firstLineChars="100"/>
        <w:rPr>
          <w:rFonts w:ascii="Times New Roman" w:hAnsi="Times New Roman" w:eastAsia="仿宋_GB2312" w:cs="Times New Roman"/>
          <w:color w:val="000000"/>
          <w:sz w:val="32"/>
          <w:szCs w:val="32"/>
        </w:rPr>
      </w:pPr>
      <w:r>
        <w:rPr>
          <w:rFonts w:ascii="Times New Roman" w:hAnsi="Times New Roman" w:eastAsia="仿宋" w:cs="Times New Roman"/>
          <w:sz w:val="32"/>
          <w:szCs w:val="32"/>
        </w:rPr>
        <w:t>实施全面二孩政策以来我区高龄高危孕产妇也随之增多，危重孕产妇的救治任务进一步加重。</w:t>
      </w:r>
      <w:r>
        <w:rPr>
          <w:rFonts w:ascii="Times New Roman" w:hAnsi="Times New Roman" w:eastAsia="仿宋" w:cs="Times New Roman"/>
          <w:color w:val="000000"/>
          <w:sz w:val="32"/>
          <w:szCs w:val="32"/>
        </w:rPr>
        <w:t>区妇计中心做</w:t>
      </w:r>
      <w:r>
        <w:rPr>
          <w:rFonts w:ascii="Times New Roman" w:hAnsi="Times New Roman" w:eastAsia="仿宋" w:cs="Times New Roman"/>
          <w:sz w:val="32"/>
          <w:szCs w:val="32"/>
        </w:rPr>
        <w:t xml:space="preserve">好与市妇幼保健院沟通协调，按计划每年定期组织开展应急模拟演练，不断完善孕产妇和新生儿急救绿色通道，确保高危管理的有效衔接和危重孕产妇新生儿转、会诊网络通畅。辖区孕产妇死亡率控制在8/10万以下；5岁以下儿童死亡率逐步下降。建立健全高危儿管理网络，做到高危儿规范管理率≥80%。持续加强母婴保健培训工作，2022年再提升。严格执行孕产妇和儿童健康管理以及高危因素分级分类管理规定，落实高危因素逐级筛查、转会诊和危重症评审机制。强化早孕建卡率真实性核查，提高校正早孕建卡率。 </w:t>
      </w:r>
    </w:p>
    <w:p>
      <w:pPr>
        <w:spacing w:line="570" w:lineRule="exact"/>
        <w:ind w:firstLine="320" w:firstLineChars="100"/>
        <w:rPr>
          <w:rFonts w:ascii="Times New Roman" w:hAnsi="Times New Roman" w:eastAsia="楷体_GB2312" w:cs="Times New Roman"/>
          <w:color w:val="000000"/>
          <w:sz w:val="32"/>
          <w:szCs w:val="32"/>
        </w:rPr>
      </w:pPr>
      <w:r>
        <w:rPr>
          <w:rFonts w:ascii="Times New Roman" w:hAnsi="Times New Roman" w:eastAsia="楷体_GB2312" w:cs="Times New Roman"/>
          <w:bCs/>
          <w:color w:val="0D0D0D"/>
          <w:kern w:val="0"/>
          <w:sz w:val="32"/>
          <w:szCs w:val="32"/>
        </w:rPr>
        <w:t>（三）强预防、</w:t>
      </w:r>
      <w:r>
        <w:rPr>
          <w:rFonts w:ascii="Times New Roman" w:hAnsi="Times New Roman" w:eastAsia="楷体_GB2312" w:cs="Times New Roman"/>
          <w:color w:val="000000"/>
          <w:sz w:val="32"/>
          <w:szCs w:val="32"/>
        </w:rPr>
        <w:t>做好妇幼公共卫生服务项目</w:t>
      </w:r>
    </w:p>
    <w:p>
      <w:pPr>
        <w:spacing w:line="57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国家将“两癌”、叶酸补服、药具管理、孕前优生健康检查项目纳入基本公共卫生服务项目，我区将及时做好对接与指导考核工作。对艾滋病梅毒乙肝母婴阻断项目，重点要做好免疫球蛋白保管和使用，加强阳性孕产妇和新生儿的药物治疗干预，真正起到干预目的和效果。按照国家基本公共卫生服务项目管理要求，规范孕产妇和儿童健康管理服务，积极构建“三位一体”综合防治管理服务模式。扩大筛查病种，提升新生儿疾病筛查服务能力。唐氏筛查、新生儿先天性心脏病、两种遗传代谢性疾病、听力障碍等免费筛查项目覆盖率达95%以上。同时，积极争取免费耳聋基因、HPV等筛查项目。认真组织，争取教育、财政部门加大人员和设备保障，加强质量控制，加强宣传教育，规范诊治服务，争取0~6岁儿童眼保健和视力检查全覆盖，为评价近视防控工作提供科学依据。妇女两癌筛查实现扩面提质，与总工会合作开展135行动，将家政服务员、环卫工人等非正规就业女职工纳入两癌检查，全面开展宫颈细胞学检查，检查项目升档提质。</w:t>
      </w:r>
    </w:p>
    <w:p>
      <w:pPr>
        <w:spacing w:line="570" w:lineRule="exact"/>
        <w:ind w:firstLine="640"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bCs/>
          <w:color w:val="0D0D0D"/>
          <w:kern w:val="0"/>
          <w:sz w:val="32"/>
          <w:szCs w:val="32"/>
        </w:rPr>
        <w:t>（四）</w:t>
      </w:r>
      <w:r>
        <w:rPr>
          <w:rFonts w:ascii="Times New Roman" w:hAnsi="Times New Roman" w:eastAsia="楷体_GB2312" w:cs="Times New Roman"/>
          <w:sz w:val="32"/>
          <w:szCs w:val="32"/>
        </w:rPr>
        <w:t>惠民生、强化出生缺陷防治效果</w:t>
      </w:r>
    </w:p>
    <w:p>
      <w:pPr>
        <w:spacing w:line="570" w:lineRule="exact"/>
        <w:ind w:firstLine="57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出生缺陷不仅影响儿童的生命健康和生活质量，给家庭带来沉重的精神压力和经济负担，甚至影响经济社会的健康可持续发展。我区坚持以优生优育为目标，认真做好婚前孕前和孕产期保健服务，使我区严重多发致残出生缺陷率逐步下降。</w:t>
      </w:r>
      <w:r>
        <w:rPr>
          <w:rFonts w:ascii="Times New Roman" w:hAnsi="Times New Roman" w:eastAsia="仿宋_GB2312" w:cs="Times New Roman"/>
          <w:b/>
          <w:color w:val="000000"/>
          <w:kern w:val="0"/>
          <w:sz w:val="32"/>
          <w:szCs w:val="32"/>
        </w:rPr>
        <w:t>一是巩固全面免费唐氏筛查项目成果。</w:t>
      </w:r>
      <w:r>
        <w:rPr>
          <w:rFonts w:ascii="Times New Roman" w:hAnsi="Times New Roman" w:eastAsia="仿宋" w:cs="Times New Roman"/>
          <w:color w:val="000000"/>
          <w:kern w:val="0"/>
          <w:sz w:val="32"/>
          <w:szCs w:val="32"/>
        </w:rPr>
        <w:t>我区以优生优育为目标， 2018年9月1日起全面实施免费唐氏筛查。我区建卡机构对已建卡的孕妇进行免费唐氏筛查抽血，并提供相关健康教育、咨询指导和随访服务。筛查服务由市妇幼保健院承担。</w:t>
      </w:r>
      <w:r>
        <w:rPr>
          <w:rFonts w:ascii="Times New Roman" w:hAnsi="Times New Roman" w:eastAsia="仿宋_GB2312" w:cs="Times New Roman"/>
          <w:b/>
          <w:color w:val="000000"/>
          <w:kern w:val="0"/>
          <w:sz w:val="32"/>
          <w:szCs w:val="32"/>
        </w:rPr>
        <w:t>二是扩大筛查病种，提升新生儿疾病筛查服务能力。</w:t>
      </w:r>
      <w:r>
        <w:rPr>
          <w:rFonts w:ascii="Times New Roman" w:hAnsi="Times New Roman" w:eastAsia="仿宋" w:cs="Times New Roman"/>
          <w:color w:val="000000"/>
          <w:kern w:val="0"/>
          <w:sz w:val="32"/>
          <w:szCs w:val="32"/>
        </w:rPr>
        <w:t>在原有先天性甲状腺功能减低症(CH)和先天性肾上腺皮质增生症（CAH）传统筛查的基础上，将筛查病种扩大为29种。为新生儿提供出生后3-7天苯丙酮尿症、先天性甲状腺功能减低症等29种遗传代谢性疾病筛查1次；出生后一个月内听力障碍初筛1次。</w:t>
      </w:r>
      <w:r>
        <w:rPr>
          <w:rFonts w:ascii="Times New Roman" w:hAnsi="Times New Roman" w:eastAsia="仿宋_GB2312" w:cs="Times New Roman"/>
          <w:b/>
          <w:color w:val="000000"/>
          <w:kern w:val="0"/>
          <w:sz w:val="32"/>
          <w:szCs w:val="32"/>
        </w:rPr>
        <w:t>三是注重部门协作，保证婚前医学检查质量。</w:t>
      </w:r>
      <w:r>
        <w:rPr>
          <w:rFonts w:ascii="Times New Roman" w:hAnsi="Times New Roman" w:eastAsia="仿宋" w:cs="Times New Roman"/>
          <w:color w:val="000000"/>
          <w:kern w:val="0"/>
          <w:sz w:val="32"/>
          <w:szCs w:val="32"/>
        </w:rPr>
        <w:t>我区通过建立与民政合作机制，全省率先开展婚检一站式服务，不断优化婚检流程，加强质控，保证婚检服务的便捷优质。</w:t>
      </w:r>
      <w:r>
        <w:rPr>
          <w:rFonts w:ascii="Times New Roman" w:hAnsi="Times New Roman" w:eastAsia="仿宋_GB2312" w:cs="Times New Roman"/>
          <w:b/>
          <w:color w:val="000000"/>
          <w:kern w:val="0"/>
          <w:sz w:val="32"/>
          <w:szCs w:val="32"/>
        </w:rPr>
        <w:t>四是规范提供服务，大力推进产前筛查工作。</w:t>
      </w:r>
      <w:r>
        <w:rPr>
          <w:rFonts w:ascii="Times New Roman" w:hAnsi="Times New Roman" w:eastAsia="仿宋" w:cs="Times New Roman"/>
          <w:color w:val="000000"/>
          <w:kern w:val="0"/>
          <w:sz w:val="32"/>
          <w:szCs w:val="32"/>
        </w:rPr>
        <w:t>根据《常州市产前筛查工作实施方案》要求，进一步规范全区产前筛查与诊断工作，完善产前筛查工作的有效运转模式。</w:t>
      </w:r>
      <w:r>
        <w:rPr>
          <w:rFonts w:ascii="Times New Roman" w:hAnsi="Times New Roman" w:eastAsia="仿宋_GB2312" w:cs="Times New Roman"/>
          <w:b/>
          <w:color w:val="000000"/>
          <w:kern w:val="0"/>
          <w:sz w:val="32"/>
          <w:szCs w:val="32"/>
        </w:rPr>
        <w:t>五是加强宣传指导、提供优质孕前优生服务。</w:t>
      </w:r>
      <w:r>
        <w:rPr>
          <w:rFonts w:ascii="Times New Roman" w:hAnsi="Times New Roman" w:eastAsia="仿宋" w:cs="Times New Roman"/>
          <w:color w:val="000000"/>
          <w:kern w:val="0"/>
          <w:sz w:val="32"/>
          <w:szCs w:val="32"/>
        </w:rPr>
        <w:t>为计划怀孕的人群提供优生科学知识和医学检查服务，帮助其了解基本健康状况和影响生育的危险因素，充分评估孕前健康状况，有效减少出生缺陷发生。</w:t>
      </w:r>
      <w:r>
        <w:rPr>
          <w:rFonts w:ascii="Times New Roman" w:hAnsi="Times New Roman" w:eastAsia="仿宋_GB2312" w:cs="Times New Roman"/>
          <w:b/>
          <w:color w:val="000000"/>
          <w:kern w:val="0"/>
          <w:sz w:val="32"/>
          <w:szCs w:val="32"/>
        </w:rPr>
        <w:t>六是拓展民生实事工程，开展胎儿新生儿先天性心脏病筛查。</w:t>
      </w:r>
      <w:r>
        <w:rPr>
          <w:rFonts w:ascii="Times New Roman" w:hAnsi="Times New Roman" w:eastAsia="仿宋" w:cs="Times New Roman"/>
          <w:color w:val="000000"/>
          <w:kern w:val="0"/>
          <w:sz w:val="32"/>
          <w:szCs w:val="32"/>
        </w:rPr>
        <w:t>落实《</w:t>
      </w:r>
      <w:r>
        <w:rPr>
          <w:rFonts w:ascii="Times New Roman" w:hAnsi="Times New Roman" w:eastAsia="仿宋" w:cs="Times New Roman"/>
          <w:sz w:val="32"/>
          <w:szCs w:val="32"/>
        </w:rPr>
        <w:t>常州市胎儿和新生儿先天性心脏病筛查项目工作实施方案》要求，</w:t>
      </w:r>
      <w:r>
        <w:rPr>
          <w:rFonts w:ascii="Times New Roman" w:hAnsi="Times New Roman" w:eastAsia="仿宋" w:cs="Times New Roman"/>
          <w:color w:val="000000"/>
          <w:kern w:val="0"/>
          <w:sz w:val="32"/>
          <w:szCs w:val="32"/>
        </w:rPr>
        <w:t>提升先天性心脏病患儿生存和生活质量。</w:t>
      </w:r>
    </w:p>
    <w:p>
      <w:pPr>
        <w:spacing w:line="570" w:lineRule="exact"/>
        <w:ind w:firstLine="570"/>
        <w:rPr>
          <w:rFonts w:ascii="Times New Roman" w:hAnsi="Times New Roman" w:eastAsia="楷体_GB2312" w:cs="Times New Roman"/>
          <w:color w:val="000000"/>
          <w:kern w:val="0"/>
          <w:sz w:val="32"/>
          <w:szCs w:val="32"/>
        </w:rPr>
      </w:pPr>
      <w:r>
        <w:rPr>
          <w:rFonts w:ascii="Times New Roman" w:hAnsi="Times New Roman" w:eastAsia="楷体_GB2312" w:cs="Times New Roman"/>
          <w:bCs/>
          <w:color w:val="0D0D0D"/>
          <w:kern w:val="0"/>
          <w:sz w:val="32"/>
          <w:szCs w:val="32"/>
        </w:rPr>
        <w:t>（五）</w:t>
      </w:r>
      <w:r>
        <w:rPr>
          <w:rFonts w:ascii="Times New Roman" w:hAnsi="Times New Roman" w:eastAsia="楷体_GB2312" w:cs="Times New Roman"/>
          <w:color w:val="000000"/>
          <w:sz w:val="32"/>
          <w:szCs w:val="32"/>
        </w:rPr>
        <w:t>重合作，完善妇幼健康信息监测</w:t>
      </w:r>
    </w:p>
    <w:p>
      <w:pPr>
        <w:spacing w:line="570" w:lineRule="exact"/>
        <w:ind w:firstLine="570"/>
        <w:rPr>
          <w:rFonts w:ascii="Times New Roman" w:hAnsi="Times New Roman" w:eastAsia="楷体" w:cs="Times New Roman"/>
          <w:color w:val="000000"/>
          <w:kern w:val="0"/>
          <w:sz w:val="32"/>
          <w:szCs w:val="32"/>
        </w:rPr>
      </w:pPr>
      <w:r>
        <w:rPr>
          <w:rFonts w:ascii="Times New Roman" w:hAnsi="Times New Roman" w:eastAsia="仿宋" w:cs="Times New Roman"/>
          <w:color w:val="000000"/>
          <w:kern w:val="0"/>
          <w:sz w:val="32"/>
          <w:szCs w:val="32"/>
        </w:rPr>
        <w:t>随着市妇幼保健院迁至我区，对我区三网监测工作质量提出更高要求。区妇计中心将加强与妇幼保健院相关科室的联系，及时获取活产及孕产妇、新生儿死亡信息，确保三网监测质量。我区将按省、市统一部署，持续推进省妇幼健康信息系统务实应用，配合软件公司和市卫健委做好系统优化升级工作，重点做好省系统与实验室LIS系统的对接，并以此为基础，提高妇幼健康精准服务水平。</w:t>
      </w:r>
    </w:p>
    <w:p>
      <w:pPr>
        <w:pStyle w:val="5"/>
        <w:shd w:val="clear" w:color="auto" w:fill="FFFFFF"/>
        <w:spacing w:before="0" w:beforeAutospacing="0" w:after="0" w:afterAutospacing="0" w:line="540" w:lineRule="exact"/>
        <w:textAlignment w:val="baseline"/>
        <w:rPr>
          <w:rFonts w:ascii="Times New Roman" w:hAnsi="Times New Roman" w:cs="Times New Roman"/>
        </w:rPr>
      </w:pPr>
    </w:p>
    <w:p>
      <w:pPr>
        <w:rPr>
          <w:rFonts w:ascii="Times New Roman" w:hAnsi="Times New Roman" w:eastAsia="黑体" w:cs="Times New Roman"/>
          <w:sz w:val="32"/>
          <w:szCs w:val="32"/>
        </w:rPr>
      </w:pPr>
    </w:p>
    <w:p>
      <w:pPr>
        <w:spacing w:line="570" w:lineRule="exact"/>
        <w:rPr>
          <w:rFonts w:ascii="Times New Roman" w:hAnsi="Times New Roman" w:eastAsia="方正小标宋简体" w:cs="Times New Roman"/>
          <w:sz w:val="44"/>
          <w:szCs w:val="44"/>
        </w:rPr>
        <w:sectPr>
          <w:pgSz w:w="11906" w:h="16838"/>
          <w:pgMar w:top="2098" w:right="1531" w:bottom="1985" w:left="1531" w:header="851" w:footer="992" w:gutter="0"/>
          <w:pgNumType w:fmt="numberInDash"/>
          <w:cols w:space="425" w:num="1"/>
          <w:docGrid w:type="lines" w:linePitch="312" w:charSpace="0"/>
        </w:sectPr>
      </w:pPr>
    </w:p>
    <w:p>
      <w:pPr>
        <w:spacing w:line="440" w:lineRule="exact"/>
        <w:ind w:firstLine="880" w:firstLineChars="20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钟楼区妇幼健康工作争先进位三年行动方案任务分解表</w:t>
      </w:r>
    </w:p>
    <w:tbl>
      <w:tblPr>
        <w:tblStyle w:val="6"/>
        <w:tblW w:w="14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2"/>
        <w:gridCol w:w="2977"/>
        <w:gridCol w:w="6946"/>
        <w:gridCol w:w="1701"/>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92" w:type="dxa"/>
          </w:tcPr>
          <w:p>
            <w:pPr>
              <w:jc w:val="center"/>
              <w:rPr>
                <w:rFonts w:ascii="Times New Roman" w:hAnsi="Times New Roman" w:eastAsia="黑体" w:cs="Times New Roman"/>
                <w:sz w:val="28"/>
              </w:rPr>
            </w:pPr>
            <w:r>
              <w:rPr>
                <w:rFonts w:ascii="Times New Roman" w:hAnsi="Times New Roman" w:eastAsia="黑体" w:cs="Times New Roman"/>
                <w:sz w:val="28"/>
              </w:rPr>
              <w:t>序号</w:t>
            </w:r>
          </w:p>
        </w:tc>
        <w:tc>
          <w:tcPr>
            <w:tcW w:w="2977" w:type="dxa"/>
          </w:tcPr>
          <w:p>
            <w:pPr>
              <w:jc w:val="center"/>
              <w:rPr>
                <w:rFonts w:ascii="Times New Roman" w:hAnsi="Times New Roman" w:eastAsia="黑体" w:cs="Times New Roman"/>
                <w:sz w:val="28"/>
              </w:rPr>
            </w:pPr>
            <w:r>
              <w:rPr>
                <w:rFonts w:ascii="Times New Roman" w:hAnsi="Times New Roman" w:eastAsia="黑体" w:cs="Times New Roman"/>
                <w:sz w:val="28"/>
              </w:rPr>
              <w:t>项目名称</w:t>
            </w:r>
          </w:p>
        </w:tc>
        <w:tc>
          <w:tcPr>
            <w:tcW w:w="6946" w:type="dxa"/>
          </w:tcPr>
          <w:p>
            <w:pPr>
              <w:jc w:val="center"/>
              <w:rPr>
                <w:rFonts w:ascii="Times New Roman" w:hAnsi="Times New Roman" w:eastAsia="黑体" w:cs="Times New Roman"/>
                <w:sz w:val="28"/>
              </w:rPr>
            </w:pPr>
            <w:r>
              <w:rPr>
                <w:rFonts w:ascii="Times New Roman" w:hAnsi="Times New Roman" w:eastAsia="黑体" w:cs="Times New Roman"/>
                <w:sz w:val="28"/>
              </w:rPr>
              <w:t>工作任务</w:t>
            </w:r>
          </w:p>
        </w:tc>
        <w:tc>
          <w:tcPr>
            <w:tcW w:w="1701" w:type="dxa"/>
            <w:vAlign w:val="center"/>
          </w:tcPr>
          <w:p>
            <w:pPr>
              <w:jc w:val="center"/>
              <w:rPr>
                <w:rFonts w:ascii="Times New Roman" w:hAnsi="Times New Roman" w:eastAsia="黑体" w:cs="Times New Roman"/>
                <w:sz w:val="28"/>
              </w:rPr>
            </w:pPr>
            <w:r>
              <w:rPr>
                <w:rFonts w:ascii="Times New Roman" w:hAnsi="Times New Roman" w:eastAsia="黑体" w:cs="Times New Roman"/>
                <w:sz w:val="28"/>
              </w:rPr>
              <w:t>工作进度</w:t>
            </w:r>
          </w:p>
        </w:tc>
        <w:tc>
          <w:tcPr>
            <w:tcW w:w="1909" w:type="dxa"/>
          </w:tcPr>
          <w:p>
            <w:pPr>
              <w:jc w:val="center"/>
              <w:rPr>
                <w:rFonts w:ascii="Times New Roman" w:hAnsi="Times New Roman" w:eastAsia="黑体" w:cs="Times New Roman"/>
                <w:sz w:val="28"/>
              </w:rPr>
            </w:pPr>
            <w:r>
              <w:rPr>
                <w:rFonts w:ascii="Times New Roman" w:hAnsi="Times New Roman" w:eastAsia="黑体" w:cs="Times New Roman"/>
                <w:sz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 w:type="dxa"/>
            <w:vMerge w:val="restart"/>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977" w:type="dxa"/>
            <w:vMerge w:val="restart"/>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建体系，实施妇幼健康服务体系建设项目</w:t>
            </w:r>
          </w:p>
        </w:tc>
        <w:tc>
          <w:tcPr>
            <w:tcW w:w="6946"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1.大力构建市妇保院、区妇计中心和社区卫生服务中心（卫生院）的协同服务体系。</w:t>
            </w:r>
          </w:p>
        </w:tc>
        <w:tc>
          <w:tcPr>
            <w:tcW w:w="1701" w:type="dxa"/>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2020-2022年</w:t>
            </w:r>
          </w:p>
        </w:tc>
        <w:tc>
          <w:tcPr>
            <w:tcW w:w="1909"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卫健局</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市妇幼保健院</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妇计中心、</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各医疗机构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 w:type="dxa"/>
            <w:vMerge w:val="continue"/>
            <w:vAlign w:val="center"/>
          </w:tcPr>
          <w:p>
            <w:pPr>
              <w:spacing w:line="300" w:lineRule="exact"/>
              <w:jc w:val="center"/>
              <w:rPr>
                <w:rFonts w:ascii="Times New Roman" w:hAnsi="Times New Roman" w:eastAsia="仿宋_GB2312" w:cs="Times New Roman"/>
                <w:sz w:val="24"/>
                <w:szCs w:val="24"/>
              </w:rPr>
            </w:pPr>
          </w:p>
        </w:tc>
        <w:tc>
          <w:tcPr>
            <w:tcW w:w="2977" w:type="dxa"/>
            <w:vMerge w:val="continue"/>
            <w:vAlign w:val="center"/>
          </w:tcPr>
          <w:p>
            <w:pPr>
              <w:spacing w:line="300" w:lineRule="exact"/>
              <w:jc w:val="center"/>
              <w:rPr>
                <w:rFonts w:ascii="Times New Roman" w:hAnsi="Times New Roman" w:eastAsia="仿宋_GB2312" w:cs="Times New Roman"/>
                <w:sz w:val="24"/>
                <w:szCs w:val="24"/>
              </w:rPr>
            </w:pPr>
          </w:p>
        </w:tc>
        <w:tc>
          <w:tcPr>
            <w:tcW w:w="6946"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ascii="Times New Roman" w:hAnsi="Times New Roman" w:eastAsia="仿宋_GB2312" w:cs="Times New Roman"/>
                <w:color w:val="000000"/>
                <w:sz w:val="24"/>
                <w:szCs w:val="24"/>
              </w:rPr>
              <w:t>区妇计中心新址建设通过立项审批。</w:t>
            </w:r>
          </w:p>
        </w:tc>
        <w:tc>
          <w:tcPr>
            <w:tcW w:w="1701" w:type="dxa"/>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2020年</w:t>
            </w:r>
          </w:p>
        </w:tc>
        <w:tc>
          <w:tcPr>
            <w:tcW w:w="1909"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卫健局</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妇计中心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 w:type="dxa"/>
            <w:vMerge w:val="continue"/>
            <w:vAlign w:val="center"/>
          </w:tcPr>
          <w:p>
            <w:pPr>
              <w:spacing w:line="300" w:lineRule="exact"/>
              <w:jc w:val="center"/>
              <w:rPr>
                <w:rFonts w:ascii="Times New Roman" w:hAnsi="Times New Roman" w:eastAsia="仿宋_GB2312" w:cs="Times New Roman"/>
                <w:sz w:val="24"/>
                <w:szCs w:val="24"/>
              </w:rPr>
            </w:pPr>
          </w:p>
        </w:tc>
        <w:tc>
          <w:tcPr>
            <w:tcW w:w="2977" w:type="dxa"/>
            <w:vMerge w:val="continue"/>
            <w:vAlign w:val="center"/>
          </w:tcPr>
          <w:p>
            <w:pPr>
              <w:spacing w:line="300" w:lineRule="exact"/>
              <w:jc w:val="center"/>
              <w:rPr>
                <w:rFonts w:ascii="Times New Roman" w:hAnsi="Times New Roman" w:eastAsia="仿宋_GB2312" w:cs="Times New Roman"/>
                <w:sz w:val="24"/>
                <w:szCs w:val="24"/>
              </w:rPr>
            </w:pPr>
          </w:p>
        </w:tc>
        <w:tc>
          <w:tcPr>
            <w:tcW w:w="6946"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3</w:t>
            </w:r>
            <w:r>
              <w:rPr>
                <w:rFonts w:ascii="Times New Roman" w:hAnsi="Times New Roman" w:eastAsia="仿宋_GB2312" w:cs="Times New Roman"/>
                <w:sz w:val="24"/>
                <w:szCs w:val="24"/>
              </w:rPr>
              <w:t>.</w:t>
            </w:r>
            <w:r>
              <w:rPr>
                <w:rFonts w:ascii="Times New Roman" w:hAnsi="Times New Roman" w:eastAsia="仿宋_GB2312" w:cs="Times New Roman"/>
                <w:color w:val="000000"/>
                <w:sz w:val="24"/>
                <w:szCs w:val="24"/>
              </w:rPr>
              <w:t>力争5家</w:t>
            </w:r>
            <w:r>
              <w:rPr>
                <w:rFonts w:ascii="Times New Roman" w:hAnsi="Times New Roman" w:eastAsia="仿宋_GB2312" w:cs="Times New Roman"/>
                <w:sz w:val="24"/>
                <w:szCs w:val="24"/>
              </w:rPr>
              <w:t>基层医疗卫生机构</w:t>
            </w:r>
            <w:r>
              <w:rPr>
                <w:rFonts w:ascii="Times New Roman" w:hAnsi="Times New Roman" w:eastAsia="仿宋_GB2312" w:cs="Times New Roman"/>
                <w:color w:val="000000"/>
                <w:sz w:val="24"/>
                <w:szCs w:val="24"/>
              </w:rPr>
              <w:t>规范化妇幼健康服务门诊通过市级验收。</w:t>
            </w:r>
          </w:p>
        </w:tc>
        <w:tc>
          <w:tcPr>
            <w:tcW w:w="1701" w:type="dxa"/>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2020年</w:t>
            </w:r>
          </w:p>
        </w:tc>
        <w:tc>
          <w:tcPr>
            <w:tcW w:w="1909"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卫健局</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妇计中心</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相关医疗机构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 w:type="dxa"/>
            <w:vMerge w:val="restart"/>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977" w:type="dxa"/>
            <w:vMerge w:val="restart"/>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提能力，全力保障母婴安全</w:t>
            </w:r>
          </w:p>
        </w:tc>
        <w:tc>
          <w:tcPr>
            <w:tcW w:w="6946" w:type="dxa"/>
            <w:vAlign w:val="center"/>
          </w:tcPr>
          <w:p>
            <w:pPr>
              <w:spacing w:line="30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1.按计划每年定期组织开展应急模拟演练。</w:t>
            </w:r>
          </w:p>
        </w:tc>
        <w:tc>
          <w:tcPr>
            <w:tcW w:w="1701" w:type="dxa"/>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2020-2022年</w:t>
            </w:r>
          </w:p>
        </w:tc>
        <w:tc>
          <w:tcPr>
            <w:tcW w:w="1909"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卫健局</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妇计中心</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各医疗机构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 w:type="dxa"/>
            <w:vMerge w:val="continue"/>
          </w:tcPr>
          <w:p>
            <w:pPr>
              <w:spacing w:line="300" w:lineRule="exact"/>
              <w:jc w:val="center"/>
              <w:rPr>
                <w:rFonts w:ascii="Times New Roman" w:hAnsi="Times New Roman" w:eastAsia="仿宋_GB2312" w:cs="Times New Roman"/>
                <w:sz w:val="24"/>
                <w:szCs w:val="24"/>
              </w:rPr>
            </w:pPr>
          </w:p>
        </w:tc>
        <w:tc>
          <w:tcPr>
            <w:tcW w:w="2977" w:type="dxa"/>
            <w:vMerge w:val="continue"/>
          </w:tcPr>
          <w:p>
            <w:pPr>
              <w:spacing w:line="300" w:lineRule="exact"/>
              <w:jc w:val="center"/>
              <w:rPr>
                <w:rFonts w:ascii="Times New Roman" w:hAnsi="Times New Roman" w:eastAsia="仿宋_GB2312" w:cs="Times New Roman"/>
                <w:sz w:val="24"/>
                <w:szCs w:val="24"/>
              </w:rPr>
            </w:pPr>
          </w:p>
        </w:tc>
        <w:tc>
          <w:tcPr>
            <w:tcW w:w="6946" w:type="dxa"/>
            <w:vAlign w:val="center"/>
          </w:tcPr>
          <w:p>
            <w:pPr>
              <w:spacing w:line="30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2.落实高危因素逐级筛查、转会诊和危重症评审机制。</w:t>
            </w:r>
          </w:p>
        </w:tc>
        <w:tc>
          <w:tcPr>
            <w:tcW w:w="1701" w:type="dxa"/>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2020-2022年</w:t>
            </w:r>
          </w:p>
        </w:tc>
        <w:tc>
          <w:tcPr>
            <w:tcW w:w="1909"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卫健局</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妇计中心</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各医疗机构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 w:type="dxa"/>
            <w:vMerge w:val="continue"/>
          </w:tcPr>
          <w:p>
            <w:pPr>
              <w:spacing w:line="300" w:lineRule="exact"/>
              <w:jc w:val="center"/>
              <w:rPr>
                <w:rFonts w:ascii="Times New Roman" w:hAnsi="Times New Roman" w:eastAsia="仿宋_GB2312" w:cs="Times New Roman"/>
                <w:sz w:val="24"/>
                <w:szCs w:val="24"/>
              </w:rPr>
            </w:pPr>
          </w:p>
        </w:tc>
        <w:tc>
          <w:tcPr>
            <w:tcW w:w="2977" w:type="dxa"/>
            <w:vMerge w:val="continue"/>
          </w:tcPr>
          <w:p>
            <w:pPr>
              <w:spacing w:line="300" w:lineRule="exact"/>
              <w:jc w:val="center"/>
              <w:rPr>
                <w:rFonts w:ascii="Times New Roman" w:hAnsi="Times New Roman" w:eastAsia="仿宋_GB2312" w:cs="Times New Roman"/>
                <w:sz w:val="24"/>
                <w:szCs w:val="24"/>
              </w:rPr>
            </w:pPr>
          </w:p>
        </w:tc>
        <w:tc>
          <w:tcPr>
            <w:tcW w:w="6946" w:type="dxa"/>
            <w:vAlign w:val="center"/>
          </w:tcPr>
          <w:p>
            <w:pPr>
              <w:spacing w:line="30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3.提高早孕建卡率，加强孕产期系统管理。</w:t>
            </w:r>
          </w:p>
        </w:tc>
        <w:tc>
          <w:tcPr>
            <w:tcW w:w="1701" w:type="dxa"/>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2020-2022年</w:t>
            </w:r>
          </w:p>
        </w:tc>
        <w:tc>
          <w:tcPr>
            <w:tcW w:w="1909"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卫健局</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妇计中心</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各医疗机构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 w:type="dxa"/>
            <w:vMerge w:val="continue"/>
          </w:tcPr>
          <w:p>
            <w:pPr>
              <w:spacing w:line="300" w:lineRule="exact"/>
              <w:jc w:val="center"/>
              <w:rPr>
                <w:rFonts w:ascii="Times New Roman" w:hAnsi="Times New Roman" w:eastAsia="仿宋_GB2312" w:cs="Times New Roman"/>
                <w:sz w:val="24"/>
                <w:szCs w:val="24"/>
              </w:rPr>
            </w:pPr>
          </w:p>
        </w:tc>
        <w:tc>
          <w:tcPr>
            <w:tcW w:w="2977" w:type="dxa"/>
            <w:vMerge w:val="continue"/>
          </w:tcPr>
          <w:p>
            <w:pPr>
              <w:spacing w:line="300" w:lineRule="exact"/>
              <w:jc w:val="center"/>
              <w:rPr>
                <w:rFonts w:ascii="Times New Roman" w:hAnsi="Times New Roman" w:eastAsia="仿宋_GB2312" w:cs="Times New Roman"/>
                <w:sz w:val="24"/>
                <w:szCs w:val="24"/>
              </w:rPr>
            </w:pPr>
          </w:p>
        </w:tc>
        <w:tc>
          <w:tcPr>
            <w:tcW w:w="6946"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ascii="Times New Roman" w:hAnsi="Times New Roman" w:eastAsia="仿宋_GB2312" w:cs="Times New Roman"/>
                <w:color w:val="000000"/>
                <w:sz w:val="24"/>
                <w:szCs w:val="24"/>
              </w:rPr>
              <w:t>建立健全全区高危儿管理网络，提升高危儿规范管理率。</w:t>
            </w:r>
          </w:p>
        </w:tc>
        <w:tc>
          <w:tcPr>
            <w:tcW w:w="1701" w:type="dxa"/>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2020-2022年</w:t>
            </w:r>
          </w:p>
        </w:tc>
        <w:tc>
          <w:tcPr>
            <w:tcW w:w="1909"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卫健局</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妇计中心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 w:type="dxa"/>
            <w:vMerge w:val="restart"/>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977" w:type="dxa"/>
            <w:vMerge w:val="restart"/>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强预防，做好妇幼公共卫生服务项目</w:t>
            </w:r>
          </w:p>
          <w:p>
            <w:pPr>
              <w:spacing w:line="300" w:lineRule="exact"/>
              <w:jc w:val="center"/>
              <w:rPr>
                <w:rFonts w:ascii="Times New Roman" w:hAnsi="Times New Roman" w:eastAsia="仿宋_GB2312" w:cs="Times New Roman"/>
                <w:sz w:val="24"/>
                <w:szCs w:val="24"/>
              </w:rPr>
            </w:pPr>
          </w:p>
        </w:tc>
        <w:tc>
          <w:tcPr>
            <w:tcW w:w="6946" w:type="dxa"/>
            <w:vAlign w:val="center"/>
          </w:tcPr>
          <w:p>
            <w:pPr>
              <w:spacing w:line="30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1.做好国家基本公共卫生服务妇幼健康项目。</w:t>
            </w:r>
          </w:p>
        </w:tc>
        <w:tc>
          <w:tcPr>
            <w:tcW w:w="1701" w:type="dxa"/>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2020-2022年</w:t>
            </w:r>
          </w:p>
        </w:tc>
        <w:tc>
          <w:tcPr>
            <w:tcW w:w="1909"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卫健局</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妇计中心</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各医疗机构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 w:type="dxa"/>
            <w:vMerge w:val="continue"/>
          </w:tcPr>
          <w:p>
            <w:pPr>
              <w:spacing w:line="300" w:lineRule="exact"/>
              <w:jc w:val="center"/>
              <w:rPr>
                <w:rFonts w:ascii="Times New Roman" w:hAnsi="Times New Roman" w:eastAsia="仿宋_GB2312" w:cs="Times New Roman"/>
                <w:sz w:val="24"/>
                <w:szCs w:val="24"/>
              </w:rPr>
            </w:pPr>
          </w:p>
        </w:tc>
        <w:tc>
          <w:tcPr>
            <w:tcW w:w="2977" w:type="dxa"/>
            <w:vMerge w:val="continue"/>
          </w:tcPr>
          <w:p>
            <w:pPr>
              <w:spacing w:line="300" w:lineRule="exact"/>
              <w:jc w:val="center"/>
              <w:rPr>
                <w:rFonts w:ascii="Times New Roman" w:hAnsi="Times New Roman" w:eastAsia="仿宋_GB2312" w:cs="Times New Roman"/>
                <w:sz w:val="24"/>
                <w:szCs w:val="24"/>
              </w:rPr>
            </w:pPr>
          </w:p>
        </w:tc>
        <w:tc>
          <w:tcPr>
            <w:tcW w:w="6946" w:type="dxa"/>
            <w:vAlign w:val="center"/>
          </w:tcPr>
          <w:p>
            <w:pPr>
              <w:spacing w:line="30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2.唐氏筛查、新生儿先天性心脏病、两种遗传代谢性疾病、听力障碍等免费筛查项目覆盖率达95%以上。</w:t>
            </w:r>
          </w:p>
        </w:tc>
        <w:tc>
          <w:tcPr>
            <w:tcW w:w="1701" w:type="dxa"/>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2020-2022年</w:t>
            </w:r>
          </w:p>
        </w:tc>
        <w:tc>
          <w:tcPr>
            <w:tcW w:w="1909"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卫健局</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妇计中心</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各医疗机构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 w:type="dxa"/>
            <w:vMerge w:val="continue"/>
          </w:tcPr>
          <w:p>
            <w:pPr>
              <w:spacing w:line="300" w:lineRule="exact"/>
              <w:jc w:val="center"/>
              <w:rPr>
                <w:rFonts w:ascii="Times New Roman" w:hAnsi="Times New Roman" w:eastAsia="仿宋_GB2312" w:cs="Times New Roman"/>
                <w:sz w:val="24"/>
                <w:szCs w:val="24"/>
              </w:rPr>
            </w:pPr>
          </w:p>
        </w:tc>
        <w:tc>
          <w:tcPr>
            <w:tcW w:w="2977" w:type="dxa"/>
            <w:vMerge w:val="continue"/>
          </w:tcPr>
          <w:p>
            <w:pPr>
              <w:spacing w:line="300" w:lineRule="exact"/>
              <w:jc w:val="center"/>
              <w:rPr>
                <w:rFonts w:ascii="Times New Roman" w:hAnsi="Times New Roman" w:eastAsia="仿宋_GB2312" w:cs="Times New Roman"/>
                <w:sz w:val="24"/>
                <w:szCs w:val="24"/>
              </w:rPr>
            </w:pPr>
          </w:p>
        </w:tc>
        <w:tc>
          <w:tcPr>
            <w:tcW w:w="6946" w:type="dxa"/>
            <w:vAlign w:val="center"/>
          </w:tcPr>
          <w:p>
            <w:pPr>
              <w:spacing w:line="30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 积极争取新增免费耳聋基因、HPV等筛查项目。</w:t>
            </w:r>
          </w:p>
        </w:tc>
        <w:tc>
          <w:tcPr>
            <w:tcW w:w="1701" w:type="dxa"/>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2020-2022年</w:t>
            </w:r>
          </w:p>
        </w:tc>
        <w:tc>
          <w:tcPr>
            <w:tcW w:w="1909"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卫健局</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妇计中心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 w:type="dxa"/>
            <w:vMerge w:val="continue"/>
          </w:tcPr>
          <w:p>
            <w:pPr>
              <w:spacing w:line="300" w:lineRule="exact"/>
              <w:jc w:val="center"/>
              <w:rPr>
                <w:rFonts w:ascii="Times New Roman" w:hAnsi="Times New Roman" w:eastAsia="仿宋_GB2312" w:cs="Times New Roman"/>
                <w:sz w:val="24"/>
                <w:szCs w:val="24"/>
              </w:rPr>
            </w:pPr>
          </w:p>
        </w:tc>
        <w:tc>
          <w:tcPr>
            <w:tcW w:w="2977" w:type="dxa"/>
            <w:vMerge w:val="continue"/>
          </w:tcPr>
          <w:p>
            <w:pPr>
              <w:spacing w:line="300" w:lineRule="exact"/>
              <w:jc w:val="center"/>
              <w:rPr>
                <w:rFonts w:ascii="Times New Roman" w:hAnsi="Times New Roman" w:eastAsia="仿宋_GB2312" w:cs="Times New Roman"/>
                <w:sz w:val="24"/>
                <w:szCs w:val="24"/>
              </w:rPr>
            </w:pPr>
          </w:p>
        </w:tc>
        <w:tc>
          <w:tcPr>
            <w:tcW w:w="6946" w:type="dxa"/>
            <w:vAlign w:val="center"/>
          </w:tcPr>
          <w:p>
            <w:pPr>
              <w:spacing w:line="30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 强化儿童眼健康和视力筛查工作，争取覆盖全体在园儿童。</w:t>
            </w:r>
          </w:p>
        </w:tc>
        <w:tc>
          <w:tcPr>
            <w:tcW w:w="1701" w:type="dxa"/>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2020-2022年</w:t>
            </w:r>
          </w:p>
        </w:tc>
        <w:tc>
          <w:tcPr>
            <w:tcW w:w="1909"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卫健局</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妇计中心</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相关医疗机构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 w:type="dxa"/>
            <w:vMerge w:val="continue"/>
          </w:tcPr>
          <w:p>
            <w:pPr>
              <w:spacing w:line="300" w:lineRule="exact"/>
              <w:jc w:val="center"/>
              <w:rPr>
                <w:rFonts w:ascii="Times New Roman" w:hAnsi="Times New Roman" w:eastAsia="仿宋_GB2312" w:cs="Times New Roman"/>
                <w:sz w:val="24"/>
                <w:szCs w:val="24"/>
              </w:rPr>
            </w:pPr>
          </w:p>
        </w:tc>
        <w:tc>
          <w:tcPr>
            <w:tcW w:w="2977" w:type="dxa"/>
            <w:vMerge w:val="continue"/>
          </w:tcPr>
          <w:p>
            <w:pPr>
              <w:spacing w:line="300" w:lineRule="exact"/>
              <w:jc w:val="center"/>
              <w:rPr>
                <w:rFonts w:ascii="Times New Roman" w:hAnsi="Times New Roman" w:eastAsia="仿宋_GB2312" w:cs="Times New Roman"/>
                <w:sz w:val="24"/>
                <w:szCs w:val="24"/>
              </w:rPr>
            </w:pPr>
          </w:p>
        </w:tc>
        <w:tc>
          <w:tcPr>
            <w:tcW w:w="6946" w:type="dxa"/>
            <w:vAlign w:val="center"/>
          </w:tcPr>
          <w:p>
            <w:pPr>
              <w:spacing w:line="30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 妇女两癌筛查实现扩面提质。</w:t>
            </w:r>
          </w:p>
        </w:tc>
        <w:tc>
          <w:tcPr>
            <w:tcW w:w="1701" w:type="dxa"/>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2020-2022年</w:t>
            </w:r>
          </w:p>
        </w:tc>
        <w:tc>
          <w:tcPr>
            <w:tcW w:w="1909"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卫健局</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妇计中心</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相关医疗机构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 w:type="dxa"/>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977" w:type="dxa"/>
            <w:vAlign w:val="center"/>
          </w:tcPr>
          <w:p>
            <w:pPr>
              <w:spacing w:line="3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惠民生，强化出生缺陷防治效果</w:t>
            </w:r>
          </w:p>
        </w:tc>
        <w:tc>
          <w:tcPr>
            <w:tcW w:w="6946" w:type="dxa"/>
            <w:vAlign w:val="center"/>
          </w:tcPr>
          <w:p>
            <w:pPr>
              <w:spacing w:line="30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认真做好婚前孕前和孕产期保健服务，使我区严重多发致残出生缺陷率逐步下降。</w:t>
            </w:r>
          </w:p>
        </w:tc>
        <w:tc>
          <w:tcPr>
            <w:tcW w:w="1701" w:type="dxa"/>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2020-2022年</w:t>
            </w:r>
          </w:p>
        </w:tc>
        <w:tc>
          <w:tcPr>
            <w:tcW w:w="1909"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卫健局</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妇计中心</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各医疗机构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 w:type="dxa"/>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977" w:type="dxa"/>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重合作，完善妇幼健康信息监测</w:t>
            </w:r>
          </w:p>
        </w:tc>
        <w:tc>
          <w:tcPr>
            <w:tcW w:w="6946" w:type="dxa"/>
            <w:vAlign w:val="center"/>
          </w:tcPr>
          <w:p>
            <w:pPr>
              <w:spacing w:line="30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加快推进妇幼健康信息系统建设，推进“互联网+妇幼健康”服务。</w:t>
            </w:r>
          </w:p>
        </w:tc>
        <w:tc>
          <w:tcPr>
            <w:tcW w:w="1701" w:type="dxa"/>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2020-2022年</w:t>
            </w:r>
          </w:p>
        </w:tc>
        <w:tc>
          <w:tcPr>
            <w:tcW w:w="1909" w:type="dxa"/>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卫健局</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妇计中心</w:t>
            </w:r>
          </w:p>
        </w:tc>
      </w:tr>
    </w:tbl>
    <w:p>
      <w:pPr>
        <w:spacing w:line="260" w:lineRule="exact"/>
        <w:rPr>
          <w:rFonts w:ascii="Times New Roman" w:hAnsi="Times New Roman" w:eastAsia="方正小标宋简体" w:cs="Times New Roman"/>
          <w:sz w:val="44"/>
          <w:szCs w:val="44"/>
        </w:rPr>
        <w:sectPr>
          <w:type w:val="continuous"/>
          <w:pgSz w:w="16838" w:h="11906" w:orient="landscape"/>
          <w:pgMar w:top="2098" w:right="1531" w:bottom="1985" w:left="1531" w:header="851" w:footer="992" w:gutter="0"/>
          <w:pgNumType w:fmt="numberInDash"/>
          <w:cols w:space="425" w:num="1"/>
          <w:docGrid w:type="lines" w:linePitch="312" w:charSpace="0"/>
        </w:sectPr>
      </w:pPr>
    </w:p>
    <w:p>
      <w:pPr>
        <w:spacing w:line="570" w:lineRule="exact"/>
        <w:jc w:val="left"/>
        <w:rPr>
          <w:rFonts w:ascii="黑体" w:hAnsi="黑体" w:eastAsia="黑体"/>
          <w:sz w:val="32"/>
          <w:szCs w:val="32"/>
        </w:rPr>
      </w:pPr>
      <w:r>
        <w:rPr>
          <w:rFonts w:hint="eastAsia" w:ascii="黑体" w:hAnsi="黑体" w:eastAsia="黑体"/>
          <w:sz w:val="32"/>
          <w:szCs w:val="32"/>
        </w:rPr>
        <w:t>附件6</w:t>
      </w:r>
    </w:p>
    <w:p>
      <w:pPr>
        <w:spacing w:line="57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钟楼区老龄健康工作争先进位三年行动方案</w:t>
      </w:r>
    </w:p>
    <w:p>
      <w:pPr>
        <w:spacing w:line="570" w:lineRule="exact"/>
        <w:rPr>
          <w:sz w:val="32"/>
          <w:szCs w:val="32"/>
        </w:rPr>
      </w:pPr>
    </w:p>
    <w:p>
      <w:pPr>
        <w:pStyle w:val="12"/>
        <w:numPr>
          <w:ilvl w:val="0"/>
          <w:numId w:val="1"/>
        </w:numPr>
        <w:spacing w:after="0" w:line="570" w:lineRule="exact"/>
        <w:ind w:firstLineChars="0"/>
        <w:rPr>
          <w:rFonts w:ascii="黑体" w:eastAsia="黑体"/>
          <w:sz w:val="32"/>
          <w:szCs w:val="32"/>
        </w:rPr>
      </w:pPr>
      <w:r>
        <w:rPr>
          <w:rFonts w:hint="eastAsia" w:ascii="黑体" w:eastAsia="黑体"/>
          <w:sz w:val="32"/>
          <w:szCs w:val="32"/>
        </w:rPr>
        <w:t>指导思想</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健康引领，全程服务、兜底保障，公平可及、政策支持，激发活力、统筹资源，共建共享”四大基本原则，建立健全与“居家为基础、社区为依托、机构为补充、医养相结合的养老服务体系”相适应的，覆盖城乡、布局合理、规模适宜、功能完善的医养结合服务网络，为老年人提供治疗期住院、康复期护理、稳定期生活照料以及安宁疗护一体化的健康养老服务。</w:t>
      </w:r>
    </w:p>
    <w:p>
      <w:pPr>
        <w:spacing w:line="570" w:lineRule="exact"/>
        <w:ind w:firstLine="640" w:firstLineChars="200"/>
        <w:rPr>
          <w:rFonts w:ascii="黑体" w:eastAsia="黑体"/>
          <w:sz w:val="32"/>
          <w:szCs w:val="32"/>
        </w:rPr>
      </w:pPr>
      <w:r>
        <w:rPr>
          <w:rFonts w:hint="eastAsia" w:ascii="黑体" w:eastAsia="黑体"/>
          <w:sz w:val="32"/>
          <w:szCs w:val="32"/>
        </w:rPr>
        <w:t>二、工作目标</w:t>
      </w:r>
    </w:p>
    <w:p>
      <w:pPr>
        <w:spacing w:line="570" w:lineRule="exact"/>
        <w:ind w:firstLine="640" w:firstLineChars="200"/>
        <w:rPr>
          <w:rFonts w:ascii="仿宋_GB2312" w:hAnsi="宋体" w:eastAsia="仿宋_GB2312"/>
          <w:sz w:val="32"/>
          <w:szCs w:val="32"/>
        </w:rPr>
      </w:pPr>
      <w:r>
        <w:rPr>
          <w:rFonts w:hint="eastAsia" w:ascii="楷体_GB2312" w:eastAsia="楷体_GB2312" w:hAnsiTheme="majorEastAsia"/>
          <w:sz w:val="32"/>
          <w:szCs w:val="32"/>
        </w:rPr>
        <w:t>1.提高老年健康管理水平。</w:t>
      </w:r>
      <w:r>
        <w:rPr>
          <w:rFonts w:hint="eastAsia" w:ascii="仿宋_GB2312" w:hAnsi="宋体" w:eastAsia="仿宋_GB2312"/>
          <w:sz w:val="32"/>
          <w:szCs w:val="32"/>
        </w:rPr>
        <w:t>到2022年，65周岁及以上老年人健康管理率75%；家庭</w:t>
      </w:r>
      <w:r>
        <w:rPr>
          <w:rFonts w:hint="eastAsia" w:ascii="仿宋_GB2312" w:hAnsi="宋体" w:eastAsia="仿宋_GB2312"/>
          <w:color w:val="000000"/>
          <w:sz w:val="32"/>
          <w:szCs w:val="32"/>
        </w:rPr>
        <w:t>医生签约服务覆盖全区90%以上的失能（失智）老年人。</w:t>
      </w:r>
    </w:p>
    <w:p>
      <w:pPr>
        <w:spacing w:line="570" w:lineRule="exact"/>
        <w:ind w:firstLine="640" w:firstLineChars="200"/>
        <w:rPr>
          <w:rFonts w:ascii="仿宋_GB2312" w:hAnsi="宋体" w:eastAsia="仿宋_GB2312"/>
          <w:color w:val="000000"/>
          <w:sz w:val="32"/>
          <w:szCs w:val="32"/>
        </w:rPr>
      </w:pPr>
      <w:r>
        <w:rPr>
          <w:rFonts w:hint="eastAsia" w:ascii="楷体_GB2312" w:eastAsia="楷体_GB2312" w:hAnsiTheme="majorEastAsia"/>
          <w:sz w:val="32"/>
          <w:szCs w:val="32"/>
        </w:rPr>
        <w:t>2.加强社区为老服务能力建设。</w:t>
      </w:r>
      <w:r>
        <w:rPr>
          <w:rFonts w:hint="eastAsia" w:ascii="仿宋_GB2312" w:eastAsia="仿宋_GB2312" w:hAnsiTheme="majorEastAsia"/>
          <w:sz w:val="32"/>
          <w:szCs w:val="32"/>
        </w:rPr>
        <w:t>到2022年，基层医疗</w:t>
      </w:r>
      <w:r>
        <w:rPr>
          <w:rFonts w:hint="eastAsia" w:ascii="仿宋_GB2312" w:hAnsi="宋体" w:eastAsia="仿宋_GB2312"/>
          <w:color w:val="000000"/>
          <w:sz w:val="32"/>
          <w:szCs w:val="32"/>
        </w:rPr>
        <w:t>卫生机构老年康复、护理、安宁疗护等床位占比30%以上。</w:t>
      </w:r>
    </w:p>
    <w:p>
      <w:pPr>
        <w:spacing w:line="570" w:lineRule="exact"/>
        <w:ind w:firstLine="630"/>
        <w:rPr>
          <w:rFonts w:ascii="仿宋_GB2312" w:eastAsia="仿宋_GB2312"/>
          <w:sz w:val="32"/>
          <w:szCs w:val="32"/>
        </w:rPr>
      </w:pPr>
      <w:r>
        <w:rPr>
          <w:rFonts w:hint="eastAsia" w:ascii="楷体_GB2312" w:eastAsia="楷体_GB2312" w:hAnsiTheme="majorEastAsia"/>
          <w:sz w:val="32"/>
          <w:szCs w:val="32"/>
        </w:rPr>
        <w:t>3.</w:t>
      </w:r>
      <w:r>
        <w:rPr>
          <w:rFonts w:ascii="楷体_GB2312" w:eastAsia="楷体_GB2312" w:hAnsiTheme="majorEastAsia"/>
          <w:sz w:val="32"/>
          <w:szCs w:val="32"/>
        </w:rPr>
        <w:t xml:space="preserve"> </w:t>
      </w:r>
      <w:r>
        <w:rPr>
          <w:rFonts w:hint="eastAsia" w:ascii="楷体_GB2312" w:eastAsia="楷体_GB2312" w:hAnsiTheme="majorEastAsia"/>
          <w:sz w:val="32"/>
          <w:szCs w:val="32"/>
        </w:rPr>
        <w:t>完善老年医疗资源布局。</w:t>
      </w:r>
      <w:r>
        <w:rPr>
          <w:rFonts w:hint="eastAsia" w:ascii="仿宋_GB2312" w:hAnsi="宋体" w:eastAsia="仿宋_GB2312"/>
          <w:sz w:val="32"/>
          <w:szCs w:val="32"/>
        </w:rPr>
        <w:t>到2022年，根据行政管辖权限，完成二级以上综合性医院设置老年医学科任务指标。</w:t>
      </w:r>
    </w:p>
    <w:p>
      <w:pPr>
        <w:spacing w:line="570" w:lineRule="exact"/>
        <w:ind w:firstLine="640" w:firstLineChars="200"/>
        <w:rPr>
          <w:rFonts w:ascii="仿宋_GB2312" w:hAnsi="宋体" w:eastAsia="仿宋_GB2312"/>
          <w:color w:val="000000"/>
          <w:sz w:val="32"/>
          <w:szCs w:val="32"/>
        </w:rPr>
      </w:pPr>
      <w:r>
        <w:rPr>
          <w:rFonts w:hint="eastAsia" w:ascii="楷体_GB2312" w:eastAsia="楷体_GB2312" w:hAnsiTheme="majorEastAsia"/>
          <w:sz w:val="32"/>
          <w:szCs w:val="32"/>
        </w:rPr>
        <w:t>4.</w:t>
      </w:r>
      <w:r>
        <w:rPr>
          <w:rFonts w:ascii="楷体_GB2312" w:eastAsia="楷体_GB2312" w:hAnsiTheme="majorEastAsia"/>
          <w:sz w:val="32"/>
          <w:szCs w:val="32"/>
        </w:rPr>
        <w:t xml:space="preserve"> </w:t>
      </w:r>
      <w:r>
        <w:rPr>
          <w:rFonts w:hint="eastAsia" w:ascii="楷体_GB2312" w:eastAsia="楷体_GB2312" w:hAnsiTheme="majorEastAsia"/>
          <w:sz w:val="32"/>
          <w:szCs w:val="32"/>
        </w:rPr>
        <w:t>全面落实老年人医疗服务优待政策。</w:t>
      </w:r>
      <w:r>
        <w:rPr>
          <w:rFonts w:hint="eastAsia" w:ascii="仿宋_GB2312" w:hAnsi="宋体" w:eastAsia="仿宋_GB2312"/>
          <w:sz w:val="32"/>
          <w:szCs w:val="32"/>
        </w:rPr>
        <w:t>所有医疗机构对老年人看病就医实行优先照顾，开通绿色通道。</w:t>
      </w:r>
    </w:p>
    <w:p>
      <w:pPr>
        <w:spacing w:line="570" w:lineRule="exact"/>
        <w:ind w:firstLine="640" w:firstLineChars="200"/>
        <w:rPr>
          <w:rFonts w:ascii="仿宋_GB2312" w:hAnsi="宋体" w:eastAsia="仿宋_GB2312"/>
          <w:color w:val="000000"/>
          <w:sz w:val="32"/>
          <w:szCs w:val="32"/>
        </w:rPr>
      </w:pPr>
      <w:r>
        <w:rPr>
          <w:rFonts w:hint="eastAsia" w:ascii="楷体_GB2312" w:eastAsia="楷体_GB2312" w:hAnsiTheme="majorEastAsia"/>
          <w:sz w:val="32"/>
          <w:szCs w:val="32"/>
        </w:rPr>
        <w:t>5.</w:t>
      </w:r>
      <w:r>
        <w:rPr>
          <w:rFonts w:ascii="楷体_GB2312" w:eastAsia="楷体_GB2312" w:hAnsiTheme="majorEastAsia"/>
          <w:sz w:val="32"/>
          <w:szCs w:val="32"/>
        </w:rPr>
        <w:t xml:space="preserve"> </w:t>
      </w:r>
      <w:r>
        <w:rPr>
          <w:rFonts w:hint="eastAsia" w:ascii="楷体_GB2312" w:eastAsia="楷体_GB2312" w:hAnsiTheme="majorEastAsia"/>
          <w:sz w:val="32"/>
          <w:szCs w:val="32"/>
        </w:rPr>
        <w:t>深入推进医养结合。</w:t>
      </w:r>
      <w:r>
        <w:rPr>
          <w:rFonts w:hint="eastAsia" w:ascii="仿宋_GB2312" w:hAnsi="宋体" w:eastAsia="仿宋_GB2312"/>
          <w:sz w:val="32"/>
          <w:szCs w:val="32"/>
        </w:rPr>
        <w:t>到2022年，新增医养结合机构2家，全区至少有1所护理院，力争邹区镇和各街道至少配置1所社区护理站。</w:t>
      </w:r>
    </w:p>
    <w:p>
      <w:pPr>
        <w:spacing w:line="570" w:lineRule="exact"/>
        <w:ind w:firstLine="640" w:firstLineChars="200"/>
        <w:rPr>
          <w:rFonts w:ascii="仿宋_GB2312" w:hAnsi="宋体" w:eastAsia="仿宋_GB2312"/>
          <w:sz w:val="32"/>
          <w:szCs w:val="32"/>
        </w:rPr>
      </w:pPr>
      <w:r>
        <w:rPr>
          <w:rFonts w:hint="eastAsia" w:ascii="楷体_GB2312" w:eastAsia="楷体_GB2312" w:hAnsiTheme="majorEastAsia"/>
          <w:sz w:val="32"/>
          <w:szCs w:val="32"/>
        </w:rPr>
        <w:t>6. 推进安宁疗护服务。</w:t>
      </w:r>
      <w:r>
        <w:rPr>
          <w:rFonts w:hint="eastAsia" w:ascii="仿宋_GB2312" w:hAnsi="宋体" w:eastAsia="仿宋_GB2312"/>
          <w:sz w:val="32"/>
          <w:szCs w:val="32"/>
        </w:rPr>
        <w:t>到2022年，永红街道社区卫生服务中心开展安宁疗护试点工作。</w:t>
      </w:r>
    </w:p>
    <w:p>
      <w:pPr>
        <w:spacing w:line="570" w:lineRule="exact"/>
        <w:ind w:firstLine="640" w:firstLineChars="200"/>
        <w:rPr>
          <w:rFonts w:ascii="仿宋_GB2312" w:hAnsi="宋体" w:eastAsia="仿宋_GB2312"/>
          <w:sz w:val="32"/>
          <w:szCs w:val="32"/>
        </w:rPr>
      </w:pPr>
      <w:r>
        <w:rPr>
          <w:rFonts w:hint="eastAsia" w:ascii="楷体_GB2312" w:eastAsia="楷体_GB2312" w:hAnsiTheme="majorEastAsia"/>
          <w:sz w:val="32"/>
          <w:szCs w:val="32"/>
        </w:rPr>
        <w:t>7.</w:t>
      </w:r>
      <w:r>
        <w:rPr>
          <w:rFonts w:ascii="楷体_GB2312" w:eastAsia="楷体_GB2312" w:hAnsiTheme="majorEastAsia"/>
          <w:sz w:val="32"/>
          <w:szCs w:val="32"/>
        </w:rPr>
        <w:t xml:space="preserve"> 推进信息化建设</w:t>
      </w:r>
      <w:r>
        <w:rPr>
          <w:rFonts w:hint="eastAsia" w:ascii="楷体_GB2312" w:eastAsia="楷体_GB2312" w:hAnsiTheme="majorEastAsia"/>
          <w:sz w:val="32"/>
          <w:szCs w:val="32"/>
        </w:rPr>
        <w:t>。</w:t>
      </w:r>
      <w:r>
        <w:rPr>
          <w:rFonts w:ascii="仿宋_GB2312" w:hAnsi="宋体" w:eastAsia="仿宋_GB2312"/>
          <w:sz w:val="32"/>
          <w:szCs w:val="32"/>
        </w:rPr>
        <w:t>推动整合各类老年健康服务管理信息</w:t>
      </w:r>
      <w:r>
        <w:rPr>
          <w:rFonts w:hint="eastAsia" w:ascii="仿宋_GB2312" w:hAnsi="宋体" w:eastAsia="仿宋_GB2312"/>
          <w:sz w:val="32"/>
          <w:szCs w:val="32"/>
        </w:rPr>
        <w:t>，</w:t>
      </w:r>
      <w:r>
        <w:rPr>
          <w:rFonts w:ascii="仿宋_GB2312" w:hAnsi="宋体" w:eastAsia="仿宋_GB2312"/>
          <w:sz w:val="32"/>
          <w:szCs w:val="32"/>
        </w:rPr>
        <w:t>提升老年健康服务管理</w:t>
      </w:r>
      <w:r>
        <w:rPr>
          <w:rFonts w:hint="eastAsia" w:ascii="仿宋_GB2312" w:hAnsi="宋体" w:eastAsia="仿宋_GB2312"/>
          <w:sz w:val="32"/>
          <w:szCs w:val="32"/>
        </w:rPr>
        <w:t>（含医养结合）的信息化水平。</w:t>
      </w:r>
    </w:p>
    <w:p>
      <w:pPr>
        <w:spacing w:line="570" w:lineRule="exact"/>
        <w:ind w:firstLine="640" w:firstLineChars="200"/>
        <w:rPr>
          <w:rFonts w:ascii="仿宋_GB2312" w:hAnsi="宋体" w:eastAsia="仿宋_GB2312"/>
          <w:sz w:val="32"/>
          <w:szCs w:val="32"/>
        </w:rPr>
      </w:pPr>
      <w:r>
        <w:rPr>
          <w:rFonts w:hint="eastAsia" w:ascii="楷体_GB2312" w:eastAsia="楷体_GB2312" w:hAnsiTheme="majorEastAsia"/>
          <w:sz w:val="32"/>
          <w:szCs w:val="32"/>
        </w:rPr>
        <w:t>8.</w:t>
      </w:r>
      <w:r>
        <w:rPr>
          <w:rFonts w:ascii="楷体_GB2312" w:eastAsia="楷体_GB2312" w:hAnsiTheme="majorEastAsia"/>
          <w:sz w:val="32"/>
          <w:szCs w:val="32"/>
        </w:rPr>
        <w:t xml:space="preserve"> </w:t>
      </w:r>
      <w:r>
        <w:rPr>
          <w:rFonts w:hint="eastAsia" w:ascii="楷体_GB2312" w:eastAsia="楷体_GB2312" w:hAnsiTheme="majorEastAsia"/>
          <w:sz w:val="32"/>
          <w:szCs w:val="32"/>
        </w:rPr>
        <w:t>推进“安康关爱行动”。</w:t>
      </w:r>
      <w:r>
        <w:rPr>
          <w:rFonts w:hint="eastAsia" w:ascii="仿宋_GB2312" w:hAnsi="宋体" w:eastAsia="仿宋_GB2312"/>
          <w:sz w:val="32"/>
          <w:szCs w:val="32"/>
        </w:rPr>
        <w:t>2022年，全区60周岁以上老年人意外伤害保险力争全覆盖。</w:t>
      </w:r>
    </w:p>
    <w:p>
      <w:pPr>
        <w:spacing w:line="570" w:lineRule="exact"/>
        <w:ind w:firstLine="640" w:firstLineChars="200"/>
        <w:rPr>
          <w:rFonts w:ascii="黑体" w:eastAsia="黑体"/>
          <w:sz w:val="32"/>
          <w:szCs w:val="32"/>
        </w:rPr>
      </w:pPr>
      <w:r>
        <w:rPr>
          <w:rFonts w:hint="eastAsia" w:ascii="黑体" w:hAnsi="宋体" w:eastAsia="黑体"/>
          <w:sz w:val="32"/>
          <w:szCs w:val="32"/>
        </w:rPr>
        <w:t>三、工作措施</w:t>
      </w:r>
    </w:p>
    <w:p>
      <w:pPr>
        <w:spacing w:line="570" w:lineRule="exact"/>
        <w:rPr>
          <w:rFonts w:ascii="仿宋_GB2312" w:eastAsia="仿宋_GB2312"/>
          <w:sz w:val="32"/>
          <w:szCs w:val="32"/>
        </w:rPr>
      </w:pPr>
      <w:r>
        <w:rPr>
          <w:rFonts w:hint="eastAsia"/>
          <w:sz w:val="32"/>
          <w:szCs w:val="32"/>
        </w:rPr>
        <w:t xml:space="preserve">  </w:t>
      </w:r>
      <w:r>
        <w:rPr>
          <w:rFonts w:hint="eastAsia" w:ascii="楷体_GB2312" w:eastAsia="楷体_GB2312" w:hAnsiTheme="majorEastAsia"/>
          <w:sz w:val="32"/>
          <w:szCs w:val="32"/>
        </w:rPr>
        <w:t xml:space="preserve"> （一）居家医养结合服务强基行动</w:t>
      </w:r>
    </w:p>
    <w:p>
      <w:pPr>
        <w:spacing w:line="570" w:lineRule="exact"/>
        <w:ind w:firstLine="630"/>
        <w:rPr>
          <w:rFonts w:ascii="仿宋_GB2312" w:eastAsia="仿宋_GB2312"/>
          <w:sz w:val="32"/>
          <w:szCs w:val="32"/>
        </w:rPr>
      </w:pPr>
      <w:r>
        <w:rPr>
          <w:rFonts w:hint="eastAsia" w:ascii="仿宋_GB2312" w:eastAsia="仿宋_GB2312"/>
          <w:sz w:val="32"/>
          <w:szCs w:val="32"/>
        </w:rPr>
        <w:t>1. 推进家庭医生签约服务。进一步提高辖区65岁以上老年人家庭医生签约服务覆盖面，建立动态健康档案，优化健康体检。</w:t>
      </w:r>
      <w:r>
        <w:rPr>
          <w:rFonts w:hint="eastAsia" w:ascii="仿宋_GB2312" w:hAnsi="仿宋" w:eastAsia="仿宋_GB2312"/>
          <w:sz w:val="32"/>
          <w:szCs w:val="32"/>
        </w:rPr>
        <w:t>制定《钟楼区老人健康体检服务实施方案》，推动老年人健康体检服务纳入民生实事项目，</w:t>
      </w:r>
      <w:r>
        <w:rPr>
          <w:rFonts w:ascii="仿宋_GB2312" w:hAnsi="仿宋" w:eastAsia="仿宋_GB2312"/>
          <w:sz w:val="32"/>
          <w:szCs w:val="32"/>
        </w:rPr>
        <w:t>2020</w:t>
      </w:r>
      <w:r>
        <w:rPr>
          <w:rFonts w:hint="eastAsia" w:ascii="仿宋_GB2312" w:hAnsi="仿宋" w:eastAsia="仿宋_GB2312"/>
          <w:sz w:val="32"/>
          <w:szCs w:val="32"/>
        </w:rPr>
        <w:t>年老年人健康管理率力争达到</w:t>
      </w:r>
      <w:r>
        <w:rPr>
          <w:rFonts w:ascii="仿宋_GB2312" w:hAnsi="仿宋" w:eastAsia="仿宋_GB2312"/>
          <w:sz w:val="32"/>
          <w:szCs w:val="32"/>
        </w:rPr>
        <w:t>75%</w:t>
      </w:r>
      <w:r>
        <w:rPr>
          <w:rFonts w:hint="eastAsia" w:ascii="仿宋_GB2312" w:hAnsi="仿宋" w:eastAsia="仿宋_GB2312"/>
          <w:sz w:val="32"/>
          <w:szCs w:val="32"/>
        </w:rPr>
        <w:t>。</w:t>
      </w:r>
      <w:r>
        <w:rPr>
          <w:rFonts w:hint="eastAsia" w:ascii="仿宋_GB2312" w:eastAsia="仿宋_GB2312"/>
          <w:sz w:val="32"/>
          <w:szCs w:val="32"/>
        </w:rPr>
        <w:t>优先满足社区高龄、重病、失能、慢病患者以及计生特殊家庭老年人签约服务需求，重点人群签约率稳定在75%，辖区各医疗卫生机构有针对性地制定不同的个性化签约服务包，重点人群有偿个性化签约率不低于10%，七类特殊人群应签尽签。</w:t>
      </w:r>
    </w:p>
    <w:p>
      <w:pPr>
        <w:spacing w:line="570" w:lineRule="exact"/>
        <w:ind w:firstLine="640" w:firstLineChars="200"/>
        <w:rPr>
          <w:rFonts w:ascii="仿宋_GB2312" w:hAnsi="宋体" w:eastAsia="仿宋_GB2312"/>
          <w:color w:val="000000"/>
          <w:sz w:val="32"/>
          <w:szCs w:val="32"/>
        </w:rPr>
      </w:pPr>
      <w:r>
        <w:rPr>
          <w:rFonts w:hint="eastAsia" w:ascii="仿宋_GB2312" w:eastAsia="仿宋_GB2312"/>
          <w:sz w:val="32"/>
          <w:szCs w:val="32"/>
        </w:rPr>
        <w:t>2. 推动实施老年人心理关爱项目。组织开展老年人心理关爱试点项目工作，总结荷花池街道试点项目经验和不足，加强业务培训，提高项目的可操作性。</w:t>
      </w:r>
      <w:r>
        <w:rPr>
          <w:rFonts w:hint="eastAsia" w:ascii="仿宋_GB2312" w:hAnsi="宋体" w:eastAsia="仿宋_GB2312"/>
          <w:color w:val="000000"/>
          <w:sz w:val="32"/>
          <w:szCs w:val="32"/>
        </w:rPr>
        <w:t>到2022年，邹区镇和各街道至少有1个老年精神关爱项目。</w:t>
      </w:r>
    </w:p>
    <w:p>
      <w:pPr>
        <w:spacing w:line="570" w:lineRule="exact"/>
        <w:ind w:firstLine="630"/>
        <w:rPr>
          <w:rFonts w:ascii="仿宋_GB2312" w:eastAsia="仿宋_GB2312"/>
          <w:sz w:val="32"/>
          <w:szCs w:val="32"/>
        </w:rPr>
      </w:pPr>
      <w:r>
        <w:rPr>
          <w:rFonts w:hint="eastAsia" w:ascii="仿宋_GB2312" w:eastAsia="仿宋_GB2312"/>
          <w:sz w:val="32"/>
          <w:szCs w:val="32"/>
        </w:rPr>
        <w:t>3. 推进家庭病床服务。在全区推动实施家庭医生预约上门服务，优先覆盖失能老年人、残疾人等重点人群；鼓励医疗机构积极探索，先行先试，重点在上门服务方式、服务内容、收付费、考核激励等方面实现突破。2020年在南大街、荷花池街道社区卫生服务中心开展预约上门和家庭病床服务试点，到2022年所有基层机构均开展预约上门服务，建立较为健全的家庭医生预约上门服务制度和规范，家庭医生服务团队提供预约上门服务的能力显著提升。</w:t>
      </w:r>
    </w:p>
    <w:p>
      <w:pPr>
        <w:spacing w:line="570" w:lineRule="exact"/>
        <w:ind w:firstLine="630"/>
        <w:rPr>
          <w:rFonts w:ascii="楷体_GB2312" w:eastAsia="楷体_GB2312"/>
          <w:sz w:val="32"/>
          <w:szCs w:val="32"/>
        </w:rPr>
      </w:pPr>
      <w:r>
        <w:rPr>
          <w:rFonts w:hint="eastAsia" w:ascii="楷体_GB2312" w:eastAsia="楷体_GB2312"/>
          <w:sz w:val="32"/>
          <w:szCs w:val="32"/>
        </w:rPr>
        <w:t>（二）社区医养结合服务提升行动</w:t>
      </w:r>
    </w:p>
    <w:p>
      <w:pPr>
        <w:spacing w:line="570" w:lineRule="exact"/>
        <w:ind w:firstLine="630"/>
        <w:rPr>
          <w:rFonts w:ascii="仿宋_GB2312" w:eastAsia="仿宋_GB2312"/>
          <w:sz w:val="32"/>
          <w:szCs w:val="32"/>
        </w:rPr>
      </w:pPr>
      <w:r>
        <w:rPr>
          <w:rFonts w:hint="eastAsia" w:ascii="仿宋_GB2312" w:eastAsia="仿宋_GB2312"/>
          <w:sz w:val="32"/>
          <w:szCs w:val="32"/>
        </w:rPr>
        <w:t>1. 推动社区为老服务能力建设。推进有条件的基层医疗卫生机构设立老年、康复、护理、安宁疗护床位，为失智、失能、疾病终末期老人提供专业服务。加强医疗卫生机构与社区居家养老结合，规范为居家养老对象提供的医疗和护理服务。</w:t>
      </w:r>
    </w:p>
    <w:p>
      <w:pPr>
        <w:spacing w:line="570" w:lineRule="exact"/>
        <w:ind w:firstLine="630"/>
        <w:rPr>
          <w:rFonts w:ascii="宋体" w:hAnsi="宋体" w:eastAsia="宋体" w:cs="宋体"/>
          <w:sz w:val="32"/>
          <w:szCs w:val="32"/>
        </w:rPr>
      </w:pPr>
      <w:r>
        <w:rPr>
          <w:rFonts w:hint="eastAsia" w:ascii="仿宋_GB2312" w:eastAsia="仿宋_GB2312"/>
          <w:sz w:val="32"/>
          <w:szCs w:val="32"/>
        </w:rPr>
        <w:t>2. 推动社区护理站建设。积极争取上级项目支持，主动与属地及民政部门加强统筹，依托邹区镇和各街道居家养老服务中心（站）或卫生院/社区卫生服务中心（站），设立社区护理站，由护士、康复治疗师（士）和其他护理人员组成的团队，为社区居家失能老人、大病康复期的老年人提供基础护理、专科护理、临终护理、营养指导和康复指导</w:t>
      </w:r>
      <w:r>
        <w:rPr>
          <w:rFonts w:hint="eastAsia" w:ascii="仿宋_GB2312" w:hAnsi="宋体" w:eastAsia="仿宋_GB2312" w:cs="宋体"/>
          <w:sz w:val="32"/>
          <w:szCs w:val="32"/>
        </w:rPr>
        <w:t>等社区或居家护理服务。规范为居家老年人提供医疗卫生和康复护理服务项目。按照每个镇或街道至少配置一所社区护理站的建设要求，到2022年，力争邹区镇和各街道实现全覆盖。</w:t>
      </w:r>
    </w:p>
    <w:p>
      <w:pPr>
        <w:spacing w:line="570" w:lineRule="exact"/>
        <w:ind w:firstLine="630"/>
        <w:rPr>
          <w:rFonts w:ascii="仿宋_GB2312" w:eastAsia="仿宋_GB2312"/>
          <w:sz w:val="32"/>
          <w:szCs w:val="32"/>
        </w:rPr>
      </w:pPr>
      <w:r>
        <w:rPr>
          <w:rFonts w:hint="eastAsia" w:ascii="仿宋_GB2312" w:eastAsia="仿宋_GB2312"/>
          <w:sz w:val="32"/>
          <w:szCs w:val="32"/>
        </w:rPr>
        <w:t>3. 组织开展示范建设活动。组织开展老年友善医疗机构和医养结合示范区，示范机构创建申报工作。</w:t>
      </w:r>
    </w:p>
    <w:p>
      <w:pPr>
        <w:spacing w:line="570" w:lineRule="exact"/>
        <w:ind w:firstLine="630"/>
        <w:rPr>
          <w:rFonts w:ascii="仿宋_GB2312" w:eastAsia="仿宋_GB2312"/>
          <w:sz w:val="32"/>
          <w:szCs w:val="32"/>
        </w:rPr>
      </w:pPr>
      <w:r>
        <w:rPr>
          <w:rFonts w:hint="eastAsia" w:ascii="仿宋_GB2312" w:eastAsia="仿宋_GB2312"/>
          <w:sz w:val="32"/>
          <w:szCs w:val="32"/>
        </w:rPr>
        <w:t>4. 推动构建医养康三位一体服务体系。在有条件的基层医疗卫生机构内单独设立或与就近公办养老机构合作建设“康养服务中心”、在部分村（社区）居家养老活动中心建设“康养服务室”、在其他公办养老机构建设“康养服务站”等医疗延伸服务阵地，配备必要的康复诊疗设备及医护服务人员；为老年人提供医疗康复护理服务，形成医养结合三位一体的健康养老服务体系。</w:t>
      </w:r>
    </w:p>
    <w:p>
      <w:pPr>
        <w:spacing w:line="570" w:lineRule="exact"/>
        <w:ind w:firstLine="630"/>
        <w:rPr>
          <w:rFonts w:ascii="楷体_GB2312" w:eastAsia="楷体_GB2312"/>
          <w:sz w:val="32"/>
          <w:szCs w:val="32"/>
        </w:rPr>
      </w:pPr>
      <w:r>
        <w:rPr>
          <w:rFonts w:hint="eastAsia" w:ascii="楷体_GB2312" w:eastAsia="楷体_GB2312"/>
          <w:sz w:val="32"/>
          <w:szCs w:val="32"/>
        </w:rPr>
        <w:t>（三）机构医养结合服务促进行动</w:t>
      </w:r>
    </w:p>
    <w:p>
      <w:pPr>
        <w:spacing w:line="570" w:lineRule="exact"/>
        <w:ind w:firstLine="640" w:firstLineChars="200"/>
        <w:rPr>
          <w:rFonts w:ascii="仿宋_GB2312" w:hAnsi="宋体" w:eastAsia="仿宋_GB2312"/>
          <w:sz w:val="32"/>
          <w:szCs w:val="32"/>
        </w:rPr>
      </w:pPr>
      <w:r>
        <w:rPr>
          <w:rFonts w:hint="eastAsia" w:ascii="仿宋_GB2312" w:eastAsia="仿宋_GB2312"/>
          <w:sz w:val="32"/>
          <w:szCs w:val="32"/>
        </w:rPr>
        <w:t>1. 推动医疗服务向社区、家庭延伸。完善老年医疗资源布局，建立健全以基层医疗卫生机构为基础、区域医联体共建单位老年医学科为核心的老年医疗服务网络。根据管辖权限有序推进二级以上综合医院开设老年病科，做好老年病、慢性病防治和康复护理。支持基层医疗卫生机构加强老年护理、康复医疗服务能力建设，鼓励增设老年护理、康复、安宁疗护床位，收治需要照护的失能和临终老人。</w:t>
      </w:r>
      <w:r>
        <w:rPr>
          <w:rFonts w:hint="eastAsia" w:ascii="仿宋_GB2312" w:hAnsi="宋体" w:eastAsia="仿宋_GB2312"/>
          <w:sz w:val="32"/>
          <w:szCs w:val="32"/>
        </w:rPr>
        <w:t>全面落实老年人医疗服务优待政策。所有医疗机构对老年人看病就医实行优先照顾，开通绿色通道，在挂号、收费、取药、住院等窗口明显位置设置“老年人优先”标志。</w:t>
      </w:r>
    </w:p>
    <w:p>
      <w:pPr>
        <w:spacing w:line="570" w:lineRule="exact"/>
        <w:ind w:firstLine="640" w:firstLineChars="200"/>
        <w:rPr>
          <w:rFonts w:ascii="仿宋_GB2312" w:hAnsi="宋体" w:eastAsia="仿宋_GB2312"/>
          <w:sz w:val="32"/>
          <w:szCs w:val="32"/>
        </w:rPr>
      </w:pPr>
      <w:r>
        <w:rPr>
          <w:rFonts w:hint="eastAsia" w:ascii="仿宋_GB2312" w:hAnsi="宋体" w:eastAsia="仿宋_GB2312"/>
          <w:sz w:val="32"/>
          <w:szCs w:val="32"/>
        </w:rPr>
        <w:t>2. 支持养老机构开展医疗服务。推进医养结合机构“放管服”改革，优化医养结合机构准入流程和环境，推动100张以上床位的养老机构单独设置护理站（医务室），条件具备的可按相关规定申办康复医院、护理院、安宁疗护中心等。鼓励医疗卫生机构和养老机构开展协议合作、合作共建、服务外包等多种形式的合作，建立完善可持续的运行机制和服务模式，满足入住机构老年人多样化医疗服务需求。支持医务人员到医养结合机构执业。</w:t>
      </w:r>
    </w:p>
    <w:p>
      <w:pPr>
        <w:spacing w:line="570" w:lineRule="exact"/>
        <w:ind w:firstLine="630"/>
        <w:rPr>
          <w:rFonts w:ascii="楷体_GB2312" w:eastAsia="楷体_GB2312"/>
          <w:sz w:val="32"/>
          <w:szCs w:val="32"/>
        </w:rPr>
      </w:pPr>
      <w:r>
        <w:rPr>
          <w:rFonts w:hint="eastAsia" w:ascii="楷体_GB2312" w:eastAsia="楷体_GB2312"/>
          <w:sz w:val="32"/>
          <w:szCs w:val="32"/>
        </w:rPr>
        <w:t>（四）扩大医养结合服务推进行动</w:t>
      </w:r>
    </w:p>
    <w:p>
      <w:pPr>
        <w:spacing w:line="570" w:lineRule="exact"/>
        <w:ind w:firstLine="640" w:firstLineChars="200"/>
        <w:rPr>
          <w:rFonts w:ascii="仿宋_GB2312" w:hAnsi="宋体" w:eastAsia="仿宋_GB2312"/>
          <w:sz w:val="32"/>
          <w:szCs w:val="32"/>
        </w:rPr>
      </w:pPr>
      <w:r>
        <w:rPr>
          <w:rFonts w:hint="eastAsia" w:ascii="仿宋_GB2312" w:hAnsi="宋体" w:eastAsia="仿宋_GB2312"/>
          <w:sz w:val="32"/>
          <w:szCs w:val="32"/>
        </w:rPr>
        <w:t>1. 推进安宁疗护服务。在永红街道社区卫生服务中心试点基础上，鼓励符合条件的医疗机构、护理机构、养老机构建设安宁疗护中心。</w:t>
      </w:r>
    </w:p>
    <w:p>
      <w:pPr>
        <w:spacing w:line="570" w:lineRule="exact"/>
        <w:ind w:firstLine="640" w:firstLineChars="200"/>
        <w:rPr>
          <w:rFonts w:ascii="仿宋_GB2312" w:hAnsi="宋体" w:eastAsia="仿宋_GB2312"/>
          <w:sz w:val="32"/>
          <w:szCs w:val="32"/>
        </w:rPr>
      </w:pPr>
      <w:r>
        <w:rPr>
          <w:rFonts w:hint="eastAsia" w:ascii="仿宋_GB2312" w:hAnsi="宋体" w:eastAsia="仿宋_GB2312"/>
          <w:sz w:val="32"/>
          <w:szCs w:val="32"/>
        </w:rPr>
        <w:t>2. 推进老年健康中医特色服务。推动基层医疗卫生机构中医科室的建设，力争建成一家老年病中医特色专科。积极发展中医药养生保健、康复服务，发展以中医药健康养老为服务特色的养老机构，引导中医医疗延伸提供社区和居家养老服务，探索融合中医药健康管理理念的健康养老服务新模式。加强老年人的健康教育和养生知识培训，提高老年人的中医药健康管理率，更好地挖掘中医药在老年人健康管理中的潜力。</w:t>
      </w:r>
    </w:p>
    <w:p>
      <w:pPr>
        <w:spacing w:line="570" w:lineRule="exact"/>
        <w:ind w:firstLine="640" w:firstLineChars="200"/>
        <w:rPr>
          <w:rFonts w:ascii="仿宋_GB2312" w:hAnsi="宋体" w:eastAsia="仿宋_GB2312"/>
          <w:sz w:val="32"/>
          <w:szCs w:val="32"/>
        </w:rPr>
      </w:pPr>
      <w:r>
        <w:rPr>
          <w:rFonts w:hint="eastAsia" w:ascii="仿宋_GB2312" w:hAnsi="宋体" w:eastAsia="仿宋_GB2312"/>
          <w:sz w:val="32"/>
          <w:szCs w:val="32"/>
        </w:rPr>
        <w:t>3. 推进“安康关爱行动</w:t>
      </w:r>
      <w:r>
        <w:rPr>
          <w:rFonts w:ascii="仿宋_GB2312" w:hAnsi="宋体" w:eastAsia="仿宋_GB2312"/>
          <w:sz w:val="32"/>
          <w:szCs w:val="32"/>
        </w:rPr>
        <w:t>”</w:t>
      </w:r>
      <w:r>
        <w:rPr>
          <w:rFonts w:hint="eastAsia" w:ascii="仿宋_GB2312" w:hAnsi="宋体" w:eastAsia="仿宋_GB2312"/>
          <w:sz w:val="32"/>
          <w:szCs w:val="32"/>
        </w:rPr>
        <w:t>。将“安康关爱行动</w:t>
      </w:r>
      <w:r>
        <w:rPr>
          <w:rFonts w:ascii="仿宋_GB2312" w:hAnsi="宋体" w:eastAsia="仿宋_GB2312"/>
          <w:sz w:val="32"/>
          <w:szCs w:val="32"/>
        </w:rPr>
        <w:t>”</w:t>
      </w:r>
      <w:r>
        <w:rPr>
          <w:rFonts w:hint="eastAsia" w:ascii="仿宋_GB2312" w:hAnsi="宋体" w:eastAsia="仿宋_GB2312"/>
          <w:sz w:val="32"/>
          <w:szCs w:val="32"/>
        </w:rPr>
        <w:t>纳入区政府对镇、街道的高质量考核；实施区-镇/街道-村委/社区分级承担资金、爱心企业/组织/个人捐资以及家庭出资等相结合共同推进；广泛发动辖区机关干部及公职人员为家中长辈出资购买。充分发挥商业保险在养老保障中的作用，减轻政府和个人负担，提高广大老年人的抗风险能力。将“安康关爱行动</w:t>
      </w:r>
      <w:r>
        <w:rPr>
          <w:rFonts w:ascii="仿宋_GB2312" w:hAnsi="宋体" w:eastAsia="仿宋_GB2312"/>
          <w:sz w:val="32"/>
          <w:szCs w:val="32"/>
        </w:rPr>
        <w:t>”</w:t>
      </w:r>
      <w:r>
        <w:rPr>
          <w:rFonts w:hint="eastAsia" w:ascii="仿宋_GB2312" w:hAnsi="宋体" w:eastAsia="仿宋_GB2312"/>
          <w:sz w:val="32"/>
          <w:szCs w:val="32"/>
        </w:rPr>
        <w:t>打造成社会的爱心工程、子女的孝心工程、保险的善心工程、政府的放心工程、为民办实事的精品工程。</w:t>
      </w:r>
    </w:p>
    <w:p>
      <w:pPr>
        <w:spacing w:line="570" w:lineRule="exact"/>
        <w:rPr>
          <w:rFonts w:ascii="Times New Roman" w:hAnsi="Times New Roman" w:eastAsia="黑体" w:cs="Times New Roman"/>
          <w:sz w:val="32"/>
          <w:szCs w:val="32"/>
        </w:rPr>
        <w:sectPr>
          <w:type w:val="continuous"/>
          <w:pgSz w:w="11906" w:h="16838"/>
          <w:pgMar w:top="2098" w:right="1531" w:bottom="1985" w:left="1531" w:header="851" w:footer="992" w:gutter="0"/>
          <w:pgNumType w:fmt="numberInDash"/>
          <w:cols w:space="425" w:num="1"/>
          <w:docGrid w:type="lines" w:linePitch="312" w:charSpace="0"/>
        </w:sect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钟楼区老龄健康工作争先进位三年行动方案任务分解表</w:t>
      </w:r>
    </w:p>
    <w:tbl>
      <w:tblPr>
        <w:tblStyle w:val="6"/>
        <w:tblW w:w="13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119"/>
        <w:gridCol w:w="4961"/>
        <w:gridCol w:w="1985"/>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Align w:val="center"/>
          </w:tcPr>
          <w:p>
            <w:pPr>
              <w:spacing w:before="100" w:beforeAutospacing="1" w:after="100" w:afterAutospacing="1" w:line="360" w:lineRule="exact"/>
              <w:jc w:val="center"/>
              <w:rPr>
                <w:rFonts w:ascii="黑体" w:hAnsi="黑体" w:eastAsia="黑体"/>
                <w:sz w:val="28"/>
                <w:szCs w:val="21"/>
              </w:rPr>
            </w:pPr>
            <w:r>
              <w:rPr>
                <w:rFonts w:hint="eastAsia" w:ascii="黑体" w:hAnsi="黑体" w:eastAsia="黑体"/>
                <w:sz w:val="28"/>
                <w:szCs w:val="21"/>
              </w:rPr>
              <w:t>序号</w:t>
            </w:r>
          </w:p>
        </w:tc>
        <w:tc>
          <w:tcPr>
            <w:tcW w:w="3119" w:type="dxa"/>
            <w:vAlign w:val="center"/>
          </w:tcPr>
          <w:p>
            <w:pPr>
              <w:spacing w:before="100" w:beforeAutospacing="1" w:after="100" w:afterAutospacing="1" w:line="360" w:lineRule="exact"/>
              <w:jc w:val="center"/>
              <w:rPr>
                <w:rFonts w:ascii="黑体" w:hAnsi="黑体" w:eastAsia="黑体"/>
                <w:sz w:val="28"/>
                <w:szCs w:val="21"/>
              </w:rPr>
            </w:pPr>
            <w:r>
              <w:rPr>
                <w:rFonts w:hint="eastAsia" w:ascii="黑体" w:hAnsi="黑体" w:eastAsia="黑体"/>
                <w:sz w:val="28"/>
                <w:szCs w:val="21"/>
              </w:rPr>
              <w:t>项目名称</w:t>
            </w:r>
          </w:p>
        </w:tc>
        <w:tc>
          <w:tcPr>
            <w:tcW w:w="4961" w:type="dxa"/>
            <w:vAlign w:val="center"/>
          </w:tcPr>
          <w:p>
            <w:pPr>
              <w:spacing w:before="100" w:beforeAutospacing="1" w:after="100" w:afterAutospacing="1" w:line="360" w:lineRule="exact"/>
              <w:jc w:val="center"/>
              <w:rPr>
                <w:rFonts w:ascii="黑体" w:hAnsi="黑体" w:eastAsia="黑体"/>
                <w:sz w:val="28"/>
                <w:szCs w:val="21"/>
              </w:rPr>
            </w:pPr>
            <w:r>
              <w:rPr>
                <w:rFonts w:hint="eastAsia" w:ascii="黑体" w:hAnsi="黑体" w:eastAsia="黑体"/>
                <w:sz w:val="28"/>
                <w:szCs w:val="21"/>
              </w:rPr>
              <w:t>工作任务</w:t>
            </w:r>
          </w:p>
        </w:tc>
        <w:tc>
          <w:tcPr>
            <w:tcW w:w="1985" w:type="dxa"/>
            <w:vAlign w:val="center"/>
          </w:tcPr>
          <w:p>
            <w:pPr>
              <w:spacing w:before="100" w:beforeAutospacing="1" w:after="100" w:afterAutospacing="1" w:line="360" w:lineRule="exact"/>
              <w:jc w:val="center"/>
              <w:rPr>
                <w:rFonts w:ascii="黑体" w:hAnsi="黑体" w:eastAsia="黑体"/>
                <w:sz w:val="28"/>
                <w:szCs w:val="21"/>
              </w:rPr>
            </w:pPr>
            <w:r>
              <w:rPr>
                <w:rFonts w:hint="eastAsia" w:ascii="黑体" w:hAnsi="黑体" w:eastAsia="黑体"/>
                <w:sz w:val="28"/>
                <w:szCs w:val="21"/>
              </w:rPr>
              <w:t>工作进度</w:t>
            </w:r>
          </w:p>
        </w:tc>
        <w:tc>
          <w:tcPr>
            <w:tcW w:w="2357" w:type="dxa"/>
            <w:vAlign w:val="center"/>
          </w:tcPr>
          <w:p>
            <w:pPr>
              <w:spacing w:before="100" w:beforeAutospacing="1" w:after="100" w:afterAutospacing="1" w:line="360" w:lineRule="exact"/>
              <w:rPr>
                <w:rFonts w:ascii="黑体" w:hAnsi="黑体" w:eastAsia="黑体"/>
                <w:sz w:val="28"/>
                <w:szCs w:val="21"/>
              </w:rPr>
            </w:pPr>
            <w:r>
              <w:rPr>
                <w:rFonts w:hint="eastAsia" w:ascii="黑体" w:hAnsi="黑体" w:eastAsia="黑体"/>
                <w:sz w:val="28"/>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4" w:type="dxa"/>
            <w:vMerge w:val="restart"/>
            <w:vAlign w:val="center"/>
          </w:tcPr>
          <w:p>
            <w:pPr>
              <w:spacing w:before="100" w:beforeAutospacing="1" w:after="100" w:afterAutospacing="1" w:line="30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3119" w:type="dxa"/>
            <w:vMerge w:val="restart"/>
            <w:vAlign w:val="center"/>
          </w:tcPr>
          <w:p>
            <w:pPr>
              <w:spacing w:before="100" w:beforeAutospacing="1" w:after="100" w:afterAutospacing="1" w:line="300" w:lineRule="exact"/>
              <w:rPr>
                <w:rFonts w:ascii="仿宋_GB2312" w:hAnsi="宋体" w:eastAsia="仿宋_GB2312"/>
                <w:sz w:val="24"/>
                <w:szCs w:val="24"/>
              </w:rPr>
            </w:pPr>
            <w:r>
              <w:rPr>
                <w:rFonts w:hint="eastAsia" w:ascii="仿宋_GB2312" w:hAnsi="宋体" w:eastAsia="仿宋_GB2312"/>
                <w:sz w:val="24"/>
                <w:szCs w:val="24"/>
              </w:rPr>
              <w:t>居家医养结合服务强基行动</w:t>
            </w:r>
          </w:p>
        </w:tc>
        <w:tc>
          <w:tcPr>
            <w:tcW w:w="4961" w:type="dxa"/>
            <w:vAlign w:val="center"/>
          </w:tcPr>
          <w:p>
            <w:pPr>
              <w:spacing w:before="100" w:beforeAutospacing="1" w:after="100" w:afterAutospacing="1" w:line="300" w:lineRule="exact"/>
              <w:rPr>
                <w:rFonts w:ascii="仿宋_GB2312" w:hAnsi="宋体" w:eastAsia="仿宋_GB2312"/>
                <w:sz w:val="24"/>
                <w:szCs w:val="24"/>
              </w:rPr>
            </w:pPr>
            <w:r>
              <w:rPr>
                <w:rFonts w:hint="eastAsia" w:ascii="仿宋_GB2312" w:hAnsi="宋体" w:eastAsia="仿宋_GB2312"/>
                <w:sz w:val="24"/>
                <w:szCs w:val="24"/>
              </w:rPr>
              <w:t>到2022年，65周岁及以上老年人健康管理率75%。</w:t>
            </w:r>
          </w:p>
        </w:tc>
        <w:tc>
          <w:tcPr>
            <w:tcW w:w="1985" w:type="dxa"/>
            <w:vMerge w:val="restart"/>
            <w:vAlign w:val="center"/>
          </w:tcPr>
          <w:p>
            <w:pPr>
              <w:spacing w:before="100" w:beforeAutospacing="1" w:after="100" w:afterAutospacing="1" w:line="300" w:lineRule="exact"/>
              <w:jc w:val="center"/>
              <w:rPr>
                <w:rFonts w:ascii="仿宋_GB2312" w:hAnsi="宋体" w:eastAsia="仿宋_GB2312"/>
                <w:sz w:val="24"/>
                <w:szCs w:val="24"/>
              </w:rPr>
            </w:pPr>
            <w:r>
              <w:rPr>
                <w:rFonts w:hint="eastAsia" w:ascii="仿宋_GB2312" w:hAnsi="宋体" w:eastAsia="仿宋_GB2312"/>
                <w:sz w:val="24"/>
                <w:szCs w:val="24"/>
              </w:rPr>
              <w:t>2020-2022</w:t>
            </w:r>
          </w:p>
        </w:tc>
        <w:tc>
          <w:tcPr>
            <w:tcW w:w="2357" w:type="dxa"/>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区老龄办</w:t>
            </w:r>
          </w:p>
          <w:p>
            <w:pPr>
              <w:spacing w:line="300" w:lineRule="exact"/>
              <w:rPr>
                <w:rFonts w:ascii="仿宋_GB2312" w:hAnsi="宋体" w:eastAsia="仿宋_GB2312"/>
                <w:spacing w:val="-20"/>
                <w:sz w:val="24"/>
                <w:szCs w:val="24"/>
              </w:rPr>
            </w:pPr>
            <w:r>
              <w:rPr>
                <w:rFonts w:hint="eastAsia" w:ascii="仿宋_GB2312" w:hAnsi="宋体" w:eastAsia="仿宋_GB2312"/>
                <w:spacing w:val="-20"/>
                <w:sz w:val="24"/>
                <w:szCs w:val="24"/>
              </w:rPr>
              <w:t>基层卫生与政策法规科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14"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3119" w:type="dxa"/>
            <w:vMerge w:val="continue"/>
            <w:vAlign w:val="center"/>
          </w:tcPr>
          <w:p>
            <w:pPr>
              <w:spacing w:before="100" w:beforeAutospacing="1" w:after="100" w:afterAutospacing="1" w:line="300" w:lineRule="exact"/>
              <w:rPr>
                <w:rFonts w:ascii="仿宋_GB2312" w:hAnsi="宋体" w:eastAsia="仿宋_GB2312"/>
                <w:sz w:val="24"/>
                <w:szCs w:val="24"/>
              </w:rPr>
            </w:pPr>
          </w:p>
        </w:tc>
        <w:tc>
          <w:tcPr>
            <w:tcW w:w="4961" w:type="dxa"/>
            <w:vAlign w:val="center"/>
          </w:tcPr>
          <w:p>
            <w:pPr>
              <w:spacing w:before="100" w:beforeAutospacing="1" w:after="100" w:afterAutospacing="1" w:line="300" w:lineRule="exact"/>
              <w:rPr>
                <w:rFonts w:ascii="仿宋_GB2312" w:hAnsi="宋体" w:eastAsia="仿宋_GB2312"/>
                <w:color w:val="000000"/>
                <w:sz w:val="24"/>
                <w:szCs w:val="24"/>
              </w:rPr>
            </w:pPr>
            <w:r>
              <w:rPr>
                <w:rFonts w:hint="eastAsia" w:ascii="仿宋_GB2312" w:hAnsi="宋体" w:eastAsia="仿宋_GB2312"/>
                <w:color w:val="000000"/>
                <w:sz w:val="24"/>
                <w:szCs w:val="24"/>
              </w:rPr>
              <w:t>家医签约服务覆盖90%以上的失能失智老年人。</w:t>
            </w:r>
          </w:p>
        </w:tc>
        <w:tc>
          <w:tcPr>
            <w:tcW w:w="1985"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2357" w:type="dxa"/>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区老龄办</w:t>
            </w:r>
          </w:p>
          <w:p>
            <w:pPr>
              <w:spacing w:line="300" w:lineRule="exact"/>
              <w:rPr>
                <w:rFonts w:ascii="仿宋_GB2312" w:hAnsi="宋体" w:eastAsia="仿宋_GB2312"/>
                <w:spacing w:val="-20"/>
                <w:sz w:val="24"/>
                <w:szCs w:val="24"/>
              </w:rPr>
            </w:pPr>
            <w:r>
              <w:rPr>
                <w:rFonts w:hint="eastAsia" w:ascii="仿宋_GB2312" w:hAnsi="宋体" w:eastAsia="仿宋_GB2312"/>
                <w:spacing w:val="-20"/>
                <w:sz w:val="24"/>
                <w:szCs w:val="24"/>
              </w:rPr>
              <w:t>基层卫生与政策法规科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14"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3119" w:type="dxa"/>
            <w:vMerge w:val="continue"/>
            <w:vAlign w:val="center"/>
          </w:tcPr>
          <w:p>
            <w:pPr>
              <w:spacing w:before="100" w:beforeAutospacing="1" w:after="100" w:afterAutospacing="1" w:line="300" w:lineRule="exact"/>
              <w:rPr>
                <w:rFonts w:ascii="仿宋_GB2312" w:hAnsi="宋体" w:eastAsia="仿宋_GB2312"/>
                <w:sz w:val="24"/>
                <w:szCs w:val="24"/>
              </w:rPr>
            </w:pPr>
          </w:p>
        </w:tc>
        <w:tc>
          <w:tcPr>
            <w:tcW w:w="4961" w:type="dxa"/>
            <w:vAlign w:val="center"/>
          </w:tcPr>
          <w:p>
            <w:pPr>
              <w:spacing w:before="100" w:beforeAutospacing="1" w:after="100" w:afterAutospacing="1" w:line="300" w:lineRule="exact"/>
              <w:rPr>
                <w:rFonts w:ascii="仿宋_GB2312" w:hAnsi="宋体" w:eastAsia="仿宋_GB2312"/>
                <w:color w:val="000000"/>
                <w:sz w:val="24"/>
                <w:szCs w:val="24"/>
              </w:rPr>
            </w:pPr>
            <w:r>
              <w:rPr>
                <w:rFonts w:hint="eastAsia" w:ascii="仿宋_GB2312" w:hAnsi="宋体" w:eastAsia="仿宋_GB2312"/>
                <w:color w:val="000000"/>
                <w:sz w:val="24"/>
                <w:szCs w:val="24"/>
              </w:rPr>
              <w:t>每个镇街至少1个老年精神关爱项目。</w:t>
            </w:r>
          </w:p>
        </w:tc>
        <w:tc>
          <w:tcPr>
            <w:tcW w:w="1985"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2357" w:type="dxa"/>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区老龄办</w:t>
            </w:r>
          </w:p>
          <w:p>
            <w:pPr>
              <w:spacing w:line="300" w:lineRule="exact"/>
              <w:rPr>
                <w:rFonts w:ascii="仿宋_GB2312" w:hAnsi="宋体" w:eastAsia="仿宋_GB2312"/>
                <w:sz w:val="24"/>
                <w:szCs w:val="24"/>
              </w:rPr>
            </w:pPr>
            <w:r>
              <w:rPr>
                <w:rFonts w:hint="eastAsia" w:ascii="仿宋_GB2312" w:hAnsi="宋体" w:eastAsia="仿宋_GB2312"/>
                <w:sz w:val="24"/>
                <w:szCs w:val="24"/>
              </w:rPr>
              <w:t>镇、各街道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3119" w:type="dxa"/>
            <w:vMerge w:val="continue"/>
            <w:vAlign w:val="center"/>
          </w:tcPr>
          <w:p>
            <w:pPr>
              <w:spacing w:before="100" w:beforeAutospacing="1" w:after="100" w:afterAutospacing="1" w:line="300" w:lineRule="exact"/>
              <w:rPr>
                <w:rFonts w:ascii="仿宋_GB2312" w:hAnsi="宋体" w:eastAsia="仿宋_GB2312"/>
                <w:sz w:val="24"/>
                <w:szCs w:val="24"/>
              </w:rPr>
            </w:pPr>
          </w:p>
        </w:tc>
        <w:tc>
          <w:tcPr>
            <w:tcW w:w="4961" w:type="dxa"/>
            <w:vAlign w:val="center"/>
          </w:tcPr>
          <w:p>
            <w:pPr>
              <w:spacing w:before="100" w:beforeAutospacing="1" w:after="100" w:afterAutospacing="1" w:line="300" w:lineRule="exact"/>
              <w:rPr>
                <w:rFonts w:ascii="仿宋_GB2312" w:hAnsi="宋体" w:eastAsia="仿宋_GB2312"/>
                <w:color w:val="000000"/>
                <w:sz w:val="24"/>
                <w:szCs w:val="24"/>
              </w:rPr>
            </w:pPr>
            <w:r>
              <w:rPr>
                <w:rFonts w:hint="eastAsia" w:ascii="仿宋_GB2312" w:hAnsi="宋体" w:eastAsia="仿宋_GB2312"/>
                <w:color w:val="000000"/>
                <w:sz w:val="24"/>
                <w:szCs w:val="24"/>
              </w:rPr>
              <w:t>推进家庭病床服务。</w:t>
            </w:r>
          </w:p>
        </w:tc>
        <w:tc>
          <w:tcPr>
            <w:tcW w:w="1985"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2357" w:type="dxa"/>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区老龄办</w:t>
            </w:r>
          </w:p>
          <w:p>
            <w:pPr>
              <w:spacing w:line="300" w:lineRule="exact"/>
              <w:rPr>
                <w:rFonts w:ascii="仿宋_GB2312" w:hAnsi="宋体" w:eastAsia="仿宋_GB2312"/>
                <w:spacing w:val="-20"/>
                <w:sz w:val="24"/>
                <w:szCs w:val="24"/>
              </w:rPr>
            </w:pPr>
            <w:r>
              <w:rPr>
                <w:rFonts w:hint="eastAsia" w:ascii="仿宋_GB2312" w:hAnsi="宋体" w:eastAsia="仿宋_GB2312"/>
                <w:spacing w:val="-20"/>
                <w:sz w:val="24"/>
                <w:szCs w:val="24"/>
              </w:rPr>
              <w:t>基层卫生与政策法规科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restart"/>
            <w:vAlign w:val="center"/>
          </w:tcPr>
          <w:p>
            <w:pPr>
              <w:spacing w:before="100" w:beforeAutospacing="1" w:after="100" w:afterAutospacing="1" w:line="30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3119" w:type="dxa"/>
            <w:vMerge w:val="restart"/>
            <w:vAlign w:val="center"/>
          </w:tcPr>
          <w:p>
            <w:pPr>
              <w:spacing w:before="100" w:beforeAutospacing="1" w:after="100" w:afterAutospacing="1" w:line="300" w:lineRule="exact"/>
              <w:rPr>
                <w:rFonts w:ascii="仿宋_GB2312" w:hAnsi="宋体" w:eastAsia="仿宋_GB2312"/>
                <w:sz w:val="24"/>
                <w:szCs w:val="24"/>
              </w:rPr>
            </w:pPr>
            <w:r>
              <w:rPr>
                <w:rFonts w:hint="eastAsia" w:ascii="仿宋_GB2312" w:hAnsi="宋体" w:eastAsia="仿宋_GB2312"/>
                <w:sz w:val="24"/>
                <w:szCs w:val="24"/>
              </w:rPr>
              <w:t>社区医养结合服务提升行动</w:t>
            </w:r>
          </w:p>
        </w:tc>
        <w:tc>
          <w:tcPr>
            <w:tcW w:w="4961" w:type="dxa"/>
            <w:vAlign w:val="center"/>
          </w:tcPr>
          <w:p>
            <w:pPr>
              <w:spacing w:before="100" w:beforeAutospacing="1" w:after="100" w:afterAutospacing="1" w:line="300" w:lineRule="exact"/>
              <w:rPr>
                <w:rFonts w:ascii="仿宋_GB2312" w:hAnsi="宋体" w:eastAsia="仿宋_GB2312"/>
                <w:color w:val="000000"/>
                <w:sz w:val="24"/>
                <w:szCs w:val="24"/>
              </w:rPr>
            </w:pPr>
            <w:r>
              <w:rPr>
                <w:rFonts w:hint="eastAsia" w:ascii="仿宋_GB2312" w:hAnsi="宋体" w:eastAsia="仿宋_GB2312"/>
                <w:color w:val="000000"/>
                <w:sz w:val="24"/>
                <w:szCs w:val="24"/>
              </w:rPr>
              <w:t>医疗机构老年康复、护理、安宁疗护等床位占比30%以上。</w:t>
            </w:r>
          </w:p>
        </w:tc>
        <w:tc>
          <w:tcPr>
            <w:tcW w:w="1985"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2357" w:type="dxa"/>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区老龄办</w:t>
            </w:r>
          </w:p>
          <w:p>
            <w:pPr>
              <w:spacing w:line="300" w:lineRule="exact"/>
              <w:rPr>
                <w:rFonts w:ascii="仿宋_GB2312" w:hAnsi="宋体" w:eastAsia="仿宋_GB2312"/>
                <w:spacing w:val="-20"/>
                <w:sz w:val="24"/>
                <w:szCs w:val="24"/>
              </w:rPr>
            </w:pPr>
            <w:r>
              <w:rPr>
                <w:rFonts w:hint="eastAsia" w:ascii="仿宋_GB2312" w:hAnsi="宋体" w:eastAsia="仿宋_GB2312"/>
                <w:spacing w:val="-20"/>
                <w:sz w:val="24"/>
                <w:szCs w:val="24"/>
              </w:rPr>
              <w:t>基层卫生与政策法规科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4"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3119" w:type="dxa"/>
            <w:vMerge w:val="continue"/>
            <w:vAlign w:val="center"/>
          </w:tcPr>
          <w:p>
            <w:pPr>
              <w:spacing w:before="100" w:beforeAutospacing="1" w:after="100" w:afterAutospacing="1" w:line="300" w:lineRule="exact"/>
              <w:rPr>
                <w:rFonts w:ascii="仿宋_GB2312" w:hAnsi="宋体" w:eastAsia="仿宋_GB2312"/>
                <w:sz w:val="24"/>
                <w:szCs w:val="24"/>
              </w:rPr>
            </w:pPr>
          </w:p>
        </w:tc>
        <w:tc>
          <w:tcPr>
            <w:tcW w:w="4961" w:type="dxa"/>
            <w:vAlign w:val="center"/>
          </w:tcPr>
          <w:p>
            <w:pPr>
              <w:spacing w:before="100" w:beforeAutospacing="1" w:after="100" w:afterAutospacing="1" w:line="300" w:lineRule="exact"/>
              <w:rPr>
                <w:rFonts w:ascii="仿宋_GB2312" w:hAnsi="宋体" w:eastAsia="仿宋_GB2312"/>
                <w:sz w:val="24"/>
                <w:szCs w:val="24"/>
              </w:rPr>
            </w:pPr>
            <w:r>
              <w:rPr>
                <w:rFonts w:hint="eastAsia" w:ascii="仿宋_GB2312" w:hAnsi="宋体" w:eastAsia="仿宋_GB2312"/>
                <w:sz w:val="24"/>
                <w:szCs w:val="24"/>
              </w:rPr>
              <w:t>镇街道各建一所社区护理站。</w:t>
            </w:r>
          </w:p>
        </w:tc>
        <w:tc>
          <w:tcPr>
            <w:tcW w:w="1985"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2357" w:type="dxa"/>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区老龄办</w:t>
            </w:r>
          </w:p>
          <w:p>
            <w:pPr>
              <w:spacing w:line="300" w:lineRule="exact"/>
              <w:rPr>
                <w:rFonts w:ascii="仿宋_GB2312" w:hAnsi="宋体" w:eastAsia="仿宋_GB2312"/>
                <w:spacing w:val="-20"/>
                <w:sz w:val="24"/>
                <w:szCs w:val="24"/>
              </w:rPr>
            </w:pPr>
            <w:r>
              <w:rPr>
                <w:rFonts w:hint="eastAsia" w:ascii="仿宋_GB2312" w:hAnsi="宋体" w:eastAsia="仿宋_GB2312"/>
                <w:spacing w:val="-20"/>
                <w:sz w:val="24"/>
                <w:szCs w:val="24"/>
              </w:rPr>
              <w:t>基层卫生与政策法规科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3119" w:type="dxa"/>
            <w:vMerge w:val="continue"/>
            <w:vAlign w:val="center"/>
          </w:tcPr>
          <w:p>
            <w:pPr>
              <w:spacing w:before="100" w:beforeAutospacing="1" w:after="100" w:afterAutospacing="1" w:line="300" w:lineRule="exact"/>
              <w:rPr>
                <w:rFonts w:ascii="仿宋_GB2312" w:hAnsi="宋体" w:eastAsia="仿宋_GB2312"/>
                <w:sz w:val="24"/>
                <w:szCs w:val="24"/>
              </w:rPr>
            </w:pPr>
          </w:p>
        </w:tc>
        <w:tc>
          <w:tcPr>
            <w:tcW w:w="4961" w:type="dxa"/>
            <w:vAlign w:val="center"/>
          </w:tcPr>
          <w:p>
            <w:pPr>
              <w:spacing w:before="100" w:beforeAutospacing="1" w:after="100" w:afterAutospacing="1" w:line="300" w:lineRule="exact"/>
              <w:rPr>
                <w:rFonts w:ascii="仿宋_GB2312" w:hAnsi="宋体" w:eastAsia="仿宋_GB2312"/>
                <w:sz w:val="24"/>
                <w:szCs w:val="24"/>
              </w:rPr>
            </w:pPr>
            <w:r>
              <w:rPr>
                <w:rFonts w:hint="eastAsia" w:ascii="仿宋_GB2312" w:hAnsi="宋体" w:eastAsia="仿宋_GB2312"/>
                <w:sz w:val="24"/>
                <w:szCs w:val="24"/>
              </w:rPr>
              <w:t>到2022年，90%的医疗机构建成老年友善医疗卫生机构。</w:t>
            </w:r>
          </w:p>
        </w:tc>
        <w:tc>
          <w:tcPr>
            <w:tcW w:w="1985"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2357" w:type="dxa"/>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区老龄办</w:t>
            </w:r>
          </w:p>
          <w:p>
            <w:pPr>
              <w:spacing w:line="300" w:lineRule="exact"/>
              <w:rPr>
                <w:rFonts w:ascii="仿宋_GB2312" w:hAnsi="宋体" w:eastAsia="仿宋_GB2312"/>
                <w:spacing w:val="-20"/>
                <w:sz w:val="24"/>
                <w:szCs w:val="24"/>
              </w:rPr>
            </w:pPr>
            <w:r>
              <w:rPr>
                <w:rFonts w:hint="eastAsia" w:ascii="仿宋_GB2312" w:hAnsi="宋体" w:eastAsia="仿宋_GB2312"/>
                <w:spacing w:val="-20"/>
                <w:sz w:val="24"/>
                <w:szCs w:val="24"/>
              </w:rPr>
              <w:t>基层卫生与政策法规科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4" w:type="dxa"/>
            <w:vMerge w:val="restart"/>
            <w:vAlign w:val="center"/>
          </w:tcPr>
          <w:p>
            <w:pPr>
              <w:spacing w:before="100" w:beforeAutospacing="1" w:after="100" w:afterAutospacing="1" w:line="30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3119" w:type="dxa"/>
            <w:vMerge w:val="restart"/>
            <w:vAlign w:val="center"/>
          </w:tcPr>
          <w:p>
            <w:pPr>
              <w:spacing w:before="100" w:beforeAutospacing="1" w:after="100" w:afterAutospacing="1" w:line="300" w:lineRule="exact"/>
              <w:rPr>
                <w:rFonts w:ascii="仿宋_GB2312" w:hAnsi="宋体" w:eastAsia="仿宋_GB2312"/>
                <w:sz w:val="24"/>
                <w:szCs w:val="24"/>
              </w:rPr>
            </w:pPr>
            <w:r>
              <w:rPr>
                <w:rFonts w:hint="eastAsia" w:ascii="仿宋_GB2312" w:hAnsi="宋体" w:eastAsia="仿宋_GB2312"/>
                <w:sz w:val="24"/>
                <w:szCs w:val="24"/>
              </w:rPr>
              <w:t>医养结合服务促进行动</w:t>
            </w:r>
          </w:p>
        </w:tc>
        <w:tc>
          <w:tcPr>
            <w:tcW w:w="4961" w:type="dxa"/>
            <w:vAlign w:val="center"/>
          </w:tcPr>
          <w:p>
            <w:pPr>
              <w:spacing w:before="100" w:beforeAutospacing="1" w:after="100" w:afterAutospacing="1" w:line="300" w:lineRule="exact"/>
              <w:rPr>
                <w:rFonts w:ascii="仿宋_GB2312" w:hAnsi="宋体" w:eastAsia="仿宋_GB2312"/>
                <w:spacing w:val="-20"/>
                <w:sz w:val="24"/>
                <w:szCs w:val="24"/>
              </w:rPr>
            </w:pPr>
            <w:r>
              <w:rPr>
                <w:rFonts w:hint="eastAsia" w:ascii="仿宋_GB2312" w:hAnsi="宋体" w:eastAsia="仿宋_GB2312"/>
                <w:spacing w:val="-20"/>
                <w:sz w:val="24"/>
                <w:szCs w:val="24"/>
              </w:rPr>
              <w:t>完善老年医疗资源布局，建立健全以基层医疗卫生机构为基础、区域医联体共建单位老年医学科为核心的老年医疗服务网络。</w:t>
            </w:r>
          </w:p>
        </w:tc>
        <w:tc>
          <w:tcPr>
            <w:tcW w:w="1985"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2357" w:type="dxa"/>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区老龄办</w:t>
            </w:r>
          </w:p>
          <w:p>
            <w:pPr>
              <w:spacing w:line="300" w:lineRule="exact"/>
              <w:rPr>
                <w:rFonts w:ascii="仿宋_GB2312" w:hAnsi="宋体" w:eastAsia="仿宋_GB2312"/>
                <w:spacing w:val="-20"/>
                <w:sz w:val="24"/>
                <w:szCs w:val="24"/>
              </w:rPr>
            </w:pPr>
            <w:r>
              <w:rPr>
                <w:rFonts w:hint="eastAsia" w:ascii="仿宋_GB2312" w:hAnsi="宋体" w:eastAsia="仿宋_GB2312"/>
                <w:spacing w:val="-20"/>
                <w:sz w:val="24"/>
                <w:szCs w:val="24"/>
              </w:rPr>
              <w:t>基层卫生与政策法规科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14"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3119" w:type="dxa"/>
            <w:vMerge w:val="continue"/>
            <w:vAlign w:val="center"/>
          </w:tcPr>
          <w:p>
            <w:pPr>
              <w:spacing w:before="100" w:beforeAutospacing="1" w:after="100" w:afterAutospacing="1" w:line="300" w:lineRule="exact"/>
              <w:rPr>
                <w:rFonts w:ascii="仿宋_GB2312" w:hAnsi="宋体" w:eastAsia="仿宋_GB2312"/>
                <w:sz w:val="24"/>
                <w:szCs w:val="24"/>
              </w:rPr>
            </w:pPr>
          </w:p>
        </w:tc>
        <w:tc>
          <w:tcPr>
            <w:tcW w:w="4961" w:type="dxa"/>
            <w:vAlign w:val="center"/>
          </w:tcPr>
          <w:p>
            <w:pPr>
              <w:spacing w:before="100" w:beforeAutospacing="1" w:after="100" w:afterAutospacing="1" w:line="300" w:lineRule="exact"/>
              <w:rPr>
                <w:rFonts w:ascii="仿宋_GB2312" w:hAnsi="宋体" w:eastAsia="仿宋_GB2312"/>
                <w:sz w:val="24"/>
                <w:szCs w:val="24"/>
              </w:rPr>
            </w:pPr>
            <w:r>
              <w:rPr>
                <w:rFonts w:hint="eastAsia" w:ascii="仿宋_GB2312" w:hAnsi="宋体" w:eastAsia="仿宋_GB2312"/>
                <w:sz w:val="24"/>
                <w:szCs w:val="24"/>
              </w:rPr>
              <w:t>全面落实老年人医疗服务优待政策。所有医疗机构对老年人看病就医实行优先照顾，开通绿色通道。</w:t>
            </w:r>
          </w:p>
        </w:tc>
        <w:tc>
          <w:tcPr>
            <w:tcW w:w="1985"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2357" w:type="dxa"/>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区老龄办</w:t>
            </w:r>
          </w:p>
          <w:p>
            <w:pPr>
              <w:spacing w:line="300" w:lineRule="exact"/>
              <w:rPr>
                <w:rFonts w:ascii="仿宋_GB2312" w:hAnsi="宋体" w:eastAsia="仿宋_GB2312"/>
                <w:spacing w:val="-20"/>
                <w:sz w:val="24"/>
                <w:szCs w:val="24"/>
              </w:rPr>
            </w:pPr>
            <w:r>
              <w:rPr>
                <w:rFonts w:hint="eastAsia" w:ascii="仿宋_GB2312" w:hAnsi="宋体" w:eastAsia="仿宋_GB2312"/>
                <w:spacing w:val="-20"/>
                <w:sz w:val="24"/>
                <w:szCs w:val="24"/>
              </w:rPr>
              <w:t>基层卫生与政策法规科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14"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3119" w:type="dxa"/>
            <w:vMerge w:val="continue"/>
            <w:vAlign w:val="center"/>
          </w:tcPr>
          <w:p>
            <w:pPr>
              <w:spacing w:before="100" w:beforeAutospacing="1" w:after="100" w:afterAutospacing="1" w:line="300" w:lineRule="exact"/>
              <w:rPr>
                <w:rFonts w:ascii="仿宋_GB2312" w:hAnsi="宋体" w:eastAsia="仿宋_GB2312"/>
                <w:sz w:val="24"/>
                <w:szCs w:val="24"/>
              </w:rPr>
            </w:pPr>
          </w:p>
        </w:tc>
        <w:tc>
          <w:tcPr>
            <w:tcW w:w="4961" w:type="dxa"/>
            <w:vAlign w:val="center"/>
          </w:tcPr>
          <w:p>
            <w:pPr>
              <w:spacing w:before="100" w:beforeAutospacing="1" w:after="100" w:afterAutospacing="1" w:line="300" w:lineRule="exact"/>
              <w:rPr>
                <w:rFonts w:ascii="仿宋_GB2312" w:hAnsi="宋体" w:eastAsia="仿宋_GB2312"/>
                <w:spacing w:val="-20"/>
                <w:sz w:val="24"/>
                <w:szCs w:val="24"/>
              </w:rPr>
            </w:pPr>
            <w:r>
              <w:rPr>
                <w:rFonts w:hint="eastAsia" w:ascii="仿宋_GB2312" w:hAnsi="宋体" w:eastAsia="仿宋_GB2312"/>
                <w:spacing w:val="-20"/>
                <w:sz w:val="24"/>
                <w:szCs w:val="24"/>
              </w:rPr>
              <w:t>深入推进医养结合。推进医养结合机构“放管服”改革，优化机构准入流程和环境，完善医养结合政策体系，有效提升服务供给。</w:t>
            </w:r>
          </w:p>
        </w:tc>
        <w:tc>
          <w:tcPr>
            <w:tcW w:w="1985"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2357" w:type="dxa"/>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区老龄办</w:t>
            </w:r>
          </w:p>
          <w:p>
            <w:pPr>
              <w:spacing w:line="300" w:lineRule="exact"/>
              <w:rPr>
                <w:rFonts w:ascii="仿宋_GB2312" w:hAnsi="宋体" w:eastAsia="仿宋_GB2312"/>
                <w:sz w:val="24"/>
                <w:szCs w:val="24"/>
              </w:rPr>
            </w:pPr>
            <w:r>
              <w:rPr>
                <w:rFonts w:hint="eastAsia" w:ascii="仿宋_GB2312" w:hAnsi="宋体" w:eastAsia="仿宋_GB2312"/>
                <w:sz w:val="24"/>
                <w:szCs w:val="24"/>
              </w:rPr>
              <w:t>医政医管与中医科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restart"/>
            <w:vAlign w:val="center"/>
          </w:tcPr>
          <w:p>
            <w:pPr>
              <w:spacing w:before="100" w:beforeAutospacing="1" w:after="100" w:afterAutospacing="1" w:line="30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3119" w:type="dxa"/>
            <w:vMerge w:val="restart"/>
            <w:vAlign w:val="center"/>
          </w:tcPr>
          <w:p>
            <w:pPr>
              <w:spacing w:before="100" w:beforeAutospacing="1" w:after="100" w:afterAutospacing="1" w:line="300" w:lineRule="exact"/>
              <w:rPr>
                <w:rFonts w:ascii="仿宋_GB2312" w:hAnsi="宋体" w:eastAsia="仿宋_GB2312"/>
                <w:sz w:val="24"/>
                <w:szCs w:val="24"/>
              </w:rPr>
            </w:pPr>
            <w:r>
              <w:rPr>
                <w:rFonts w:hint="eastAsia" w:ascii="仿宋_GB2312" w:hAnsi="宋体" w:eastAsia="仿宋_GB2312"/>
                <w:sz w:val="24"/>
                <w:szCs w:val="24"/>
              </w:rPr>
              <w:t>扩大医养结合服务推进行动</w:t>
            </w:r>
          </w:p>
        </w:tc>
        <w:tc>
          <w:tcPr>
            <w:tcW w:w="4961" w:type="dxa"/>
            <w:vAlign w:val="center"/>
          </w:tcPr>
          <w:p>
            <w:pPr>
              <w:spacing w:before="100" w:beforeAutospacing="1" w:after="100" w:afterAutospacing="1" w:line="300" w:lineRule="exact"/>
              <w:rPr>
                <w:rFonts w:ascii="仿宋_GB2312" w:hAnsi="宋体" w:eastAsia="仿宋_GB2312"/>
                <w:sz w:val="24"/>
                <w:szCs w:val="24"/>
              </w:rPr>
            </w:pPr>
            <w:r>
              <w:rPr>
                <w:rFonts w:hint="eastAsia" w:ascii="仿宋_GB2312" w:hAnsi="宋体" w:eastAsia="仿宋_GB2312"/>
                <w:sz w:val="24"/>
                <w:szCs w:val="24"/>
              </w:rPr>
              <w:t>推进安宁疗护。</w:t>
            </w:r>
          </w:p>
        </w:tc>
        <w:tc>
          <w:tcPr>
            <w:tcW w:w="1985"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2357" w:type="dxa"/>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区老龄办</w:t>
            </w:r>
          </w:p>
          <w:p>
            <w:pPr>
              <w:spacing w:line="300" w:lineRule="exact"/>
              <w:rPr>
                <w:rFonts w:ascii="仿宋_GB2312" w:hAnsi="宋体" w:eastAsia="仿宋_GB2312"/>
                <w:sz w:val="24"/>
                <w:szCs w:val="24"/>
              </w:rPr>
            </w:pPr>
            <w:r>
              <w:rPr>
                <w:rFonts w:hint="eastAsia" w:ascii="仿宋_GB2312" w:hAnsi="宋体" w:eastAsia="仿宋_GB2312"/>
                <w:sz w:val="24"/>
                <w:szCs w:val="24"/>
              </w:rPr>
              <w:t>永红中心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3119" w:type="dxa"/>
            <w:vMerge w:val="continue"/>
            <w:vAlign w:val="center"/>
          </w:tcPr>
          <w:p>
            <w:pPr>
              <w:spacing w:before="100" w:beforeAutospacing="1" w:after="100" w:afterAutospacing="1" w:line="300" w:lineRule="exact"/>
              <w:rPr>
                <w:rFonts w:ascii="仿宋_GB2312" w:hAnsi="宋体" w:eastAsia="仿宋_GB2312"/>
                <w:sz w:val="24"/>
                <w:szCs w:val="24"/>
              </w:rPr>
            </w:pPr>
          </w:p>
        </w:tc>
        <w:tc>
          <w:tcPr>
            <w:tcW w:w="4961" w:type="dxa"/>
            <w:vAlign w:val="center"/>
          </w:tcPr>
          <w:p>
            <w:pPr>
              <w:spacing w:before="100" w:beforeAutospacing="1" w:after="100" w:afterAutospacing="1" w:line="300" w:lineRule="exact"/>
              <w:rPr>
                <w:rFonts w:ascii="仿宋_GB2312" w:hAnsi="宋体" w:eastAsia="仿宋_GB2312"/>
                <w:sz w:val="24"/>
                <w:szCs w:val="24"/>
              </w:rPr>
            </w:pPr>
            <w:r>
              <w:rPr>
                <w:rFonts w:hint="eastAsia" w:ascii="仿宋_GB2312" w:hAnsi="宋体" w:eastAsia="仿宋_GB2312"/>
                <w:sz w:val="24"/>
                <w:szCs w:val="24"/>
              </w:rPr>
              <w:t>推进老年健康中医养生保健、康复特色服务。</w:t>
            </w:r>
          </w:p>
        </w:tc>
        <w:tc>
          <w:tcPr>
            <w:tcW w:w="1985"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2357" w:type="dxa"/>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区老龄办</w:t>
            </w:r>
          </w:p>
          <w:p>
            <w:pPr>
              <w:spacing w:line="300" w:lineRule="exact"/>
              <w:rPr>
                <w:rFonts w:ascii="仿宋_GB2312" w:hAnsi="宋体" w:eastAsia="仿宋_GB2312"/>
                <w:sz w:val="24"/>
                <w:szCs w:val="24"/>
              </w:rPr>
            </w:pPr>
            <w:r>
              <w:rPr>
                <w:rFonts w:hint="eastAsia" w:ascii="仿宋_GB2312" w:hAnsi="宋体" w:eastAsia="仿宋_GB2312"/>
                <w:sz w:val="24"/>
                <w:szCs w:val="24"/>
              </w:rPr>
              <w:t>医政医管与中医科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3119" w:type="dxa"/>
            <w:vMerge w:val="continue"/>
            <w:vAlign w:val="center"/>
          </w:tcPr>
          <w:p>
            <w:pPr>
              <w:spacing w:before="100" w:beforeAutospacing="1" w:after="100" w:afterAutospacing="1" w:line="300" w:lineRule="exact"/>
              <w:rPr>
                <w:rFonts w:ascii="仿宋_GB2312" w:hAnsi="宋体" w:eastAsia="仿宋_GB2312"/>
                <w:sz w:val="24"/>
                <w:szCs w:val="24"/>
              </w:rPr>
            </w:pPr>
          </w:p>
        </w:tc>
        <w:tc>
          <w:tcPr>
            <w:tcW w:w="4961" w:type="dxa"/>
            <w:vAlign w:val="center"/>
          </w:tcPr>
          <w:p>
            <w:pPr>
              <w:spacing w:before="100" w:beforeAutospacing="1" w:after="100" w:afterAutospacing="1" w:line="300" w:lineRule="exact"/>
              <w:rPr>
                <w:rFonts w:ascii="仿宋_GB2312" w:hAnsi="宋体" w:eastAsia="仿宋_GB2312"/>
                <w:sz w:val="24"/>
                <w:szCs w:val="24"/>
              </w:rPr>
            </w:pPr>
            <w:r>
              <w:rPr>
                <w:rFonts w:hint="eastAsia" w:ascii="仿宋_GB2312" w:hAnsi="宋体" w:eastAsia="仿宋_GB2312"/>
                <w:sz w:val="24"/>
                <w:szCs w:val="24"/>
              </w:rPr>
              <w:t>推进安康关爱行动，2022年力争全覆盖。</w:t>
            </w:r>
          </w:p>
        </w:tc>
        <w:tc>
          <w:tcPr>
            <w:tcW w:w="1985"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2357" w:type="dxa"/>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区老龄办</w:t>
            </w:r>
          </w:p>
          <w:p>
            <w:pPr>
              <w:spacing w:line="300" w:lineRule="exact"/>
              <w:rPr>
                <w:rFonts w:ascii="仿宋_GB2312" w:hAnsi="宋体" w:eastAsia="仿宋_GB2312"/>
                <w:sz w:val="24"/>
                <w:szCs w:val="24"/>
              </w:rPr>
            </w:pPr>
            <w:r>
              <w:rPr>
                <w:rFonts w:hint="eastAsia" w:ascii="仿宋_GB2312" w:hAnsi="宋体" w:eastAsia="仿宋_GB2312"/>
                <w:sz w:val="24"/>
                <w:szCs w:val="24"/>
              </w:rPr>
              <w:t>镇、各街道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3119" w:type="dxa"/>
            <w:vMerge w:val="continue"/>
            <w:vAlign w:val="center"/>
          </w:tcPr>
          <w:p>
            <w:pPr>
              <w:spacing w:before="100" w:beforeAutospacing="1" w:after="100" w:afterAutospacing="1" w:line="300" w:lineRule="exact"/>
              <w:rPr>
                <w:rFonts w:ascii="仿宋_GB2312" w:hAnsi="宋体" w:eastAsia="仿宋_GB2312"/>
                <w:sz w:val="24"/>
                <w:szCs w:val="24"/>
              </w:rPr>
            </w:pPr>
          </w:p>
        </w:tc>
        <w:tc>
          <w:tcPr>
            <w:tcW w:w="4961" w:type="dxa"/>
            <w:vAlign w:val="center"/>
          </w:tcPr>
          <w:p>
            <w:pPr>
              <w:spacing w:before="100" w:beforeAutospacing="1" w:after="100" w:afterAutospacing="1" w:line="300" w:lineRule="exact"/>
              <w:rPr>
                <w:rFonts w:ascii="仿宋_GB2312" w:hAnsi="宋体" w:eastAsia="仿宋_GB2312"/>
                <w:sz w:val="24"/>
                <w:szCs w:val="24"/>
              </w:rPr>
            </w:pPr>
            <w:r>
              <w:rPr>
                <w:rFonts w:hint="eastAsia" w:ascii="仿宋_GB2312" w:hAnsi="宋体" w:eastAsia="仿宋_GB2312"/>
                <w:sz w:val="24"/>
                <w:szCs w:val="24"/>
              </w:rPr>
              <w:t>探索“互联网+老年健康”服务模式，推进信息化建设。</w:t>
            </w:r>
          </w:p>
        </w:tc>
        <w:tc>
          <w:tcPr>
            <w:tcW w:w="1985" w:type="dxa"/>
            <w:vMerge w:val="continue"/>
            <w:vAlign w:val="center"/>
          </w:tcPr>
          <w:p>
            <w:pPr>
              <w:spacing w:before="100" w:beforeAutospacing="1" w:after="100" w:afterAutospacing="1" w:line="300" w:lineRule="exact"/>
              <w:jc w:val="center"/>
              <w:rPr>
                <w:rFonts w:ascii="仿宋_GB2312" w:hAnsi="宋体" w:eastAsia="仿宋_GB2312"/>
                <w:sz w:val="24"/>
                <w:szCs w:val="24"/>
              </w:rPr>
            </w:pPr>
          </w:p>
        </w:tc>
        <w:tc>
          <w:tcPr>
            <w:tcW w:w="2357" w:type="dxa"/>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区老龄办</w:t>
            </w:r>
          </w:p>
          <w:p>
            <w:pPr>
              <w:spacing w:line="300" w:lineRule="exact"/>
              <w:rPr>
                <w:rFonts w:ascii="仿宋_GB2312" w:hAnsi="宋体" w:eastAsia="仿宋_GB2312"/>
                <w:spacing w:val="-20"/>
                <w:sz w:val="24"/>
                <w:szCs w:val="24"/>
              </w:rPr>
            </w:pPr>
            <w:r>
              <w:rPr>
                <w:rFonts w:hint="eastAsia" w:ascii="仿宋_GB2312" w:hAnsi="宋体" w:eastAsia="仿宋_GB2312"/>
                <w:spacing w:val="-20"/>
                <w:sz w:val="24"/>
                <w:szCs w:val="24"/>
              </w:rPr>
              <w:t>基层卫生与政策法规科</w:t>
            </w:r>
          </w:p>
        </w:tc>
      </w:tr>
    </w:tbl>
    <w:p>
      <w:pPr>
        <w:spacing w:line="570" w:lineRule="exact"/>
        <w:rPr>
          <w:rFonts w:ascii="Times New Roman" w:hAnsi="Times New Roman" w:eastAsia="黑体" w:cs="Times New Roman"/>
          <w:sz w:val="32"/>
          <w:szCs w:val="32"/>
        </w:rPr>
        <w:sectPr>
          <w:pgSz w:w="16838" w:h="11906" w:orient="landscape"/>
          <w:pgMar w:top="2098" w:right="1531" w:bottom="1985" w:left="1531" w:header="851" w:footer="992" w:gutter="0"/>
          <w:pgNumType w:fmt="numberInDash"/>
          <w:cols w:space="425" w:num="1"/>
          <w:docGrid w:type="lines" w:linePitch="312" w:charSpace="0"/>
        </w:sectPr>
      </w:pPr>
    </w:p>
    <w:p>
      <w:pPr>
        <w:spacing w:line="570" w:lineRule="exact"/>
        <w:rPr>
          <w:rFonts w:ascii="Times New Roman" w:hAnsi="Times New Roman" w:eastAsia="黑体" w:cs="Times New Roman"/>
          <w:sz w:val="32"/>
          <w:szCs w:val="32"/>
        </w:rPr>
      </w:pPr>
      <w:r>
        <w:rPr>
          <w:rFonts w:ascii="Times New Roman" w:hAnsi="Times New Roman" w:eastAsia="黑体" w:cs="Times New Roman"/>
          <w:sz w:val="32"/>
          <w:szCs w:val="32"/>
        </w:rPr>
        <w:t>附件7</w:t>
      </w:r>
    </w:p>
    <w:p>
      <w:pPr>
        <w:spacing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钟楼区人口监测和家庭发展工作争先进位三年行动方案</w:t>
      </w:r>
    </w:p>
    <w:p>
      <w:pPr>
        <w:spacing w:line="540" w:lineRule="exact"/>
        <w:rPr>
          <w:rFonts w:ascii="Times New Roman" w:hAnsi="Times New Roman" w:eastAsia="仿宋_GB2312" w:cs="Times New Roman"/>
          <w:sz w:val="30"/>
          <w:szCs w:val="30"/>
        </w:rPr>
      </w:pPr>
    </w:p>
    <w:p>
      <w:pPr>
        <w:spacing w:line="540" w:lineRule="exact"/>
        <w:ind w:firstLine="633" w:firstLineChars="198"/>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落实国家、省、市卫生健康委对新时期人口家庭工作的新要求，围绕中心工作，促进融合发展，努力开拓创新，全面推进生育政策和相关经济社会配套政策落实，形成均衡发展的人口格局，为我区创造良好的人口环境。</w:t>
      </w:r>
    </w:p>
    <w:p>
      <w:pPr>
        <w:spacing w:line="540" w:lineRule="exact"/>
        <w:ind w:firstLine="627" w:firstLineChars="196"/>
        <w:rPr>
          <w:rFonts w:ascii="Times New Roman" w:hAnsi="Times New Roman" w:eastAsia="黑体" w:cs="Times New Roman"/>
          <w:sz w:val="32"/>
          <w:szCs w:val="32"/>
        </w:rPr>
      </w:pPr>
      <w:r>
        <w:rPr>
          <w:rFonts w:ascii="Times New Roman" w:hAnsi="Times New Roman" w:eastAsia="黑体" w:cs="Times New Roman"/>
          <w:sz w:val="32"/>
          <w:szCs w:val="32"/>
        </w:rPr>
        <w:t>二、工作目标</w:t>
      </w:r>
    </w:p>
    <w:p>
      <w:pPr>
        <w:pStyle w:val="5"/>
        <w:shd w:val="clear" w:color="auto" w:fill="FFFFFF"/>
        <w:spacing w:before="0" w:beforeAutospacing="0" w:after="0" w:afterAutospacing="0" w:line="540" w:lineRule="exact"/>
        <w:ind w:firstLine="640" w:firstLineChars="200"/>
        <w:jc w:val="both"/>
        <w:textAlignment w:val="baseline"/>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到2022年将全面两孩政策推向纵深，建立完善的人口监测制度，全面推进婴幼儿照护服务，改革完善人口家庭服务管理，促进转型提质发展，为促进“健康钟楼”建设提供坚强的人口均衡发展环境。重点指标为：</w:t>
      </w:r>
    </w:p>
    <w:p>
      <w:pPr>
        <w:pStyle w:val="5"/>
        <w:shd w:val="clear" w:color="auto" w:fill="FFFFFF"/>
        <w:spacing w:before="0" w:beforeAutospacing="0" w:after="0" w:afterAutospacing="0" w:line="540" w:lineRule="exact"/>
        <w:ind w:firstLine="640" w:firstLineChars="200"/>
        <w:jc w:val="both"/>
        <w:textAlignment w:val="baseline"/>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 全区出生政策符合率98%以上；</w:t>
      </w:r>
    </w:p>
    <w:p>
      <w:pPr>
        <w:pStyle w:val="5"/>
        <w:shd w:val="clear" w:color="auto" w:fill="FFFFFF"/>
        <w:spacing w:before="0" w:beforeAutospacing="0" w:after="0" w:afterAutospacing="0" w:line="540" w:lineRule="exact"/>
        <w:ind w:firstLine="640" w:firstLineChars="200"/>
        <w:jc w:val="both"/>
        <w:textAlignment w:val="baseline"/>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 人口信息化建设达标率100%；</w:t>
      </w:r>
    </w:p>
    <w:p>
      <w:pPr>
        <w:pStyle w:val="5"/>
        <w:shd w:val="clear" w:color="auto" w:fill="FFFFFF"/>
        <w:spacing w:before="0" w:beforeAutospacing="0" w:after="0" w:afterAutospacing="0" w:line="540" w:lineRule="exact"/>
        <w:ind w:firstLine="640" w:firstLineChars="200"/>
        <w:jc w:val="both"/>
        <w:textAlignment w:val="baseline"/>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 计划生育奖励扶助政策兑现率100%；</w:t>
      </w:r>
    </w:p>
    <w:p>
      <w:pPr>
        <w:pStyle w:val="5"/>
        <w:shd w:val="clear" w:color="auto" w:fill="FFFFFF"/>
        <w:spacing w:before="0" w:beforeAutospacing="0" w:after="0" w:afterAutospacing="0" w:line="540" w:lineRule="exact"/>
        <w:ind w:firstLine="640" w:firstLineChars="200"/>
        <w:jc w:val="both"/>
        <w:textAlignment w:val="baseline"/>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 群众对基层工作人员服务满意率98%以上。</w:t>
      </w:r>
    </w:p>
    <w:p>
      <w:pPr>
        <w:spacing w:line="540" w:lineRule="exact"/>
        <w:ind w:firstLine="627" w:firstLineChars="196"/>
        <w:rPr>
          <w:rFonts w:ascii="Times New Roman" w:hAnsi="Times New Roman" w:eastAsia="黑体" w:cs="Times New Roman"/>
          <w:sz w:val="32"/>
          <w:szCs w:val="32"/>
        </w:rPr>
      </w:pPr>
      <w:r>
        <w:rPr>
          <w:rFonts w:ascii="Times New Roman" w:hAnsi="Times New Roman" w:eastAsia="黑体" w:cs="Times New Roman"/>
          <w:sz w:val="32"/>
          <w:szCs w:val="32"/>
        </w:rPr>
        <w:t>三、工作措施</w:t>
      </w:r>
    </w:p>
    <w:p>
      <w:pPr>
        <w:spacing w:line="540" w:lineRule="exact"/>
        <w:ind w:firstLine="627" w:firstLineChars="196"/>
        <w:rPr>
          <w:rFonts w:ascii="Times New Roman" w:hAnsi="Times New Roman" w:eastAsia="黑体" w:cs="Times New Roman"/>
          <w:sz w:val="32"/>
          <w:szCs w:val="32"/>
        </w:rPr>
      </w:pPr>
      <w:r>
        <w:rPr>
          <w:rFonts w:ascii="Times New Roman" w:hAnsi="Times New Roman" w:eastAsia="楷体_GB2312" w:cs="Times New Roman"/>
          <w:sz w:val="32"/>
          <w:szCs w:val="32"/>
        </w:rPr>
        <w:t>（一）推进婴幼儿照护服务，营造良好成长环境。</w:t>
      </w:r>
      <w:r>
        <w:rPr>
          <w:rFonts w:ascii="Times New Roman" w:hAnsi="Times New Roman" w:eastAsia="仿宋" w:cs="Times New Roman"/>
          <w:sz w:val="32"/>
          <w:szCs w:val="32"/>
        </w:rPr>
        <w:t>认真贯彻国家、省、市关于促进3岁以下婴幼儿照护服务发展等文件精神，落实《常州市3岁以下婴幼儿托育机构设置标准》、《常州市3岁以下婴幼儿托育机构管理规范》等制度规范。推荐常州市钟楼区早期教育指导中心申报省政府普惠托育民生实事项目，2020年，</w:t>
      </w:r>
      <w:r>
        <w:rPr>
          <w:rFonts w:ascii="Times New Roman" w:hAnsi="Times New Roman" w:eastAsia="仿宋" w:cs="Times New Roman"/>
          <w:spacing w:val="6"/>
          <w:kern w:val="0"/>
          <w:sz w:val="32"/>
          <w:szCs w:val="32"/>
        </w:rPr>
        <w:t>选择1所幼儿园开设托班试点，招收2-3岁幼儿，并在年底之前建成1个婴幼儿照护服务机构示范点和1家普惠性照护服务机构。</w:t>
      </w:r>
      <w:r>
        <w:rPr>
          <w:rFonts w:ascii="Times New Roman" w:hAnsi="Times New Roman" w:eastAsia="仿宋_GB2312" w:cs="Times New Roman"/>
          <w:sz w:val="32"/>
          <w:szCs w:val="32"/>
        </w:rPr>
        <w:t>2022年，我区建成形式多样、规模适度的婴幼儿照护服务机构，婴幼儿照护服务水平得到提升，基本满足婴幼儿照护服务需求。</w:t>
      </w:r>
      <w:r>
        <w:rPr>
          <w:rFonts w:ascii="Times New Roman" w:hAnsi="Times New Roman" w:eastAsia="仿宋" w:cs="Times New Roman"/>
          <w:sz w:val="32"/>
          <w:szCs w:val="32"/>
        </w:rPr>
        <w:t>做好托育机构登记备案工作，用好托育机构信息管理系统。推进托育机构卫生保健与安全防范工作，努力筑牢安全防线，为婴幼儿健康成长营造安全健康的良好环境。</w:t>
      </w:r>
    </w:p>
    <w:p>
      <w:pPr>
        <w:spacing w:line="540" w:lineRule="exact"/>
        <w:ind w:firstLine="640" w:firstLineChars="200"/>
        <w:jc w:val="left"/>
        <w:rPr>
          <w:rFonts w:ascii="Times New Roman" w:hAnsi="Times New Roman" w:eastAsia="仿宋_GB2312" w:cs="Times New Roman"/>
          <w:sz w:val="32"/>
          <w:szCs w:val="32"/>
        </w:rPr>
      </w:pPr>
      <w:r>
        <w:rPr>
          <w:rFonts w:ascii="Times New Roman" w:hAnsi="Times New Roman" w:eastAsia="楷体_GB2312" w:cs="Times New Roman"/>
          <w:sz w:val="32"/>
          <w:szCs w:val="32"/>
        </w:rPr>
        <w:t>（二）落实计划生育国策，优化服务管理水平。</w:t>
      </w:r>
      <w:r>
        <w:rPr>
          <w:rFonts w:ascii="Times New Roman" w:hAnsi="Times New Roman" w:eastAsia="仿宋_GB2312" w:cs="Times New Roman"/>
          <w:sz w:val="32"/>
          <w:szCs w:val="32"/>
        </w:rPr>
        <w:t>加大提升“常州掌上APP”生育登记，到2022年底力争网上申请登记占生育登记总数70%。严格再生育审批程序，确保出生政策符合率98%。开展配套两孩政策宣传倡导活动，全面两孩政策及配套措施知晓率达到80%以上。进一步提高母婴设施配置率，确保2022年底应配置母婴设施医疗机构完成建设达标率。</w:t>
      </w:r>
      <w:r>
        <w:rPr>
          <w:rFonts w:ascii="Times New Roman" w:hAnsi="Times New Roman" w:eastAsia="仿宋" w:cs="Times New Roman"/>
          <w:sz w:val="32"/>
          <w:szCs w:val="32"/>
        </w:rPr>
        <w:t>落实法律法规规定的计划生育配套政策，加强部门协同，倡导适龄生育，推动落实产假、男方护理假、生育津贴等制度。</w:t>
      </w:r>
      <w:r>
        <w:rPr>
          <w:rFonts w:ascii="Times New Roman" w:hAnsi="Times New Roman" w:eastAsia="仿宋_GB2312" w:cs="Times New Roman"/>
          <w:sz w:val="32"/>
          <w:szCs w:val="32"/>
        </w:rPr>
        <w:t>加强工作督查指导，着力解决政策实施中的衔接问题，妥善处理好社会抚养费征收管理等政策问题，维护社会和谐稳定。</w:t>
      </w:r>
    </w:p>
    <w:p>
      <w:pPr>
        <w:spacing w:line="540" w:lineRule="exact"/>
        <w:ind w:firstLine="640" w:firstLineChars="200"/>
        <w:rPr>
          <w:rFonts w:ascii="Times New Roman" w:hAnsi="Times New Roman" w:eastAsia="仿宋" w:cs="Times New Roman"/>
          <w:color w:val="000000"/>
          <w:sz w:val="32"/>
          <w:szCs w:val="32"/>
        </w:rPr>
      </w:pPr>
      <w:r>
        <w:rPr>
          <w:rFonts w:ascii="Times New Roman" w:hAnsi="Times New Roman" w:eastAsia="楷体_GB2312" w:cs="Times New Roman"/>
          <w:sz w:val="32"/>
          <w:szCs w:val="32"/>
        </w:rPr>
        <w:t>（三）提升人口信息数据，打牢基层基础工作。</w:t>
      </w:r>
      <w:r>
        <w:rPr>
          <w:rFonts w:ascii="Times New Roman" w:hAnsi="Times New Roman" w:eastAsia="仿宋" w:cs="Times New Roman"/>
          <w:color w:val="000000"/>
          <w:sz w:val="32"/>
          <w:szCs w:val="32"/>
        </w:rPr>
        <w:t>通过结婚、怀孕、生育等相关部门的共享信息及日常的药具服务、优生促进服务、办证服务等途径采集、完善、更新人口信息，科学制定公平、有效的信息化工作考评机制，确保人口信息的准确性、完整性和及时性，全面提高信息库人口个案质量，</w:t>
      </w:r>
      <w:r>
        <w:rPr>
          <w:rFonts w:ascii="Times New Roman" w:hAnsi="Times New Roman" w:eastAsia="仿宋_GB2312" w:cs="Times New Roman"/>
          <w:sz w:val="32"/>
          <w:szCs w:val="32"/>
        </w:rPr>
        <w:t>到2022年全员人口库人口覆盖率和主要数据项准确率达90%以上。</w:t>
      </w:r>
      <w:r>
        <w:rPr>
          <w:rFonts w:ascii="Times New Roman" w:hAnsi="Times New Roman" w:eastAsia="仿宋" w:cs="Times New Roman"/>
          <w:color w:val="000000"/>
          <w:sz w:val="32"/>
          <w:szCs w:val="32"/>
        </w:rPr>
        <w:t>通过出生医学证明信息、预防接种信息、公安的户籍信息等，进一步完善畅通出生人口信息采集渠道，提升人口监测工作力度和水平。</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楷体_GB2312" w:cs="Times New Roman"/>
          <w:sz w:val="32"/>
          <w:szCs w:val="32"/>
        </w:rPr>
        <w:t>（四）推进幸福家庭建设，促进人口和谐健康。</w:t>
      </w:r>
      <w:r>
        <w:rPr>
          <w:rFonts w:ascii="Times New Roman" w:hAnsi="Times New Roman" w:eastAsia="仿宋_GB2312" w:cs="Times New Roman"/>
          <w:sz w:val="32"/>
          <w:szCs w:val="32"/>
        </w:rPr>
        <w:t>落实好农村部分计划生育家庭奖励扶助金、特别扶助金和企业持证退休职工一次性奖励金审核发放工作，做好市级公益金和慈善救助工作，确保计划生育奖励扶助政策兑现率100%。深入实施计划生育特殊家庭联系人制度、家庭医生签约、就医绿色通道“三个全覆盖”，推进“春晖行动”计划，到2020年底，镇、各街道“春晖家园”建设实现全覆盖。2021年上半年完成五星街道龙星路社区0-3岁婴幼儿早期发展教育项目建设。计生特殊家庭住院护理保险年投保率达100%。</w:t>
      </w:r>
      <w:r>
        <w:rPr>
          <w:rFonts w:ascii="Times New Roman" w:hAnsi="Times New Roman" w:eastAsia="仿宋" w:cs="Times New Roman"/>
          <w:sz w:val="32"/>
          <w:szCs w:val="32"/>
        </w:rPr>
        <w:t>引导群众广泛参与新型家庭人口文化建设活动，推进“新家庭计划—家庭发展能力建设”项目实施，促进幸福家庭建设。</w:t>
      </w:r>
    </w:p>
    <w:p>
      <w:pPr>
        <w:spacing w:line="540" w:lineRule="exact"/>
        <w:ind w:firstLine="640" w:firstLineChars="200"/>
        <w:rPr>
          <w:rFonts w:ascii="Times New Roman" w:hAnsi="Times New Roman" w:cs="Times New Roman"/>
        </w:rPr>
      </w:pPr>
      <w:r>
        <w:rPr>
          <w:rFonts w:ascii="Times New Roman" w:hAnsi="Times New Roman" w:eastAsia="楷体_GB2312" w:cs="Times New Roman"/>
          <w:sz w:val="32"/>
          <w:szCs w:val="32"/>
        </w:rPr>
        <w:t>（五）深化综合服务管理，促进转型提质发展。</w:t>
      </w:r>
      <w:r>
        <w:rPr>
          <w:rFonts w:ascii="Times New Roman" w:hAnsi="Times New Roman" w:eastAsia="仿宋_GB2312" w:cs="Times New Roman"/>
          <w:sz w:val="32"/>
          <w:szCs w:val="32"/>
        </w:rPr>
        <w:t>全面落实完善计划生育目标管理责任制，做好人口和计划生育目标管理责任制终期验收和人口协调发展先进区的创建工作。</w:t>
      </w:r>
      <w:r>
        <w:rPr>
          <w:rFonts w:ascii="Times New Roman" w:hAnsi="Times New Roman" w:eastAsia="仿宋" w:cs="Times New Roman"/>
          <w:sz w:val="32"/>
          <w:szCs w:val="32"/>
        </w:rPr>
        <w:t>积极适应新任务新要求，加强培训指导，开展工作交流，进一步提升基层工作人员新时期人口家庭工作能力和水平，到2022年底，</w:t>
      </w:r>
      <w:r>
        <w:rPr>
          <w:rFonts w:ascii="Times New Roman" w:hAnsi="Times New Roman" w:eastAsia="仿宋_GB2312" w:cs="Times New Roman"/>
          <w:sz w:val="32"/>
          <w:szCs w:val="32"/>
        </w:rPr>
        <w:t>队伍建设达标率100%。</w:t>
      </w:r>
      <w:r>
        <w:rPr>
          <w:rFonts w:ascii="Times New Roman" w:hAnsi="Times New Roman" w:eastAsia="仿宋" w:cs="Times New Roman"/>
          <w:sz w:val="32"/>
          <w:szCs w:val="32"/>
        </w:rPr>
        <w:t xml:space="preserve">强化风险意识，加强风险研判，切实做到稳政策、稳舆情、稳信访。 </w:t>
      </w:r>
    </w:p>
    <w:p>
      <w:pPr>
        <w:spacing w:line="260" w:lineRule="exact"/>
        <w:rPr>
          <w:rFonts w:ascii="Times New Roman" w:hAnsi="Times New Roman" w:eastAsia="方正小标宋简体" w:cs="Times New Roman"/>
          <w:sz w:val="44"/>
          <w:szCs w:val="44"/>
        </w:rPr>
        <w:sectPr>
          <w:pgSz w:w="11906" w:h="16838"/>
          <w:pgMar w:top="1531" w:right="1985" w:bottom="1531" w:left="2098" w:header="851" w:footer="992" w:gutter="0"/>
          <w:pgNumType w:fmt="numberInDash"/>
          <w:cols w:space="425" w:num="1"/>
          <w:docGrid w:type="lines" w:linePitch="312" w:charSpace="0"/>
        </w:sectPr>
      </w:pPr>
    </w:p>
    <w:p>
      <w:pPr>
        <w:spacing w:line="260" w:lineRule="exact"/>
        <w:rPr>
          <w:rFonts w:ascii="Times New Roman" w:hAnsi="Times New Roman" w:eastAsia="方正小标宋简体" w:cs="Times New Roman"/>
          <w:sz w:val="44"/>
          <w:szCs w:val="44"/>
        </w:rPr>
      </w:pPr>
    </w:p>
    <w:tbl>
      <w:tblPr>
        <w:tblStyle w:val="6"/>
        <w:tblW w:w="14755" w:type="dxa"/>
        <w:jc w:val="center"/>
        <w:tblLayout w:type="autofit"/>
        <w:tblCellMar>
          <w:top w:w="0" w:type="dxa"/>
          <w:left w:w="108" w:type="dxa"/>
          <w:bottom w:w="0" w:type="dxa"/>
          <w:right w:w="108" w:type="dxa"/>
        </w:tblCellMar>
      </w:tblPr>
      <w:tblGrid>
        <w:gridCol w:w="825"/>
        <w:gridCol w:w="1984"/>
        <w:gridCol w:w="5981"/>
        <w:gridCol w:w="1571"/>
        <w:gridCol w:w="4394"/>
      </w:tblGrid>
      <w:tr>
        <w:tblPrEx>
          <w:tblCellMar>
            <w:top w:w="0" w:type="dxa"/>
            <w:left w:w="108" w:type="dxa"/>
            <w:bottom w:w="0" w:type="dxa"/>
            <w:right w:w="108" w:type="dxa"/>
          </w:tblCellMar>
        </w:tblPrEx>
        <w:trPr>
          <w:trHeight w:val="555" w:hRule="atLeast"/>
          <w:jc w:val="center"/>
        </w:trPr>
        <w:tc>
          <w:tcPr>
            <w:tcW w:w="14755" w:type="dxa"/>
            <w:gridSpan w:val="5"/>
            <w:tcBorders>
              <w:top w:val="nil"/>
              <w:left w:val="nil"/>
              <w:bottom w:val="single" w:color="auto" w:sz="4" w:space="0"/>
              <w:right w:val="nil"/>
            </w:tcBorders>
            <w:noWrap/>
            <w:vAlign w:val="center"/>
          </w:tcPr>
          <w:p>
            <w:pPr>
              <w:widowControl/>
              <w:spacing w:line="70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钟楼区人口监测和家庭发展工作争先进位三年行动方案</w:t>
            </w:r>
            <w:r>
              <w:rPr>
                <w:rFonts w:ascii="Times New Roman" w:hAnsi="Times New Roman" w:eastAsia="方正小标宋简体" w:cs="Times New Roman"/>
                <w:sz w:val="44"/>
                <w:szCs w:val="44"/>
              </w:rPr>
              <w:t>任务分解表</w:t>
            </w:r>
          </w:p>
        </w:tc>
      </w:tr>
      <w:tr>
        <w:tblPrEx>
          <w:tblCellMar>
            <w:top w:w="0" w:type="dxa"/>
            <w:left w:w="108" w:type="dxa"/>
            <w:bottom w:w="0" w:type="dxa"/>
            <w:right w:w="108" w:type="dxa"/>
          </w:tblCellMar>
        </w:tblPrEx>
        <w:trPr>
          <w:trHeight w:val="450" w:hRule="atLeast"/>
          <w:jc w:val="center"/>
        </w:trPr>
        <w:tc>
          <w:tcPr>
            <w:tcW w:w="82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Times New Roman" w:hAnsi="Times New Roman" w:eastAsia="黑体" w:cs="Times New Roman"/>
                <w:color w:val="000000"/>
                <w:spacing w:val="-22"/>
                <w:kern w:val="0"/>
                <w:sz w:val="28"/>
              </w:rPr>
            </w:pPr>
            <w:r>
              <w:rPr>
                <w:rFonts w:ascii="Times New Roman" w:hAnsi="Times New Roman" w:eastAsia="黑体" w:cs="Times New Roman"/>
                <w:color w:val="000000"/>
                <w:spacing w:val="-22"/>
                <w:kern w:val="0"/>
                <w:sz w:val="28"/>
              </w:rPr>
              <w:t>序号</w:t>
            </w:r>
          </w:p>
        </w:tc>
        <w:tc>
          <w:tcPr>
            <w:tcW w:w="7965"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center"/>
              <w:rPr>
                <w:rFonts w:ascii="Times New Roman" w:hAnsi="Times New Roman" w:eastAsia="黑体" w:cs="Times New Roman"/>
                <w:color w:val="000000"/>
                <w:kern w:val="0"/>
                <w:sz w:val="28"/>
              </w:rPr>
            </w:pPr>
            <w:r>
              <w:rPr>
                <w:rFonts w:ascii="Times New Roman" w:hAnsi="Times New Roman" w:eastAsia="黑体" w:cs="Times New Roman"/>
                <w:color w:val="000000"/>
                <w:kern w:val="0"/>
                <w:sz w:val="28"/>
              </w:rPr>
              <w:t>工作任务</w:t>
            </w:r>
          </w:p>
        </w:tc>
        <w:tc>
          <w:tcPr>
            <w:tcW w:w="1571"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Times New Roman" w:hAnsi="Times New Roman" w:eastAsia="黑体" w:cs="Times New Roman"/>
                <w:color w:val="000000"/>
                <w:kern w:val="0"/>
                <w:sz w:val="28"/>
              </w:rPr>
            </w:pPr>
            <w:r>
              <w:rPr>
                <w:rFonts w:ascii="Times New Roman" w:hAnsi="Times New Roman" w:eastAsia="黑体" w:cs="Times New Roman"/>
                <w:color w:val="000000"/>
                <w:kern w:val="0"/>
                <w:sz w:val="28"/>
              </w:rPr>
              <w:t>工作进度</w:t>
            </w:r>
          </w:p>
        </w:tc>
        <w:tc>
          <w:tcPr>
            <w:tcW w:w="4394"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Times New Roman" w:hAnsi="Times New Roman" w:eastAsia="黑体" w:cs="Times New Roman"/>
                <w:color w:val="000000"/>
                <w:kern w:val="0"/>
                <w:sz w:val="28"/>
              </w:rPr>
            </w:pPr>
            <w:r>
              <w:rPr>
                <w:rFonts w:ascii="Times New Roman" w:hAnsi="Times New Roman" w:eastAsia="黑体" w:cs="Times New Roman"/>
                <w:color w:val="000000"/>
                <w:kern w:val="0"/>
                <w:sz w:val="28"/>
              </w:rPr>
              <w:t>责任部门和单位</w:t>
            </w:r>
          </w:p>
        </w:tc>
      </w:tr>
      <w:tr>
        <w:tblPrEx>
          <w:tblCellMar>
            <w:top w:w="0" w:type="dxa"/>
            <w:left w:w="108" w:type="dxa"/>
            <w:bottom w:w="0" w:type="dxa"/>
            <w:right w:w="108" w:type="dxa"/>
          </w:tblCellMar>
        </w:tblPrEx>
        <w:trPr>
          <w:trHeight w:val="240" w:hRule="atLeast"/>
          <w:jc w:val="center"/>
        </w:trPr>
        <w:tc>
          <w:tcPr>
            <w:tcW w:w="82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黑体" w:cs="Times New Roman"/>
                <w:color w:val="000000"/>
                <w:kern w:val="0"/>
                <w:sz w:val="24"/>
                <w:szCs w:val="24"/>
              </w:rPr>
            </w:pPr>
          </w:p>
        </w:tc>
        <w:tc>
          <w:tcPr>
            <w:tcW w:w="7965"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ascii="Times New Roman" w:hAnsi="Times New Roman" w:eastAsia="黑体" w:cs="Times New Roman"/>
                <w:color w:val="000000"/>
                <w:kern w:val="0"/>
                <w:sz w:val="24"/>
                <w:szCs w:val="24"/>
              </w:rPr>
            </w:pPr>
          </w:p>
        </w:tc>
        <w:tc>
          <w:tcPr>
            <w:tcW w:w="1571"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黑体" w:cs="Times New Roman"/>
                <w:color w:val="000000"/>
                <w:kern w:val="0"/>
                <w:sz w:val="24"/>
                <w:szCs w:val="24"/>
              </w:rPr>
            </w:pPr>
          </w:p>
        </w:tc>
        <w:tc>
          <w:tcPr>
            <w:tcW w:w="439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黑体" w:cs="Times New Roman"/>
                <w:color w:val="000000"/>
                <w:kern w:val="0"/>
                <w:sz w:val="24"/>
                <w:szCs w:val="24"/>
              </w:rPr>
            </w:pPr>
          </w:p>
        </w:tc>
      </w:tr>
      <w:tr>
        <w:tblPrEx>
          <w:tblCellMar>
            <w:top w:w="0" w:type="dxa"/>
            <w:left w:w="108" w:type="dxa"/>
            <w:bottom w:w="0" w:type="dxa"/>
            <w:right w:w="108" w:type="dxa"/>
          </w:tblCellMar>
        </w:tblPrEx>
        <w:trPr>
          <w:trHeight w:val="620" w:hRule="atLeast"/>
          <w:jc w:val="center"/>
        </w:trPr>
        <w:tc>
          <w:tcPr>
            <w:tcW w:w="825" w:type="dxa"/>
            <w:vMerge w:val="restart"/>
            <w:tcBorders>
              <w:left w:val="single" w:color="auto" w:sz="4" w:space="0"/>
              <w:right w:val="single" w:color="auto" w:sz="4" w:space="0"/>
            </w:tcBorders>
            <w:vAlign w:val="center"/>
          </w:tcPr>
          <w:p>
            <w:pPr>
              <w:widowControl/>
              <w:spacing w:line="300" w:lineRule="exact"/>
              <w:ind w:firstLine="240" w:firstLineChars="1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1984" w:type="dxa"/>
            <w:vMerge w:val="restart"/>
            <w:tcBorders>
              <w:left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婴幼儿托育服务</w:t>
            </w:r>
          </w:p>
        </w:tc>
        <w:tc>
          <w:tcPr>
            <w:tcW w:w="5981"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建成1家普惠性照护服务机构</w:t>
            </w:r>
            <w:r>
              <w:rPr>
                <w:rFonts w:hint="eastAsia" w:ascii="Times New Roman" w:hAnsi="Times New Roman" w:eastAsia="仿宋_GB2312" w:cs="Times New Roman"/>
                <w:sz w:val="24"/>
              </w:rPr>
              <w:t>。</w:t>
            </w:r>
          </w:p>
        </w:tc>
        <w:tc>
          <w:tcPr>
            <w:tcW w:w="1571"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2020年底</w:t>
            </w:r>
          </w:p>
        </w:tc>
        <w:tc>
          <w:tcPr>
            <w:tcW w:w="439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卫健局</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教育局</w:t>
            </w:r>
          </w:p>
        </w:tc>
      </w:tr>
      <w:tr>
        <w:tblPrEx>
          <w:tblCellMar>
            <w:top w:w="0" w:type="dxa"/>
            <w:left w:w="108" w:type="dxa"/>
            <w:bottom w:w="0" w:type="dxa"/>
            <w:right w:w="108" w:type="dxa"/>
          </w:tblCellMar>
        </w:tblPrEx>
        <w:trPr>
          <w:trHeight w:val="615" w:hRule="atLeast"/>
          <w:jc w:val="center"/>
        </w:trPr>
        <w:tc>
          <w:tcPr>
            <w:tcW w:w="825" w:type="dxa"/>
            <w:vMerge w:val="continue"/>
            <w:tcBorders>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color w:val="000000"/>
                <w:kern w:val="0"/>
                <w:sz w:val="24"/>
              </w:rPr>
            </w:pPr>
          </w:p>
        </w:tc>
        <w:tc>
          <w:tcPr>
            <w:tcW w:w="1984" w:type="dxa"/>
            <w:vMerge w:val="continue"/>
            <w:tcBorders>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p>
        </w:tc>
        <w:tc>
          <w:tcPr>
            <w:tcW w:w="5981"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选择1所幼儿园开设托班试点</w:t>
            </w:r>
            <w:r>
              <w:rPr>
                <w:rFonts w:hint="eastAsia" w:ascii="Times New Roman" w:hAnsi="Times New Roman" w:eastAsia="仿宋_GB2312" w:cs="Times New Roman"/>
                <w:sz w:val="24"/>
              </w:rPr>
              <w:t>。</w:t>
            </w:r>
          </w:p>
        </w:tc>
        <w:tc>
          <w:tcPr>
            <w:tcW w:w="1571"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2020年底</w:t>
            </w:r>
          </w:p>
        </w:tc>
        <w:tc>
          <w:tcPr>
            <w:tcW w:w="439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卫健局</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教育局</w:t>
            </w:r>
          </w:p>
        </w:tc>
      </w:tr>
      <w:tr>
        <w:tblPrEx>
          <w:tblCellMar>
            <w:top w:w="0" w:type="dxa"/>
            <w:left w:w="108" w:type="dxa"/>
            <w:bottom w:w="0" w:type="dxa"/>
            <w:right w:w="108" w:type="dxa"/>
          </w:tblCellMar>
        </w:tblPrEx>
        <w:trPr>
          <w:trHeight w:val="623" w:hRule="atLeast"/>
          <w:jc w:val="center"/>
        </w:trPr>
        <w:tc>
          <w:tcPr>
            <w:tcW w:w="825" w:type="dxa"/>
            <w:vMerge w:val="restart"/>
            <w:tcBorders>
              <w:top w:val="nil"/>
              <w:left w:val="single" w:color="auto" w:sz="4" w:space="0"/>
              <w:bottom w:val="single" w:color="000000" w:sz="4" w:space="0"/>
              <w:right w:val="single" w:color="auto" w:sz="4" w:space="0"/>
            </w:tcBorders>
            <w:noWrap/>
            <w:vAlign w:val="center"/>
          </w:tcPr>
          <w:p>
            <w:pPr>
              <w:widowControl/>
              <w:spacing w:line="3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w:t>
            </w:r>
          </w:p>
        </w:tc>
        <w:tc>
          <w:tcPr>
            <w:tcW w:w="1984"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生育配套措施</w:t>
            </w:r>
          </w:p>
        </w:tc>
        <w:tc>
          <w:tcPr>
            <w:tcW w:w="5981"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推广“常州掌上APP”生育登记系统运用，网上申请登记占生育登记总数70%。</w:t>
            </w:r>
          </w:p>
        </w:tc>
        <w:tc>
          <w:tcPr>
            <w:tcW w:w="1571"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2022年</w:t>
            </w:r>
          </w:p>
        </w:tc>
        <w:tc>
          <w:tcPr>
            <w:tcW w:w="439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健康促进与爱国卫生科</w:t>
            </w:r>
          </w:p>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镇</w:t>
            </w:r>
            <w:r>
              <w:rPr>
                <w:rFonts w:hint="eastAsia" w:ascii="Times New Roman" w:hAnsi="Times New Roman" w:eastAsia="仿宋_GB2312" w:cs="Times New Roman"/>
                <w:sz w:val="24"/>
              </w:rPr>
              <w:t>、各街道</w:t>
            </w:r>
            <w:r>
              <w:rPr>
                <w:rFonts w:ascii="Times New Roman" w:hAnsi="Times New Roman" w:eastAsia="仿宋_GB2312" w:cs="Times New Roman"/>
                <w:sz w:val="24"/>
              </w:rPr>
              <w:t>卫计办</w:t>
            </w:r>
          </w:p>
        </w:tc>
      </w:tr>
      <w:tr>
        <w:tblPrEx>
          <w:tblCellMar>
            <w:top w:w="0" w:type="dxa"/>
            <w:left w:w="108" w:type="dxa"/>
            <w:bottom w:w="0" w:type="dxa"/>
            <w:right w:w="108" w:type="dxa"/>
          </w:tblCellMar>
        </w:tblPrEx>
        <w:trPr>
          <w:trHeight w:val="447" w:hRule="atLeast"/>
          <w:jc w:val="center"/>
        </w:trPr>
        <w:tc>
          <w:tcPr>
            <w:tcW w:w="825"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color w:val="000000"/>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p>
        </w:tc>
        <w:tc>
          <w:tcPr>
            <w:tcW w:w="5981" w:type="dxa"/>
            <w:tcBorders>
              <w:top w:val="nil"/>
              <w:left w:val="nil"/>
              <w:bottom w:val="single" w:color="auto" w:sz="4" w:space="0"/>
              <w:right w:val="single" w:color="auto" w:sz="4" w:space="0"/>
            </w:tcBorders>
            <w:vAlign w:val="center"/>
          </w:tcPr>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所有应配置母婴设施的医疗机构完全建成标准化母婴设施。</w:t>
            </w:r>
          </w:p>
        </w:tc>
        <w:tc>
          <w:tcPr>
            <w:tcW w:w="1571" w:type="dxa"/>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2022年</w:t>
            </w:r>
          </w:p>
        </w:tc>
        <w:tc>
          <w:tcPr>
            <w:tcW w:w="4394" w:type="dxa"/>
            <w:tcBorders>
              <w:top w:val="nil"/>
              <w:left w:val="nil"/>
              <w:bottom w:val="single" w:color="auto" w:sz="4" w:space="0"/>
              <w:right w:val="single" w:color="auto" w:sz="4" w:space="0"/>
            </w:tcBorders>
            <w:vAlign w:val="center"/>
          </w:tcPr>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健康促进与爱国卫生科</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妇计中心</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相关医疗</w:t>
            </w:r>
            <w:r>
              <w:rPr>
                <w:rFonts w:hint="eastAsia" w:ascii="Times New Roman" w:hAnsi="Times New Roman" w:eastAsia="仿宋_GB2312" w:cs="Times New Roman"/>
                <w:sz w:val="24"/>
              </w:rPr>
              <w:t>机构</w:t>
            </w:r>
          </w:p>
        </w:tc>
      </w:tr>
      <w:tr>
        <w:tblPrEx>
          <w:tblCellMar>
            <w:top w:w="0" w:type="dxa"/>
            <w:left w:w="108" w:type="dxa"/>
            <w:bottom w:w="0" w:type="dxa"/>
            <w:right w:w="108" w:type="dxa"/>
          </w:tblCellMar>
        </w:tblPrEx>
        <w:trPr>
          <w:trHeight w:val="737" w:hRule="atLeast"/>
          <w:jc w:val="center"/>
        </w:trPr>
        <w:tc>
          <w:tcPr>
            <w:tcW w:w="825" w:type="dxa"/>
            <w:tcBorders>
              <w:top w:val="nil"/>
              <w:left w:val="single" w:color="auto" w:sz="4" w:space="0"/>
              <w:right w:val="single" w:color="auto" w:sz="4" w:space="0"/>
            </w:tcBorders>
            <w:noWrap/>
            <w:vAlign w:val="center"/>
          </w:tcPr>
          <w:p>
            <w:pPr>
              <w:widowControl/>
              <w:spacing w:line="3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1984" w:type="dxa"/>
            <w:vMerge w:val="restart"/>
            <w:tcBorders>
              <w:top w:val="nil"/>
              <w:left w:val="nil"/>
              <w:right w:val="single" w:color="auto" w:sz="4" w:space="0"/>
            </w:tcBorders>
            <w:vAlign w:val="center"/>
          </w:tcPr>
          <w:p>
            <w:pPr>
              <w:widowControl/>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人口监测</w:t>
            </w:r>
          </w:p>
        </w:tc>
        <w:tc>
          <w:tcPr>
            <w:tcW w:w="5981" w:type="dxa"/>
            <w:vMerge w:val="restart"/>
            <w:tcBorders>
              <w:top w:val="nil"/>
              <w:left w:val="nil"/>
              <w:right w:val="single" w:color="auto" w:sz="4" w:space="0"/>
            </w:tcBorders>
            <w:vAlign w:val="center"/>
          </w:tcPr>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全员人口库人口覆盖率和主要数据项准确率达90%以上</w:t>
            </w:r>
            <w:r>
              <w:rPr>
                <w:rFonts w:hint="eastAsia" w:ascii="Times New Roman" w:hAnsi="Times New Roman" w:eastAsia="仿宋_GB2312" w:cs="Times New Roman"/>
                <w:sz w:val="24"/>
              </w:rPr>
              <w:t>。</w:t>
            </w:r>
          </w:p>
        </w:tc>
        <w:tc>
          <w:tcPr>
            <w:tcW w:w="1571" w:type="dxa"/>
            <w:tcBorders>
              <w:top w:val="nil"/>
              <w:left w:val="nil"/>
              <w:right w:val="single" w:color="auto" w:sz="4" w:space="0"/>
            </w:tcBorders>
            <w:vAlign w:val="center"/>
          </w:tcPr>
          <w:p>
            <w:pPr>
              <w:widowControl/>
              <w:spacing w:line="300" w:lineRule="exact"/>
              <w:jc w:val="center"/>
              <w:rPr>
                <w:rFonts w:ascii="Times New Roman" w:hAnsi="Times New Roman" w:eastAsia="仿宋_GB2312" w:cs="Times New Roman"/>
                <w:sz w:val="24"/>
              </w:rPr>
            </w:pPr>
          </w:p>
          <w:p>
            <w:pPr>
              <w:widowControl/>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2022年底</w:t>
            </w:r>
          </w:p>
        </w:tc>
        <w:tc>
          <w:tcPr>
            <w:tcW w:w="4394" w:type="dxa"/>
            <w:tcBorders>
              <w:top w:val="nil"/>
              <w:left w:val="nil"/>
              <w:right w:val="single" w:color="auto" w:sz="4" w:space="0"/>
            </w:tcBorders>
            <w:vAlign w:val="center"/>
          </w:tcPr>
          <w:p>
            <w:pPr>
              <w:widowControl/>
              <w:spacing w:line="300" w:lineRule="exact"/>
              <w:jc w:val="left"/>
              <w:rPr>
                <w:rFonts w:ascii="Times New Roman" w:hAnsi="Times New Roman" w:eastAsia="仿宋_GB2312" w:cs="Times New Roman"/>
                <w:sz w:val="24"/>
              </w:rPr>
            </w:pPr>
          </w:p>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健康促进与爱国卫生科</w:t>
            </w:r>
          </w:p>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镇</w:t>
            </w:r>
            <w:r>
              <w:rPr>
                <w:rFonts w:hint="eastAsia" w:ascii="Times New Roman" w:hAnsi="Times New Roman" w:eastAsia="仿宋_GB2312" w:cs="Times New Roman"/>
                <w:sz w:val="24"/>
              </w:rPr>
              <w:t>、各街道</w:t>
            </w:r>
            <w:r>
              <w:rPr>
                <w:rFonts w:ascii="Times New Roman" w:hAnsi="Times New Roman" w:eastAsia="仿宋_GB2312" w:cs="Times New Roman"/>
                <w:sz w:val="24"/>
              </w:rPr>
              <w:t>卫计办</w:t>
            </w:r>
          </w:p>
        </w:tc>
      </w:tr>
      <w:tr>
        <w:tblPrEx>
          <w:tblCellMar>
            <w:top w:w="0" w:type="dxa"/>
            <w:left w:w="108" w:type="dxa"/>
            <w:bottom w:w="0" w:type="dxa"/>
            <w:right w:w="108" w:type="dxa"/>
          </w:tblCellMar>
        </w:tblPrEx>
        <w:trPr>
          <w:trHeight w:val="80" w:hRule="atLeast"/>
          <w:jc w:val="center"/>
        </w:trPr>
        <w:tc>
          <w:tcPr>
            <w:tcW w:w="825" w:type="dxa"/>
            <w:tcBorders>
              <w:top w:val="nil"/>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仿宋_GB2312" w:cs="Times New Roman"/>
                <w:kern w:val="0"/>
                <w:sz w:val="24"/>
              </w:rPr>
            </w:pPr>
          </w:p>
        </w:tc>
        <w:tc>
          <w:tcPr>
            <w:tcW w:w="1984" w:type="dxa"/>
            <w:vMerge w:val="continue"/>
            <w:tcBorders>
              <w:left w:val="single" w:color="auto" w:sz="4" w:space="0"/>
              <w:bottom w:val="single" w:color="000000" w:sz="4" w:space="0"/>
              <w:right w:val="single" w:color="auto" w:sz="4" w:space="0"/>
            </w:tcBorders>
            <w:vAlign w:val="center"/>
          </w:tcPr>
          <w:p>
            <w:pPr>
              <w:widowControl/>
              <w:spacing w:line="300" w:lineRule="exact"/>
              <w:rPr>
                <w:rFonts w:ascii="Times New Roman" w:hAnsi="Times New Roman" w:eastAsia="仿宋_GB2312" w:cs="Times New Roman"/>
                <w:sz w:val="24"/>
              </w:rPr>
            </w:pPr>
          </w:p>
        </w:tc>
        <w:tc>
          <w:tcPr>
            <w:tcW w:w="5981" w:type="dxa"/>
            <w:vMerge w:val="continue"/>
            <w:tcBorders>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p>
        </w:tc>
        <w:tc>
          <w:tcPr>
            <w:tcW w:w="1571"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sz w:val="24"/>
              </w:rPr>
            </w:pPr>
          </w:p>
        </w:tc>
        <w:tc>
          <w:tcPr>
            <w:tcW w:w="439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p>
        </w:tc>
      </w:tr>
      <w:tr>
        <w:trPr>
          <w:trHeight w:val="454" w:hRule="atLeast"/>
          <w:jc w:val="center"/>
        </w:trPr>
        <w:tc>
          <w:tcPr>
            <w:tcW w:w="825" w:type="dxa"/>
            <w:vMerge w:val="restart"/>
            <w:tcBorders>
              <w:top w:val="single" w:color="auto" w:sz="4" w:space="0"/>
              <w:left w:val="single" w:color="auto" w:sz="4" w:space="0"/>
              <w:right w:val="single" w:color="auto" w:sz="4" w:space="0"/>
            </w:tcBorders>
            <w:vAlign w:val="center"/>
          </w:tcPr>
          <w:p>
            <w:pPr>
              <w:spacing w:line="300" w:lineRule="exact"/>
              <w:ind w:firstLine="120" w:firstLineChars="5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p>
        </w:tc>
        <w:tc>
          <w:tcPr>
            <w:tcW w:w="1984" w:type="dxa"/>
            <w:vMerge w:val="restart"/>
            <w:tcBorders>
              <w:top w:val="nil"/>
              <w:left w:val="single" w:color="auto" w:sz="4" w:space="0"/>
              <w:right w:val="single" w:color="auto" w:sz="4" w:space="0"/>
            </w:tcBorders>
            <w:vAlign w:val="center"/>
          </w:tcPr>
          <w:p>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幸福家庭创建</w:t>
            </w:r>
          </w:p>
        </w:tc>
        <w:tc>
          <w:tcPr>
            <w:tcW w:w="5981"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镇、各街道“春晖家园”建设实现全覆盖。</w:t>
            </w:r>
          </w:p>
        </w:tc>
        <w:tc>
          <w:tcPr>
            <w:tcW w:w="1571"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2020年底</w:t>
            </w:r>
          </w:p>
        </w:tc>
        <w:tc>
          <w:tcPr>
            <w:tcW w:w="439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健康促进与爱国卫生科</w:t>
            </w:r>
          </w:p>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北港街道</w:t>
            </w:r>
          </w:p>
        </w:tc>
      </w:tr>
      <w:tr>
        <w:tblPrEx>
          <w:tblCellMar>
            <w:top w:w="0" w:type="dxa"/>
            <w:left w:w="108" w:type="dxa"/>
            <w:bottom w:w="0" w:type="dxa"/>
            <w:right w:w="108" w:type="dxa"/>
          </w:tblCellMar>
        </w:tblPrEx>
        <w:trPr>
          <w:trHeight w:val="624" w:hRule="atLeast"/>
          <w:jc w:val="center"/>
        </w:trPr>
        <w:tc>
          <w:tcPr>
            <w:tcW w:w="825" w:type="dxa"/>
            <w:vMerge w:val="continue"/>
            <w:tcBorders>
              <w:left w:val="single" w:color="auto" w:sz="4" w:space="0"/>
              <w:right w:val="single" w:color="auto" w:sz="4" w:space="0"/>
            </w:tcBorders>
            <w:vAlign w:val="center"/>
          </w:tcPr>
          <w:p>
            <w:pPr>
              <w:widowControl/>
              <w:spacing w:line="300" w:lineRule="exact"/>
              <w:ind w:firstLine="120" w:firstLineChars="50"/>
              <w:jc w:val="center"/>
              <w:rPr>
                <w:rFonts w:ascii="Times New Roman" w:hAnsi="Times New Roman" w:eastAsia="仿宋_GB2312" w:cs="Times New Roman"/>
                <w:color w:val="000000"/>
                <w:kern w:val="0"/>
                <w:sz w:val="24"/>
              </w:rPr>
            </w:pPr>
          </w:p>
        </w:tc>
        <w:tc>
          <w:tcPr>
            <w:tcW w:w="1984" w:type="dxa"/>
            <w:vMerge w:val="continue"/>
            <w:tcBorders>
              <w:left w:val="single" w:color="auto" w:sz="4" w:space="0"/>
              <w:right w:val="single" w:color="auto" w:sz="4" w:space="0"/>
            </w:tcBorders>
          </w:tcPr>
          <w:p>
            <w:pPr>
              <w:widowControl/>
              <w:spacing w:line="300" w:lineRule="exact"/>
              <w:jc w:val="center"/>
              <w:rPr>
                <w:rFonts w:ascii="Times New Roman" w:hAnsi="Times New Roman" w:eastAsia="仿宋_GB2312" w:cs="Times New Roman"/>
                <w:sz w:val="24"/>
              </w:rPr>
            </w:pPr>
          </w:p>
        </w:tc>
        <w:tc>
          <w:tcPr>
            <w:tcW w:w="5981"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计划生育奖励扶助政策兑现率100%；失独家庭住院护理补贴保险投保率达100%。</w:t>
            </w:r>
          </w:p>
        </w:tc>
        <w:tc>
          <w:tcPr>
            <w:tcW w:w="1571"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2020-2022年</w:t>
            </w:r>
          </w:p>
        </w:tc>
        <w:tc>
          <w:tcPr>
            <w:tcW w:w="4394"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健康促进与爱国卫生科</w:t>
            </w:r>
          </w:p>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镇</w:t>
            </w:r>
            <w:r>
              <w:rPr>
                <w:rFonts w:hint="eastAsia" w:ascii="Times New Roman" w:hAnsi="Times New Roman" w:eastAsia="仿宋_GB2312" w:cs="Times New Roman"/>
                <w:sz w:val="24"/>
              </w:rPr>
              <w:t>、各街道</w:t>
            </w:r>
            <w:r>
              <w:rPr>
                <w:rFonts w:ascii="Times New Roman" w:hAnsi="Times New Roman" w:eastAsia="仿宋_GB2312" w:cs="Times New Roman"/>
                <w:sz w:val="24"/>
              </w:rPr>
              <w:t>卫计办</w:t>
            </w:r>
          </w:p>
        </w:tc>
      </w:tr>
      <w:tr>
        <w:tblPrEx>
          <w:tblCellMar>
            <w:top w:w="0" w:type="dxa"/>
            <w:left w:w="108" w:type="dxa"/>
            <w:bottom w:w="0" w:type="dxa"/>
            <w:right w:w="108" w:type="dxa"/>
          </w:tblCellMar>
        </w:tblPrEx>
        <w:trPr>
          <w:trHeight w:val="680" w:hRule="atLeast"/>
          <w:jc w:val="center"/>
        </w:trPr>
        <w:tc>
          <w:tcPr>
            <w:tcW w:w="825" w:type="dxa"/>
            <w:vMerge w:val="continue"/>
            <w:tcBorders>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color w:val="000000"/>
                <w:kern w:val="0"/>
                <w:sz w:val="24"/>
              </w:rPr>
            </w:pPr>
          </w:p>
        </w:tc>
        <w:tc>
          <w:tcPr>
            <w:tcW w:w="1984" w:type="dxa"/>
            <w:vMerge w:val="continue"/>
            <w:tcBorders>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p>
        </w:tc>
        <w:tc>
          <w:tcPr>
            <w:tcW w:w="598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完成五星街道龙星路社区0-3岁婴幼儿早期发展教育项目建设</w:t>
            </w:r>
            <w:r>
              <w:rPr>
                <w:rFonts w:hint="eastAsia" w:ascii="Times New Roman" w:hAnsi="Times New Roman" w:eastAsia="仿宋_GB2312" w:cs="Times New Roman"/>
                <w:sz w:val="24"/>
              </w:rPr>
              <w:t>。</w:t>
            </w:r>
          </w:p>
        </w:tc>
        <w:tc>
          <w:tcPr>
            <w:tcW w:w="1571"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color w:val="FF0000"/>
                <w:spacing w:val="-20"/>
                <w:sz w:val="24"/>
              </w:rPr>
            </w:pPr>
            <w:r>
              <w:rPr>
                <w:rFonts w:ascii="Times New Roman" w:hAnsi="Times New Roman" w:eastAsia="仿宋_GB2312" w:cs="Times New Roman"/>
                <w:color w:val="000000" w:themeColor="text1"/>
                <w:spacing w:val="-20"/>
                <w:sz w:val="24"/>
              </w:rPr>
              <w:t>2021年上半年</w:t>
            </w:r>
          </w:p>
        </w:tc>
        <w:tc>
          <w:tcPr>
            <w:tcW w:w="439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健康促进与爱国卫生科</w:t>
            </w:r>
          </w:p>
          <w:p>
            <w:pPr>
              <w:widowControl/>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五星街道</w:t>
            </w:r>
          </w:p>
        </w:tc>
      </w:tr>
    </w:tbl>
    <w:p>
      <w:pPr>
        <w:spacing w:line="570" w:lineRule="exact"/>
        <w:rPr>
          <w:rFonts w:ascii="Times New Roman" w:hAnsi="Times New Roman" w:eastAsia="方正小标宋简体" w:cs="Times New Roman"/>
          <w:sz w:val="44"/>
          <w:szCs w:val="44"/>
        </w:rPr>
        <w:sectPr>
          <w:pgSz w:w="16838" w:h="11906" w:orient="landscape"/>
          <w:pgMar w:top="2098" w:right="1531" w:bottom="1985" w:left="1531" w:header="851" w:footer="992" w:gutter="0"/>
          <w:pgNumType w:fmt="numberInDash"/>
          <w:cols w:space="425" w:num="1"/>
          <w:docGrid w:type="lines" w:linePitch="312" w:charSpace="0"/>
        </w:sectPr>
      </w:pPr>
    </w:p>
    <w:p>
      <w:pPr>
        <w:spacing w:line="570" w:lineRule="exact"/>
        <w:rPr>
          <w:rFonts w:ascii="Times New Roman" w:hAnsi="Times New Roman" w:eastAsia="黑体" w:cs="Times New Roman"/>
          <w:sz w:val="32"/>
          <w:szCs w:val="32"/>
        </w:rPr>
      </w:pPr>
      <w:r>
        <w:rPr>
          <w:rFonts w:ascii="Times New Roman" w:hAnsi="Times New Roman" w:eastAsia="黑体" w:cs="Times New Roman"/>
          <w:sz w:val="32"/>
          <w:szCs w:val="32"/>
        </w:rPr>
        <w:t>附件8</w:t>
      </w:r>
    </w:p>
    <w:p>
      <w:pPr>
        <w:spacing w:line="700" w:lineRule="exact"/>
        <w:jc w:val="center"/>
        <w:rPr>
          <w:rFonts w:ascii="Times New Roman" w:hAnsi="Times New Roman" w:eastAsia="方正小标宋简体" w:cs="Times New Roman"/>
          <w:spacing w:val="-20"/>
          <w:sz w:val="44"/>
          <w:szCs w:val="44"/>
        </w:rPr>
      </w:pPr>
      <w:r>
        <w:rPr>
          <w:rFonts w:ascii="Times New Roman" w:hAnsi="Times New Roman" w:eastAsia="方正小标宋简体" w:cs="Times New Roman"/>
          <w:spacing w:val="-20"/>
          <w:sz w:val="44"/>
          <w:szCs w:val="44"/>
        </w:rPr>
        <w:t>钟楼区卫生监督工作争先进位三年行动方案</w:t>
      </w:r>
    </w:p>
    <w:p>
      <w:pPr>
        <w:spacing w:line="570" w:lineRule="exact"/>
        <w:jc w:val="center"/>
        <w:rPr>
          <w:rFonts w:ascii="Times New Roman" w:hAnsi="Times New Roman" w:eastAsia="方正小标宋简体" w:cs="Times New Roman"/>
          <w:sz w:val="36"/>
          <w:szCs w:val="36"/>
        </w:rPr>
      </w:pP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围绕全区卫生健康事业发展总要求，充分发挥卫生健康监督执法在卫生健康事业高质量发展中的保障作用，不断提升依法监管水平，推进全区卫生健康事业发展，维护全区人民健康权益。</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二、工作目标</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到2022年，全区卫生监督执法队伍进一步加强，力争卫生监督员配置率达80%以上。完成卫生健康执法机构规范化建设要求。卫生监督综合监管能力和水平得到提升，违法案件查处力度明显提升，“</w:t>
      </w:r>
      <w:r>
        <w:rPr>
          <w:rFonts w:hint="eastAsia" w:ascii="Times New Roman" w:hAnsi="Times New Roman" w:eastAsia="仿宋_GB2312" w:cs="Times New Roman"/>
          <w:sz w:val="32"/>
          <w:szCs w:val="32"/>
          <w:lang w:eastAsia="zh-CN"/>
        </w:rPr>
        <w:t>双随机、一公开</w:t>
      </w:r>
      <w:r>
        <w:rPr>
          <w:rFonts w:ascii="Times New Roman" w:hAnsi="Times New Roman" w:eastAsia="仿宋_GB2312" w:cs="Times New Roman"/>
          <w:sz w:val="32"/>
          <w:szCs w:val="32"/>
        </w:rPr>
        <w:t>”完成率、执法全过程记录等“三项制度”执行率达到上级要求，全区二级监管网络更加健全，建立专业、高效、规范、公正的卫生健康执法监管队伍。</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三、工作措施</w:t>
      </w:r>
    </w:p>
    <w:p>
      <w:pPr>
        <w:spacing w:line="57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（一）完善监管体系，夯实执法基础</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与发改、人社、财政、编办等多部门联动的综合协调机制。争取政策支持，加大监督人员的招录力度，用满、用活现有空编，逐年配齐卫生监督人员，建立与监督执法职能任务相匹配的监督执法队伍。强化人财物保障力度，确保监督机构依法履职所需的业务经费、执法车辆、执法记录仪等装备配备达到规范化建设要求。优化卫生监督工作运行机制，调整和完善科室设置和职能，改善卫生监督队伍结构，逐步建立上下对应的卫生监督监管体系。</w:t>
      </w:r>
    </w:p>
    <w:p>
      <w:pPr>
        <w:spacing w:line="57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（二）加强能力建设，提升监管水平</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定卫生监督执法人员培训计划，建立卫生监督专家库和后备人才库，发挥专业优势，加强各类卫生监督人员培训教育，坚持理论学习与实践技能培训相结合，开展岗位培训、专业学习等，提升卫生监督队伍专业能力。加强卫生、计生、职业卫生等执法力量的整合，健全全区二级监管网络，开展卫生监管网格化工作，将医疗卫生行业监管内容纳入网格化管理，切实提升监管水平。</w:t>
      </w:r>
    </w:p>
    <w:p>
      <w:pPr>
        <w:spacing w:line="57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（三）创新监管方式，提高监管效能</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探索风险分级分类监管机制。健全医疗卫生行业综合监管信息系统，建立“互联网+卫生监督”综合监管模式，推行在线监测远程监控工作，综合运用“</w:t>
      </w:r>
      <w:r>
        <w:rPr>
          <w:rFonts w:hint="eastAsia" w:ascii="Times New Roman" w:hAnsi="Times New Roman" w:eastAsia="仿宋_GB2312" w:cs="Times New Roman"/>
          <w:sz w:val="32"/>
          <w:szCs w:val="32"/>
          <w:lang w:eastAsia="zh-CN"/>
        </w:rPr>
        <w:t>双随机、一公开</w:t>
      </w:r>
      <w:r>
        <w:rPr>
          <w:rFonts w:ascii="Times New Roman" w:hAnsi="Times New Roman" w:eastAsia="仿宋_GB2312" w:cs="Times New Roman"/>
          <w:sz w:val="32"/>
          <w:szCs w:val="32"/>
        </w:rPr>
        <w:t>”抽查机制、全过程执法记录等“三项制度”，规范行政执法行为，实现各相关部门及医疗卫生行业各领域监管信息互联互通，实现动态监管。</w:t>
      </w:r>
    </w:p>
    <w:p>
      <w:pPr>
        <w:spacing w:line="57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（四）优化执法手段,加强执法力度</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深入开展各类专项检查为抓手，聚焦危害群众健康的突出问题，持续加大监管和打击力度，及时查处各类违法行为。完善部门联动机制，加强部门协作，做好无证行医、职业健康等监管任务。建立医疗卫生行业“信用+综合监管”机制，推行“黑名单”惩戒管理模式，强化严格执法、诚信执法。</w:t>
      </w:r>
    </w:p>
    <w:p>
      <w:pPr>
        <w:spacing w:line="570" w:lineRule="exact"/>
        <w:rPr>
          <w:rFonts w:ascii="Times New Roman" w:hAnsi="Times New Roman" w:eastAsia="方正小标宋简体" w:cs="Times New Roman"/>
          <w:sz w:val="44"/>
          <w:szCs w:val="44"/>
        </w:rPr>
      </w:pPr>
    </w:p>
    <w:p>
      <w:pPr>
        <w:spacing w:line="570" w:lineRule="exact"/>
        <w:rPr>
          <w:rFonts w:ascii="Times New Roman" w:hAnsi="Times New Roman" w:eastAsia="黑体" w:cs="Times New Roman"/>
          <w:sz w:val="32"/>
          <w:szCs w:val="32"/>
        </w:rPr>
      </w:pPr>
      <w:r>
        <w:rPr>
          <w:rFonts w:ascii="Times New Roman" w:hAnsi="Times New Roman" w:eastAsia="黑体" w:cs="Times New Roman"/>
          <w:sz w:val="32"/>
          <w:szCs w:val="32"/>
        </w:rPr>
        <w:t>附件9</w:t>
      </w:r>
    </w:p>
    <w:p>
      <w:pPr>
        <w:spacing w:line="700" w:lineRule="exact"/>
        <w:jc w:val="center"/>
        <w:rPr>
          <w:rFonts w:ascii="Times New Roman" w:hAnsi="Times New Roman" w:eastAsia="方正小标宋简体" w:cs="Times New Roman"/>
          <w:spacing w:val="-22"/>
          <w:sz w:val="44"/>
          <w:szCs w:val="44"/>
        </w:rPr>
      </w:pPr>
      <w:r>
        <w:rPr>
          <w:rFonts w:ascii="Times New Roman" w:hAnsi="Times New Roman" w:eastAsia="方正小标宋简体" w:cs="Times New Roman"/>
          <w:spacing w:val="-22"/>
          <w:sz w:val="44"/>
          <w:szCs w:val="44"/>
        </w:rPr>
        <w:t>钟楼区智慧健康工作争先进位三年行动方案</w:t>
      </w:r>
    </w:p>
    <w:p>
      <w:pPr>
        <w:spacing w:line="570" w:lineRule="exact"/>
        <w:ind w:firstLine="420"/>
        <w:jc w:val="center"/>
        <w:rPr>
          <w:rFonts w:ascii="Times New Roman" w:hAnsi="Times New Roman" w:eastAsia="仿宋" w:cs="Times New Roman"/>
          <w:sz w:val="30"/>
          <w:szCs w:val="30"/>
        </w:rPr>
      </w:pP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国家健康医疗大数据试点建设为抓手，紧紧围绕“健康常州”建设的总体布局，以卫生健康业务需求为引领，以信息化技术为支撑，通过一系列有针对性的重点项目建设，实现卫生健康管理、服务双提升，切实发挥信息化建设应用成效，实现智慧健康惠民、惠医、惠政、惠商的总体目标。</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二、工作目标</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完成基层卫生信息化提档升级工程，推行“银医通”一站式服务流程。</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2021年全面落实医疗收费电子票据工作。</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2022年争取完成医疗与公卫信息对接互联。</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区域影像、心电、临检、病理、远程会诊全面覆盖。</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与国家大数据东部中心开展深度合作，提升全区基层卫生信息化智慧医疗，促进健康医疗大数据应用发展。</w:t>
      </w:r>
    </w:p>
    <w:p>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三、工作措施</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（一）推进国家健康医疗大数据试点。</w:t>
      </w:r>
      <w:r>
        <w:rPr>
          <w:rFonts w:ascii="Times New Roman" w:hAnsi="Times New Roman" w:eastAsia="仿宋_GB2312" w:cs="Times New Roman"/>
          <w:sz w:val="32"/>
          <w:szCs w:val="32"/>
        </w:rPr>
        <w:t>按照“健康钟楼”的总体规划，推进国家健康医疗大数据中心与产业园建设试点。建设钟楼卫生健康智慧云，实现全区卫生健康数据云上融合。</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（二）完成江苏省基层卫生信息化提档升级工程。</w:t>
      </w:r>
      <w:r>
        <w:rPr>
          <w:rFonts w:ascii="Times New Roman" w:hAnsi="Times New Roman" w:eastAsia="仿宋_GB2312" w:cs="Times New Roman"/>
          <w:sz w:val="32"/>
          <w:szCs w:val="32"/>
        </w:rPr>
        <w:t>区政府投资立项，以江苏省试点为契机，完善全区基层医疗卫生信息化建设。对全区区域全民健康信息平台升级改造，统一数据标准，深化各条线之间的数据融合和运用。基于信息系统提档升级，完善全区“银医通”一站式服务项目，支持多种终端设备的自助服务。</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（三）强化综合卫生健康监管。</w:t>
      </w:r>
      <w:r>
        <w:rPr>
          <w:rFonts w:ascii="Times New Roman" w:hAnsi="Times New Roman" w:eastAsia="仿宋_GB2312" w:cs="Times New Roman"/>
          <w:sz w:val="32"/>
          <w:szCs w:val="32"/>
        </w:rPr>
        <w:t>使用综合卫生监管系统，利用健康医疗大数据，为政府决策和实时监管提供科学、精准、可信的数据支持。利用医疗服务监管平台，充分发挥大数据对医疗机构绩效考核、疾病预防监测、应急指挥资源调度等的支撑作用。推进疾控信息化建设，实现电子病案信息全流程一体化管理和共享，开展患者症状监测和大数据分析，落实智慧卫监，提高移动执法、在线监测、远程监控等能力。</w:t>
      </w:r>
    </w:p>
    <w:p>
      <w:pPr>
        <w:spacing w:line="570" w:lineRule="exact"/>
        <w:rPr>
          <w:rFonts w:ascii="Times New Roman" w:hAnsi="Times New Roman" w:eastAsia="仿宋_GB2312" w:cs="Times New Roman"/>
          <w:b/>
          <w:sz w:val="32"/>
          <w:szCs w:val="32"/>
        </w:rPr>
      </w:pPr>
      <w:r>
        <w:rPr>
          <w:rFonts w:ascii="Times New Roman" w:hAnsi="Times New Roman" w:eastAsia="仿宋_GB2312" w:cs="Times New Roman"/>
          <w:b/>
          <w:sz w:val="32"/>
          <w:szCs w:val="32"/>
        </w:rPr>
        <w:tab/>
      </w:r>
      <w:r>
        <w:rPr>
          <w:rFonts w:ascii="Times New Roman" w:hAnsi="Times New Roman" w:eastAsia="楷体_GB2312" w:cs="Times New Roman"/>
          <w:sz w:val="32"/>
          <w:szCs w:val="32"/>
        </w:rPr>
        <w:t>（四）完善区域健康协同平台。</w:t>
      </w:r>
      <w:r>
        <w:rPr>
          <w:rFonts w:ascii="Times New Roman" w:hAnsi="Times New Roman" w:eastAsia="仿宋_GB2312" w:cs="Times New Roman"/>
          <w:sz w:val="32"/>
          <w:szCs w:val="32"/>
        </w:rPr>
        <w:t>积极争取政府立项，建设区域影像、心电、临检、病理平台，通过远程会诊、远程示教等，实现优质医疗资源共享。发挥区域全民健康信息平台的枢纽作用，促进跨机构的信息共享和业务联动，提升区域应急救治和公共卫生应急处置能力。</w:t>
      </w:r>
    </w:p>
    <w:p>
      <w:pPr>
        <w:spacing w:line="570" w:lineRule="exact"/>
        <w:ind w:firstLine="420"/>
        <w:rPr>
          <w:rFonts w:ascii="Times New Roman" w:hAnsi="Times New Roman" w:eastAsia="仿宋_GB2312" w:cs="Times New Roman"/>
          <w:sz w:val="32"/>
          <w:szCs w:val="32"/>
        </w:rPr>
        <w:sectPr>
          <w:type w:val="continuous"/>
          <w:pgSz w:w="11906" w:h="16838"/>
          <w:pgMar w:top="2098" w:right="1531" w:bottom="1985" w:left="1531" w:header="851" w:footer="992" w:gutter="0"/>
          <w:pgNumType w:fmt="numberInDash"/>
          <w:cols w:space="425" w:num="1"/>
          <w:titlePg/>
          <w:docGrid w:type="lines" w:linePitch="312" w:charSpace="0"/>
        </w:sectPr>
      </w:pPr>
      <w:r>
        <w:rPr>
          <w:rFonts w:ascii="Times New Roman" w:hAnsi="Times New Roman" w:eastAsia="楷体_GB2312" w:cs="Times New Roman"/>
          <w:sz w:val="32"/>
          <w:szCs w:val="32"/>
        </w:rPr>
        <w:t>（五）健全智慧健康服务体系。</w:t>
      </w:r>
      <w:r>
        <w:rPr>
          <w:rFonts w:ascii="Times New Roman" w:hAnsi="Times New Roman" w:eastAsia="仿宋_GB2312" w:cs="Times New Roman"/>
          <w:sz w:val="32"/>
          <w:szCs w:val="32"/>
        </w:rPr>
        <w:t>建设“一站式”智慧健康服务体系，利用“健康常州”APP，提高服务体验度和获得感。研究利用5G、物联网、智能终端、超高清视频会议、智能穿戴设备、人工智能等新型信息基础设施和新兴技术等应用，加强家庭医生签约服务、居民健康管理、妇幼保健服务、老龄健康服务、人口监测与家庭发展服务能力。</w:t>
      </w:r>
    </w:p>
    <w:p>
      <w:pPr>
        <w:spacing w:line="70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color w:val="000000"/>
          <w:kern w:val="0"/>
          <w:sz w:val="44"/>
          <w:szCs w:val="44"/>
        </w:rPr>
        <w:t>钟楼区智慧健康工作争先进位三年行动方案</w:t>
      </w:r>
      <w:r>
        <w:rPr>
          <w:rFonts w:ascii="Times New Roman" w:hAnsi="Times New Roman" w:eastAsia="方正小标宋简体" w:cs="Times New Roman"/>
          <w:sz w:val="44"/>
          <w:szCs w:val="44"/>
        </w:rPr>
        <w:t>任务分解表</w:t>
      </w:r>
    </w:p>
    <w:tbl>
      <w:tblPr>
        <w:tblStyle w:val="6"/>
        <w:tblW w:w="14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92"/>
        <w:gridCol w:w="4111"/>
        <w:gridCol w:w="5103"/>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6" w:type="dxa"/>
            <w:vMerge w:val="restart"/>
            <w:tcBorders>
              <w:tl2br w:val="nil"/>
              <w:tr2bl w:val="nil"/>
            </w:tcBorders>
            <w:shd w:val="clear" w:color="auto" w:fill="auto"/>
            <w:vAlign w:val="center"/>
          </w:tcPr>
          <w:p>
            <w:pPr>
              <w:widowControl/>
              <w:spacing w:line="570" w:lineRule="exact"/>
              <w:jc w:val="center"/>
              <w:rPr>
                <w:rFonts w:ascii="Times New Roman" w:hAnsi="Times New Roman" w:eastAsia="黑体" w:cs="Times New Roman"/>
                <w:color w:val="000000"/>
                <w:kern w:val="0"/>
                <w:sz w:val="28"/>
                <w:szCs w:val="32"/>
              </w:rPr>
            </w:pPr>
            <w:r>
              <w:rPr>
                <w:rFonts w:ascii="Times New Roman" w:hAnsi="Times New Roman" w:eastAsia="黑体" w:cs="Times New Roman"/>
                <w:color w:val="000000"/>
                <w:kern w:val="0"/>
                <w:sz w:val="28"/>
                <w:szCs w:val="32"/>
              </w:rPr>
              <w:t>序号</w:t>
            </w:r>
          </w:p>
        </w:tc>
        <w:tc>
          <w:tcPr>
            <w:tcW w:w="5103" w:type="dxa"/>
            <w:gridSpan w:val="2"/>
            <w:vMerge w:val="restart"/>
            <w:tcBorders>
              <w:tl2br w:val="nil"/>
              <w:tr2bl w:val="nil"/>
            </w:tcBorders>
            <w:shd w:val="clear" w:color="auto" w:fill="auto"/>
            <w:vAlign w:val="center"/>
          </w:tcPr>
          <w:p>
            <w:pPr>
              <w:widowControl/>
              <w:spacing w:line="570" w:lineRule="exact"/>
              <w:jc w:val="center"/>
              <w:rPr>
                <w:rFonts w:ascii="Times New Roman" w:hAnsi="Times New Roman" w:eastAsia="黑体" w:cs="Times New Roman"/>
                <w:color w:val="000000"/>
                <w:kern w:val="0"/>
                <w:sz w:val="28"/>
                <w:szCs w:val="32"/>
              </w:rPr>
            </w:pPr>
            <w:r>
              <w:rPr>
                <w:rFonts w:ascii="Times New Roman" w:hAnsi="Times New Roman" w:eastAsia="黑体" w:cs="Times New Roman"/>
                <w:color w:val="000000"/>
                <w:kern w:val="0"/>
                <w:sz w:val="28"/>
                <w:szCs w:val="32"/>
              </w:rPr>
              <w:t>工作任务</w:t>
            </w:r>
          </w:p>
        </w:tc>
        <w:tc>
          <w:tcPr>
            <w:tcW w:w="5103" w:type="dxa"/>
            <w:vMerge w:val="restart"/>
            <w:tcBorders>
              <w:tl2br w:val="nil"/>
              <w:tr2bl w:val="nil"/>
            </w:tcBorders>
            <w:shd w:val="clear" w:color="auto" w:fill="auto"/>
            <w:vAlign w:val="center"/>
          </w:tcPr>
          <w:p>
            <w:pPr>
              <w:widowControl/>
              <w:spacing w:line="570" w:lineRule="exact"/>
              <w:jc w:val="center"/>
              <w:rPr>
                <w:rFonts w:ascii="Times New Roman" w:hAnsi="Times New Roman" w:eastAsia="黑体" w:cs="Times New Roman"/>
                <w:color w:val="000000"/>
                <w:kern w:val="0"/>
                <w:sz w:val="28"/>
                <w:szCs w:val="32"/>
              </w:rPr>
            </w:pPr>
            <w:r>
              <w:rPr>
                <w:rFonts w:ascii="Times New Roman" w:hAnsi="Times New Roman" w:eastAsia="黑体" w:cs="Times New Roman"/>
                <w:color w:val="000000"/>
                <w:kern w:val="0"/>
                <w:sz w:val="28"/>
                <w:szCs w:val="32"/>
              </w:rPr>
              <w:t>工作进度</w:t>
            </w:r>
          </w:p>
        </w:tc>
        <w:tc>
          <w:tcPr>
            <w:tcW w:w="3209" w:type="dxa"/>
            <w:vMerge w:val="restart"/>
            <w:tcBorders>
              <w:tl2br w:val="nil"/>
              <w:tr2bl w:val="nil"/>
            </w:tcBorders>
            <w:shd w:val="clear" w:color="auto" w:fill="auto"/>
            <w:vAlign w:val="center"/>
          </w:tcPr>
          <w:p>
            <w:pPr>
              <w:widowControl/>
              <w:spacing w:line="570" w:lineRule="exact"/>
              <w:jc w:val="center"/>
              <w:rPr>
                <w:rFonts w:ascii="Times New Roman" w:hAnsi="Times New Roman" w:eastAsia="黑体" w:cs="Times New Roman"/>
                <w:color w:val="000000"/>
                <w:kern w:val="0"/>
                <w:sz w:val="28"/>
                <w:szCs w:val="32"/>
              </w:rPr>
            </w:pPr>
            <w:r>
              <w:rPr>
                <w:rFonts w:ascii="Times New Roman" w:hAnsi="Times New Roman" w:eastAsia="黑体" w:cs="Times New Roman"/>
                <w:color w:val="000000"/>
                <w:kern w:val="0"/>
                <w:sz w:val="28"/>
                <w:szCs w:val="32"/>
              </w:rPr>
              <w:t>责任部门和单位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76" w:type="dxa"/>
            <w:vMerge w:val="continue"/>
            <w:tcBorders>
              <w:tl2br w:val="nil"/>
              <w:tr2bl w:val="nil"/>
            </w:tcBorders>
            <w:vAlign w:val="center"/>
          </w:tcPr>
          <w:p>
            <w:pPr>
              <w:widowControl/>
              <w:spacing w:line="240" w:lineRule="exact"/>
              <w:jc w:val="left"/>
              <w:rPr>
                <w:rFonts w:ascii="Times New Roman" w:hAnsi="Times New Roman" w:eastAsia="黑体" w:cs="Times New Roman"/>
                <w:color w:val="000000"/>
                <w:kern w:val="0"/>
                <w:sz w:val="24"/>
                <w:szCs w:val="24"/>
              </w:rPr>
            </w:pPr>
          </w:p>
        </w:tc>
        <w:tc>
          <w:tcPr>
            <w:tcW w:w="5103" w:type="dxa"/>
            <w:gridSpan w:val="2"/>
            <w:vMerge w:val="continue"/>
            <w:tcBorders>
              <w:tl2br w:val="nil"/>
              <w:tr2bl w:val="nil"/>
            </w:tcBorders>
            <w:vAlign w:val="center"/>
          </w:tcPr>
          <w:p>
            <w:pPr>
              <w:widowControl/>
              <w:spacing w:line="240" w:lineRule="exact"/>
              <w:jc w:val="left"/>
              <w:rPr>
                <w:rFonts w:ascii="Times New Roman" w:hAnsi="Times New Roman" w:eastAsia="黑体" w:cs="Times New Roman"/>
                <w:color w:val="000000"/>
                <w:kern w:val="0"/>
                <w:sz w:val="24"/>
                <w:szCs w:val="24"/>
              </w:rPr>
            </w:pPr>
          </w:p>
        </w:tc>
        <w:tc>
          <w:tcPr>
            <w:tcW w:w="5103" w:type="dxa"/>
            <w:vMerge w:val="continue"/>
            <w:tcBorders>
              <w:tl2br w:val="nil"/>
              <w:tr2bl w:val="nil"/>
            </w:tcBorders>
            <w:vAlign w:val="center"/>
          </w:tcPr>
          <w:p>
            <w:pPr>
              <w:widowControl/>
              <w:spacing w:line="240" w:lineRule="exact"/>
              <w:jc w:val="left"/>
              <w:rPr>
                <w:rFonts w:ascii="Times New Roman" w:hAnsi="Times New Roman" w:eastAsia="黑体" w:cs="Times New Roman"/>
                <w:color w:val="000000"/>
                <w:kern w:val="0"/>
                <w:sz w:val="24"/>
                <w:szCs w:val="24"/>
              </w:rPr>
            </w:pPr>
          </w:p>
        </w:tc>
        <w:tc>
          <w:tcPr>
            <w:tcW w:w="3209" w:type="dxa"/>
            <w:vMerge w:val="continue"/>
            <w:tcBorders>
              <w:tl2br w:val="nil"/>
              <w:tr2bl w:val="nil"/>
            </w:tcBorders>
            <w:vAlign w:val="center"/>
          </w:tcPr>
          <w:p>
            <w:pPr>
              <w:widowControl/>
              <w:spacing w:line="240" w:lineRule="exact"/>
              <w:jc w:val="left"/>
              <w:rPr>
                <w:rFonts w:ascii="Times New Roman" w:hAnsi="Times New Roman" w:eastAsia="黑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76" w:type="dxa"/>
            <w:tcBorders>
              <w:tl2br w:val="nil"/>
              <w:tr2bl w:val="nil"/>
            </w:tcBorders>
            <w:shd w:val="clear" w:color="auto" w:fill="auto"/>
            <w:noWrap/>
            <w:vAlign w:val="center"/>
          </w:tcPr>
          <w:p>
            <w:pPr>
              <w:widowControl/>
              <w:spacing w:line="300" w:lineRule="exact"/>
              <w:jc w:val="center"/>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1</w:t>
            </w:r>
          </w:p>
        </w:tc>
        <w:tc>
          <w:tcPr>
            <w:tcW w:w="992" w:type="dxa"/>
            <w:tcBorders>
              <w:tl2br w:val="nil"/>
              <w:tr2bl w:val="nil"/>
            </w:tcBorders>
            <w:shd w:val="clear" w:color="auto" w:fill="auto"/>
            <w:vAlign w:val="center"/>
          </w:tcPr>
          <w:p>
            <w:pPr>
              <w:widowControl/>
              <w:spacing w:line="300" w:lineRule="exact"/>
              <w:jc w:val="center"/>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基层卫生提档升级</w:t>
            </w:r>
          </w:p>
        </w:tc>
        <w:tc>
          <w:tcPr>
            <w:tcW w:w="4111" w:type="dxa"/>
            <w:tcBorders>
              <w:tl2br w:val="nil"/>
              <w:tr2bl w:val="nil"/>
            </w:tcBorders>
            <w:shd w:val="clear" w:color="auto" w:fill="auto"/>
            <w:vAlign w:val="center"/>
          </w:tcPr>
          <w:p>
            <w:pPr>
              <w:widowControl/>
              <w:spacing w:line="300" w:lineRule="exact"/>
              <w:jc w:val="lef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合作推进医疗信息化，完善基层卫生信息系统建设</w:t>
            </w:r>
            <w:r>
              <w:rPr>
                <w:rFonts w:hint="eastAsia" w:ascii="Times New Roman" w:hAnsi="Times New Roman" w:eastAsia="仿宋_GB2312" w:cs="Times New Roman"/>
                <w:color w:val="000000"/>
                <w:kern w:val="0"/>
                <w:sz w:val="24"/>
                <w:szCs w:val="18"/>
              </w:rPr>
              <w:t>。</w:t>
            </w:r>
          </w:p>
        </w:tc>
        <w:tc>
          <w:tcPr>
            <w:tcW w:w="5103" w:type="dxa"/>
            <w:tcBorders>
              <w:tl2br w:val="nil"/>
              <w:tr2bl w:val="nil"/>
            </w:tcBorders>
            <w:shd w:val="clear" w:color="auto" w:fill="auto"/>
            <w:vAlign w:val="center"/>
          </w:tcPr>
          <w:p>
            <w:pPr>
              <w:widowControl/>
              <w:spacing w:line="300" w:lineRule="exact"/>
              <w:jc w:val="lef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统一数据标准，统一信息平台，统一安全存储，深化业务件的数据融合和运用。落实“银医通”项目建设。</w:t>
            </w:r>
          </w:p>
        </w:tc>
        <w:tc>
          <w:tcPr>
            <w:tcW w:w="3209" w:type="dxa"/>
            <w:tcBorders>
              <w:tl2br w:val="nil"/>
              <w:tr2bl w:val="nil"/>
            </w:tcBorders>
            <w:shd w:val="clear" w:color="auto" w:fill="auto"/>
            <w:vAlign w:val="center"/>
          </w:tcPr>
          <w:p>
            <w:pPr>
              <w:widowControl/>
              <w:spacing w:line="300" w:lineRule="exac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卫健局</w:t>
            </w:r>
          </w:p>
          <w:p>
            <w:pPr>
              <w:widowControl/>
              <w:spacing w:line="300" w:lineRule="exac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各医疗机构</w:t>
            </w:r>
          </w:p>
          <w:p>
            <w:pPr>
              <w:widowControl/>
              <w:spacing w:line="300" w:lineRule="exact"/>
              <w:rPr>
                <w:rFonts w:ascii="Times New Roman" w:hAnsi="Times New Roman" w:eastAsia="仿宋_GB2312" w:cs="Times New Roman"/>
                <w:color w:val="000000"/>
                <w:spacing w:val="-20"/>
                <w:kern w:val="0"/>
                <w:sz w:val="24"/>
                <w:szCs w:val="18"/>
              </w:rPr>
            </w:pPr>
            <w:r>
              <w:rPr>
                <w:rFonts w:ascii="Times New Roman" w:hAnsi="Times New Roman" w:eastAsia="仿宋_GB2312" w:cs="Times New Roman"/>
                <w:color w:val="000000"/>
                <w:spacing w:val="-20"/>
                <w:kern w:val="0"/>
                <w:sz w:val="24"/>
                <w:szCs w:val="18"/>
              </w:rPr>
              <w:t>国家健康医疗大数据东部中心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76" w:type="dxa"/>
            <w:vMerge w:val="restart"/>
            <w:tcBorders>
              <w:tl2br w:val="nil"/>
              <w:tr2bl w:val="nil"/>
            </w:tcBorders>
            <w:shd w:val="clear" w:color="auto" w:fill="auto"/>
            <w:vAlign w:val="center"/>
          </w:tcPr>
          <w:p>
            <w:pPr>
              <w:widowControl/>
              <w:spacing w:line="300" w:lineRule="exact"/>
              <w:jc w:val="center"/>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2</w:t>
            </w:r>
          </w:p>
        </w:tc>
        <w:tc>
          <w:tcPr>
            <w:tcW w:w="992" w:type="dxa"/>
            <w:vMerge w:val="restart"/>
            <w:tcBorders>
              <w:tl2br w:val="nil"/>
              <w:tr2bl w:val="nil"/>
            </w:tcBorders>
            <w:shd w:val="clear" w:color="auto" w:fill="auto"/>
            <w:vAlign w:val="center"/>
          </w:tcPr>
          <w:p>
            <w:pPr>
              <w:widowControl/>
              <w:spacing w:line="300" w:lineRule="exact"/>
              <w:jc w:val="center"/>
              <w:rPr>
                <w:rFonts w:ascii="Times New Roman" w:hAnsi="Times New Roman" w:eastAsia="仿宋_GB2312" w:cs="Times New Roman"/>
                <w:color w:val="000000"/>
                <w:spacing w:val="-24"/>
                <w:kern w:val="0"/>
                <w:sz w:val="24"/>
                <w:szCs w:val="18"/>
              </w:rPr>
            </w:pPr>
            <w:r>
              <w:rPr>
                <w:rFonts w:ascii="Times New Roman" w:hAnsi="Times New Roman" w:eastAsia="仿宋_GB2312" w:cs="Times New Roman"/>
                <w:color w:val="000000"/>
                <w:spacing w:val="-24"/>
                <w:kern w:val="0"/>
                <w:sz w:val="24"/>
                <w:szCs w:val="18"/>
              </w:rPr>
              <w:t>协同平台</w:t>
            </w:r>
          </w:p>
        </w:tc>
        <w:tc>
          <w:tcPr>
            <w:tcW w:w="4111" w:type="dxa"/>
            <w:tcBorders>
              <w:tl2br w:val="nil"/>
              <w:tr2bl w:val="nil"/>
            </w:tcBorders>
            <w:shd w:val="clear" w:color="auto" w:fill="auto"/>
            <w:vAlign w:val="center"/>
          </w:tcPr>
          <w:p>
            <w:pPr>
              <w:widowControl/>
              <w:spacing w:line="300" w:lineRule="exact"/>
              <w:jc w:val="lef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推进远程医疗，实现优质医疗资源下沉</w:t>
            </w:r>
            <w:r>
              <w:rPr>
                <w:rFonts w:hint="eastAsia" w:ascii="Times New Roman" w:hAnsi="Times New Roman" w:eastAsia="仿宋_GB2312" w:cs="Times New Roman"/>
                <w:color w:val="000000"/>
                <w:kern w:val="0"/>
                <w:sz w:val="24"/>
                <w:szCs w:val="18"/>
              </w:rPr>
              <w:t>。</w:t>
            </w:r>
          </w:p>
        </w:tc>
        <w:tc>
          <w:tcPr>
            <w:tcW w:w="5103" w:type="dxa"/>
            <w:tcBorders>
              <w:tl2br w:val="nil"/>
              <w:tr2bl w:val="nil"/>
            </w:tcBorders>
            <w:shd w:val="clear" w:color="auto" w:fill="auto"/>
            <w:vAlign w:val="center"/>
          </w:tcPr>
          <w:p>
            <w:pPr>
              <w:widowControl/>
              <w:spacing w:line="300" w:lineRule="exact"/>
              <w:jc w:val="lef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到2022年，区域影像、心电、临检、病理、远程会诊全面覆盖。</w:t>
            </w:r>
          </w:p>
        </w:tc>
        <w:tc>
          <w:tcPr>
            <w:tcW w:w="3209" w:type="dxa"/>
            <w:tcBorders>
              <w:tl2br w:val="nil"/>
              <w:tr2bl w:val="nil"/>
            </w:tcBorders>
            <w:shd w:val="clear" w:color="auto" w:fill="auto"/>
            <w:vAlign w:val="center"/>
          </w:tcPr>
          <w:p>
            <w:pPr>
              <w:widowControl/>
              <w:spacing w:line="300" w:lineRule="exac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卫健局</w:t>
            </w:r>
          </w:p>
          <w:p>
            <w:pPr>
              <w:widowControl/>
              <w:spacing w:line="300" w:lineRule="exac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各医疗机构</w:t>
            </w:r>
          </w:p>
          <w:p>
            <w:pPr>
              <w:widowControl/>
              <w:spacing w:line="300" w:lineRule="exac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spacing w:val="-20"/>
                <w:kern w:val="0"/>
                <w:sz w:val="24"/>
                <w:szCs w:val="18"/>
              </w:rPr>
              <w:t>国家健康医疗大数据东部中心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76" w:type="dxa"/>
            <w:vMerge w:val="continue"/>
            <w:tcBorders>
              <w:tl2br w:val="nil"/>
              <w:tr2bl w:val="nil"/>
            </w:tcBorders>
            <w:vAlign w:val="center"/>
          </w:tcPr>
          <w:p>
            <w:pPr>
              <w:widowControl/>
              <w:spacing w:line="300" w:lineRule="exact"/>
              <w:jc w:val="center"/>
              <w:rPr>
                <w:rFonts w:ascii="Times New Roman" w:hAnsi="Times New Roman" w:eastAsia="仿宋_GB2312" w:cs="Times New Roman"/>
                <w:color w:val="000000"/>
                <w:kern w:val="0"/>
                <w:sz w:val="24"/>
                <w:szCs w:val="18"/>
              </w:rPr>
            </w:pPr>
          </w:p>
        </w:tc>
        <w:tc>
          <w:tcPr>
            <w:tcW w:w="992" w:type="dxa"/>
            <w:vMerge w:val="continue"/>
            <w:tcBorders>
              <w:tl2br w:val="nil"/>
              <w:tr2bl w:val="nil"/>
            </w:tcBorders>
            <w:vAlign w:val="center"/>
          </w:tcPr>
          <w:p>
            <w:pPr>
              <w:widowControl/>
              <w:spacing w:line="300" w:lineRule="exact"/>
              <w:jc w:val="center"/>
              <w:rPr>
                <w:rFonts w:ascii="Times New Roman" w:hAnsi="Times New Roman" w:eastAsia="仿宋_GB2312" w:cs="Times New Roman"/>
                <w:color w:val="000000"/>
                <w:kern w:val="0"/>
                <w:sz w:val="24"/>
                <w:szCs w:val="18"/>
              </w:rPr>
            </w:pPr>
          </w:p>
        </w:tc>
        <w:tc>
          <w:tcPr>
            <w:tcW w:w="4111" w:type="dxa"/>
            <w:tcBorders>
              <w:tl2br w:val="nil"/>
              <w:tr2bl w:val="nil"/>
            </w:tcBorders>
            <w:shd w:val="clear" w:color="auto" w:fill="auto"/>
            <w:noWrap/>
            <w:vAlign w:val="center"/>
          </w:tcPr>
          <w:p>
            <w:pPr>
              <w:widowControl/>
              <w:spacing w:line="300" w:lineRule="exact"/>
              <w:jc w:val="lef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促进公卫信息跨地区、跨机构的信息共享和业务联动</w:t>
            </w:r>
            <w:r>
              <w:rPr>
                <w:rFonts w:hint="eastAsia" w:ascii="Times New Roman" w:hAnsi="Times New Roman" w:eastAsia="仿宋_GB2312" w:cs="Times New Roman"/>
                <w:color w:val="000000"/>
                <w:kern w:val="0"/>
                <w:sz w:val="24"/>
                <w:szCs w:val="18"/>
              </w:rPr>
              <w:t>。</w:t>
            </w:r>
          </w:p>
        </w:tc>
        <w:tc>
          <w:tcPr>
            <w:tcW w:w="5103" w:type="dxa"/>
            <w:tcBorders>
              <w:tl2br w:val="nil"/>
              <w:tr2bl w:val="nil"/>
            </w:tcBorders>
            <w:shd w:val="clear" w:color="auto" w:fill="auto"/>
            <w:vAlign w:val="center"/>
          </w:tcPr>
          <w:p>
            <w:pPr>
              <w:widowControl/>
              <w:spacing w:line="300" w:lineRule="exact"/>
              <w:jc w:val="lef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到2022年，使用市级公卫信息平台，推进疾病预防控制、卫生监督等条线信息化建设。</w:t>
            </w:r>
          </w:p>
        </w:tc>
        <w:tc>
          <w:tcPr>
            <w:tcW w:w="3209" w:type="dxa"/>
            <w:tcBorders>
              <w:tl2br w:val="nil"/>
              <w:tr2bl w:val="nil"/>
            </w:tcBorders>
            <w:shd w:val="clear" w:color="auto" w:fill="auto"/>
            <w:vAlign w:val="center"/>
          </w:tcPr>
          <w:p>
            <w:pPr>
              <w:widowControl/>
              <w:spacing w:line="300" w:lineRule="exac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卫健局</w:t>
            </w:r>
          </w:p>
          <w:p>
            <w:pPr>
              <w:widowControl/>
              <w:spacing w:line="300" w:lineRule="exac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各医疗机构</w:t>
            </w:r>
          </w:p>
          <w:p>
            <w:pPr>
              <w:widowControl/>
              <w:spacing w:line="300" w:lineRule="exac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spacing w:val="-20"/>
                <w:kern w:val="0"/>
                <w:sz w:val="24"/>
                <w:szCs w:val="18"/>
              </w:rPr>
              <w:t>国家健康医疗大数据东部中心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76" w:type="dxa"/>
            <w:tcBorders>
              <w:tl2br w:val="nil"/>
              <w:tr2bl w:val="nil"/>
            </w:tcBorders>
            <w:shd w:val="clear" w:color="auto" w:fill="auto"/>
            <w:noWrap/>
            <w:vAlign w:val="center"/>
          </w:tcPr>
          <w:p>
            <w:pPr>
              <w:widowControl/>
              <w:spacing w:line="300" w:lineRule="exact"/>
              <w:jc w:val="center"/>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3</w:t>
            </w:r>
          </w:p>
        </w:tc>
        <w:tc>
          <w:tcPr>
            <w:tcW w:w="992" w:type="dxa"/>
            <w:tcBorders>
              <w:tl2br w:val="nil"/>
              <w:tr2bl w:val="nil"/>
            </w:tcBorders>
            <w:shd w:val="clear" w:color="auto" w:fill="auto"/>
            <w:vAlign w:val="center"/>
          </w:tcPr>
          <w:p>
            <w:pPr>
              <w:widowControl/>
              <w:spacing w:line="300" w:lineRule="exact"/>
              <w:jc w:val="center"/>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智慧健康服务</w:t>
            </w:r>
          </w:p>
        </w:tc>
        <w:tc>
          <w:tcPr>
            <w:tcW w:w="4111" w:type="dxa"/>
            <w:tcBorders>
              <w:tl2br w:val="nil"/>
              <w:tr2bl w:val="nil"/>
            </w:tcBorders>
            <w:shd w:val="clear" w:color="auto" w:fill="auto"/>
            <w:noWrap/>
            <w:vAlign w:val="center"/>
          </w:tcPr>
          <w:p>
            <w:pPr>
              <w:widowControl/>
              <w:spacing w:line="300" w:lineRule="exact"/>
              <w:jc w:val="lef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建设集约式预约挂号平台，支持精准预约</w:t>
            </w:r>
            <w:r>
              <w:rPr>
                <w:rFonts w:hint="eastAsia" w:ascii="Times New Roman" w:hAnsi="Times New Roman" w:eastAsia="仿宋_GB2312" w:cs="Times New Roman"/>
                <w:color w:val="000000"/>
                <w:kern w:val="0"/>
                <w:sz w:val="24"/>
                <w:szCs w:val="18"/>
              </w:rPr>
              <w:t>。</w:t>
            </w:r>
          </w:p>
        </w:tc>
        <w:tc>
          <w:tcPr>
            <w:tcW w:w="5103" w:type="dxa"/>
            <w:tcBorders>
              <w:tl2br w:val="nil"/>
              <w:tr2bl w:val="nil"/>
            </w:tcBorders>
            <w:shd w:val="clear" w:color="auto" w:fill="auto"/>
            <w:vAlign w:val="center"/>
          </w:tcPr>
          <w:p>
            <w:pPr>
              <w:widowControl/>
              <w:spacing w:line="300" w:lineRule="exact"/>
              <w:jc w:val="lef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基本建成集约式预约挂号平台；逐步构建包含体检、检验检查等的全预约平台。</w:t>
            </w:r>
          </w:p>
        </w:tc>
        <w:tc>
          <w:tcPr>
            <w:tcW w:w="3209" w:type="dxa"/>
            <w:tcBorders>
              <w:tl2br w:val="nil"/>
              <w:tr2bl w:val="nil"/>
            </w:tcBorders>
            <w:shd w:val="clear" w:color="auto" w:fill="auto"/>
            <w:vAlign w:val="center"/>
          </w:tcPr>
          <w:p>
            <w:pPr>
              <w:widowControl/>
              <w:spacing w:line="300" w:lineRule="exac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卫健局</w:t>
            </w:r>
          </w:p>
          <w:p>
            <w:pPr>
              <w:widowControl/>
              <w:spacing w:line="300" w:lineRule="exac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kern w:val="0"/>
                <w:sz w:val="24"/>
                <w:szCs w:val="18"/>
              </w:rPr>
              <w:t>各医疗机构</w:t>
            </w:r>
          </w:p>
          <w:p>
            <w:pPr>
              <w:widowControl/>
              <w:spacing w:line="300" w:lineRule="exact"/>
              <w:rPr>
                <w:rFonts w:ascii="Times New Roman" w:hAnsi="Times New Roman" w:eastAsia="仿宋_GB2312" w:cs="Times New Roman"/>
                <w:color w:val="000000"/>
                <w:kern w:val="0"/>
                <w:sz w:val="24"/>
                <w:szCs w:val="18"/>
              </w:rPr>
            </w:pPr>
            <w:r>
              <w:rPr>
                <w:rFonts w:ascii="Times New Roman" w:hAnsi="Times New Roman" w:eastAsia="仿宋_GB2312" w:cs="Times New Roman"/>
                <w:color w:val="000000"/>
                <w:spacing w:val="-20"/>
                <w:kern w:val="0"/>
                <w:sz w:val="24"/>
                <w:szCs w:val="18"/>
              </w:rPr>
              <w:t>国家健康医疗大数据东部中心</w:t>
            </w:r>
          </w:p>
        </w:tc>
      </w:tr>
    </w:tbl>
    <w:p>
      <w:pPr>
        <w:spacing w:line="700" w:lineRule="exact"/>
        <w:rPr>
          <w:rFonts w:ascii="Times New Roman" w:hAnsi="Times New Roman" w:eastAsia="仿宋_GB2312" w:cs="Times New Roman"/>
          <w:sz w:val="44"/>
          <w:szCs w:val="44"/>
        </w:rPr>
        <w:sectPr>
          <w:type w:val="continuous"/>
          <w:pgSz w:w="16838" w:h="11906" w:orient="landscape"/>
          <w:pgMar w:top="2098" w:right="1531" w:bottom="1985" w:left="1531" w:header="851" w:footer="992" w:gutter="0"/>
          <w:pgNumType w:fmt="numberInDash"/>
          <w:cols w:space="425" w:num="1"/>
          <w:titlePg/>
          <w:docGrid w:type="lines" w:linePitch="312" w:charSpace="0"/>
        </w:sectPr>
      </w:pPr>
    </w:p>
    <w:p>
      <w:pPr>
        <w:spacing w:line="280" w:lineRule="exact"/>
        <w:rPr>
          <w:rFonts w:ascii="Times New Roman" w:hAnsi="Times New Roman" w:eastAsia="方正小标宋简体" w:cs="Times New Roman"/>
          <w:sz w:val="44"/>
          <w:szCs w:val="44"/>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hint="eastAsia" w:ascii="Times New Roman" w:hAnsi="Times New Roman" w:eastAsia="仿宋_GB2312"/>
          <w:sz w:val="32"/>
          <w:szCs w:val="32"/>
        </w:rPr>
      </w:pPr>
    </w:p>
    <w:p>
      <w:pPr>
        <w:ind w:right="480" w:firstLine="627" w:firstLineChars="196"/>
        <w:jc w:val="right"/>
        <w:rPr>
          <w:rFonts w:ascii="Times New Roman" w:hAnsi="Times New Roman" w:eastAsia="仿宋_GB2312"/>
          <w:sz w:val="32"/>
          <w:szCs w:val="32"/>
        </w:rPr>
      </w:pPr>
    </w:p>
    <w:p>
      <w:pPr>
        <w:spacing w:line="570" w:lineRule="exact"/>
        <w:ind w:right="23" w:rightChars="11" w:firstLine="210" w:firstLineChars="100"/>
        <w:rPr>
          <w:rFonts w:ascii="Times New Roman" w:hAnsi="Times New Roman" w:eastAsia="仿宋_GB2312"/>
          <w:color w:val="000000"/>
          <w:spacing w:val="-20"/>
          <w:sz w:val="32"/>
          <w:szCs w:val="32"/>
        </w:rPr>
      </w:pPr>
      <w:r>
        <w:rPr>
          <w:rFonts w:ascii="Calibri" w:hAnsi="Calibri" w:eastAsia="宋体"/>
          <w:szCs w:val="24"/>
        </w:rPr>
        <w:pict>
          <v:line id="直接连接符 3" o:spid="_x0000_s1026" o:spt="20" style="position:absolute;left:0pt;margin-left:0pt;margin-top:30.6pt;height:1.4pt;width:442.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">
            <v:path arrowok="t"/>
            <v:fill focussize="0,0"/>
            <v:stroke/>
            <v:imagedata o:title=""/>
            <o:lock v:ext="edit"/>
          </v:line>
        </w:pict>
      </w:r>
      <w:r>
        <w:rPr>
          <w:rFonts w:ascii="Times New Roman" w:eastAsia="仿宋_GB2312"/>
          <w:sz w:val="28"/>
          <w:szCs w:val="28"/>
        </w:rPr>
        <w:t xml:space="preserve"> </w:t>
      </w:r>
      <w:r>
        <w:rPr>
          <w:rFonts w:hint="eastAsia" w:ascii="Times New Roman" w:eastAsia="仿宋_GB2312"/>
          <w:sz w:val="28"/>
          <w:szCs w:val="28"/>
        </w:rPr>
        <w:t>常州市钟楼区卫生健康局办公室</w:t>
      </w:r>
      <w:r>
        <w:rPr>
          <w:rFonts w:ascii="Times New Roman" w:hAnsi="Times New Roman" w:eastAsia="仿宋_GB2312"/>
          <w:sz w:val="28"/>
          <w:szCs w:val="28"/>
        </w:rPr>
        <w:t xml:space="preserve">         2020</w:t>
      </w:r>
      <w:r>
        <w:rPr>
          <w:rFonts w:hint="eastAsia" w:ascii="Times New Roman" w:eastAsia="仿宋_GB2312"/>
          <w:sz w:val="28"/>
          <w:szCs w:val="28"/>
        </w:rPr>
        <w:t>年</w:t>
      </w:r>
      <w:r>
        <w:rPr>
          <w:rFonts w:ascii="Times New Roman" w:hAnsi="Times New Roman" w:eastAsia="仿宋_GB2312"/>
          <w:sz w:val="28"/>
          <w:szCs w:val="28"/>
        </w:rPr>
        <w:t>7</w:t>
      </w:r>
      <w:r>
        <w:rPr>
          <w:rFonts w:hint="eastAsia" w:ascii="Times New Roman" w:eastAsia="仿宋_GB2312"/>
          <w:sz w:val="28"/>
          <w:szCs w:val="28"/>
        </w:rPr>
        <w:t>月</w:t>
      </w:r>
      <w:r>
        <w:rPr>
          <w:rFonts w:hint="eastAsia" w:ascii="Times New Roman" w:hAnsi="Times New Roman" w:eastAsia="仿宋_GB2312"/>
          <w:sz w:val="28"/>
          <w:szCs w:val="28"/>
        </w:rPr>
        <w:t>30</w:t>
      </w:r>
      <w:r>
        <w:rPr>
          <w:rFonts w:hint="eastAsia" w:ascii="Times New Roman" w:eastAsia="仿宋_GB2312"/>
          <w:sz w:val="28"/>
          <w:szCs w:val="28"/>
        </w:rPr>
        <w:t>日印发</w:t>
      </w:r>
      <w:r>
        <w:rPr>
          <w:rFonts w:ascii="Calibri" w:hAnsi="Calibri" w:eastAsia="宋体"/>
          <w:szCs w:val="24"/>
        </w:rPr>
        <w:pict>
          <v:line id="直接连接符 2" o:spid="_x0000_s1027" o:spt="20" style="position:absolute;left:0pt;flip:y;margin-left:0pt;margin-top:1.7pt;height:0.3pt;width:442.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">
            <v:path arrowok="t"/>
            <v:fill focussize="0,0"/>
            <v:stroke/>
            <v:imagedata o:title=""/>
            <o:lock v:ext="edit"/>
          </v:line>
        </w:pict>
      </w:r>
    </w:p>
    <w:sectPr>
      <w:type w:val="continuous"/>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1294562"/>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9072757"/>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12 -</w:t>
        </w:r>
        <w:r>
          <w:rPr>
            <w:rFonts w:asciiTheme="minorEastAsia" w:hAnsiTheme="minorEastAsia"/>
            <w:sz w:val="28"/>
            <w:szCs w:val="28"/>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616462"/>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41 -</w:t>
        </w:r>
        <w:r>
          <w:rPr>
            <w:rFonts w:asciiTheme="minorEastAsia" w:hAnsiTheme="minorEastAsia"/>
            <w:sz w:val="28"/>
            <w:szCs w:val="28"/>
          </w:rPr>
          <w:fldChar w:fldCharType="end"/>
        </w:r>
      </w:p>
    </w:sdtContent>
  </w:sdt>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04" w:rightChars="14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- 43 -</w:t>
    </w:r>
    <w:r>
      <w:rPr>
        <w:rFonts w:asciiTheme="minorEastAsia" w:hAnsiTheme="minorEastAsia"/>
        <w:sz w:val="28"/>
        <w:szCs w:val="28"/>
      </w:rPr>
      <w:fldChar w:fldCharType="end"/>
    </w:r>
    <w:r>
      <w:rPr>
        <w:rFonts w:asciiTheme="minorEastAsia" w:hAnsiTheme="minorEastAsia"/>
        <w:sz w:val="28"/>
        <w:szCs w:val="28"/>
      </w:rPr>
      <w:t xml:space="preserve"> </w:t>
    </w:r>
  </w:p>
  <w:p>
    <w:pPr>
      <w:pStyle w:val="3"/>
      <w:tabs>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78" w:firstLineChars="13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14 -</w:t>
    </w:r>
    <w:r>
      <w:rPr>
        <w:rFonts w:asciiTheme="minorEastAsia" w:hAnsiTheme="minorEastAsia"/>
        <w:sz w:val="28"/>
        <w:szCs w:val="28"/>
      </w:rPr>
      <w:fldChar w:fldCharType="end"/>
    </w:r>
    <w:r>
      <w:rPr>
        <w:rFonts w:asciiTheme="minorEastAsia" w:hAnsiTheme="minorEastAsia"/>
        <w:sz w:val="28"/>
        <w:szCs w:val="28"/>
      </w:rPr>
      <w:t xml:space="preserve"> </w:t>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78" w:firstLineChars="135"/>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42 -</w:t>
    </w:r>
    <w:r>
      <w:rPr>
        <w:rFonts w:asciiTheme="minorEastAsia" w:hAnsiTheme="minorEastAsia"/>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94F8A"/>
    <w:multiLevelType w:val="multilevel"/>
    <w:tmpl w:val="5C894F8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5NWQ2OTU1OGVjMGY1ODg1NzM3NDc2ZDYxMjhkZTIifQ=="/>
  </w:docVars>
  <w:rsids>
    <w:rsidRoot w:val="00C24E6C"/>
    <w:rsid w:val="000613CE"/>
    <w:rsid w:val="001772E1"/>
    <w:rsid w:val="002378E0"/>
    <w:rsid w:val="00277D89"/>
    <w:rsid w:val="00283339"/>
    <w:rsid w:val="002973B4"/>
    <w:rsid w:val="00354CD7"/>
    <w:rsid w:val="003A1F9E"/>
    <w:rsid w:val="00400FF3"/>
    <w:rsid w:val="00407763"/>
    <w:rsid w:val="00494DD0"/>
    <w:rsid w:val="004B4D27"/>
    <w:rsid w:val="005E354C"/>
    <w:rsid w:val="005F2F30"/>
    <w:rsid w:val="0062347B"/>
    <w:rsid w:val="006407CA"/>
    <w:rsid w:val="006E5595"/>
    <w:rsid w:val="00741714"/>
    <w:rsid w:val="00763336"/>
    <w:rsid w:val="007725EB"/>
    <w:rsid w:val="007D13C7"/>
    <w:rsid w:val="007F10B5"/>
    <w:rsid w:val="00837E2B"/>
    <w:rsid w:val="00847602"/>
    <w:rsid w:val="00860E41"/>
    <w:rsid w:val="0087179E"/>
    <w:rsid w:val="00885105"/>
    <w:rsid w:val="009925C1"/>
    <w:rsid w:val="009B3C83"/>
    <w:rsid w:val="009E626D"/>
    <w:rsid w:val="00A453BE"/>
    <w:rsid w:val="00A60B25"/>
    <w:rsid w:val="00AB3D4E"/>
    <w:rsid w:val="00B9648C"/>
    <w:rsid w:val="00C24E6C"/>
    <w:rsid w:val="00C546E7"/>
    <w:rsid w:val="00CD4E4C"/>
    <w:rsid w:val="00CE2D09"/>
    <w:rsid w:val="00D3388B"/>
    <w:rsid w:val="00D62CB4"/>
    <w:rsid w:val="00D770EE"/>
    <w:rsid w:val="00D80E42"/>
    <w:rsid w:val="00D94CAF"/>
    <w:rsid w:val="00EB685F"/>
    <w:rsid w:val="00F24C9F"/>
    <w:rsid w:val="3A062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No Spacing"/>
    <w:qFormat/>
    <w:uiPriority w:val="99"/>
    <w:pPr>
      <w:widowControl w:val="0"/>
      <w:jc w:val="both"/>
    </w:pPr>
    <w:rPr>
      <w:rFonts w:ascii="Calibri" w:hAnsi="Calibri" w:eastAsia="宋体" w:cs="Times New Roman"/>
      <w:kern w:val="2"/>
      <w:sz w:val="21"/>
      <w:szCs w:val="24"/>
      <w:lang w:val="en-US" w:eastAsia="zh-CN" w:bidi="ar-SA"/>
    </w:rPr>
  </w:style>
  <w:style w:type="paragraph" w:styleId="12">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A3B85-2645-465E-92C9-AFC5BF0DABC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2955</Words>
  <Characters>16845</Characters>
  <Lines>140</Lines>
  <Paragraphs>39</Paragraphs>
  <TotalTime>150</TotalTime>
  <ScaleCrop>false</ScaleCrop>
  <LinksUpToDate>false</LinksUpToDate>
  <CharactersWithSpaces>19761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2020-07-07T02:51:00Z</dcterms:created>
  <dc:creator>Lenovo</dc:creator>
  <cp:lastModifiedBy>未遂</cp:lastModifiedBy>
  <dcterms:modified xsi:type="dcterms:W3CDTF">2024-02-06T01:35:56Z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D533A59345C14A3698808015DAEFCFD8_12</vt:lpwstr>
  </property>
</Properties>
</file>