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10" w:lineRule="exact"/>
        <w:ind w:firstLine="641"/>
        <w:rPr>
          <w:rFonts w:hint="eastAsia" w:ascii="Times New Roman" w:hAnsi="Times New Roman" w:eastAsia="方正仿宋_GBK"/>
          <w:color w:val="000000"/>
          <w:sz w:val="32"/>
          <w:szCs w:val="32"/>
        </w:rPr>
      </w:pPr>
      <w:bookmarkStart w:id="10" w:name="_GoBack"/>
      <w:bookmarkEnd w:id="10"/>
    </w:p>
    <w:p>
      <w:pPr>
        <w:spacing w:line="520" w:lineRule="exact"/>
        <w:jc w:val="center"/>
        <w:rPr>
          <w:rFonts w:hint="eastAsia" w:ascii="Times New Roman" w:hAnsi="Times New Roman" w:eastAsia="方正小标宋简体"/>
          <w:snapToGrid w:val="0"/>
          <w:spacing w:val="-14"/>
          <w:kern w:val="0"/>
          <w:sz w:val="56"/>
          <w:szCs w:val="56"/>
        </w:rPr>
      </w:pPr>
    </w:p>
    <w:p>
      <w:pPr>
        <w:spacing w:line="520" w:lineRule="exact"/>
        <w:jc w:val="center"/>
        <w:rPr>
          <w:rFonts w:hint="eastAsia" w:ascii="Times New Roman" w:hAnsi="Times New Roman" w:eastAsia="方正小标宋简体"/>
          <w:snapToGrid w:val="0"/>
          <w:spacing w:val="-14"/>
          <w:kern w:val="0"/>
          <w:sz w:val="56"/>
          <w:szCs w:val="56"/>
        </w:rPr>
      </w:pPr>
    </w:p>
    <w:p>
      <w:pPr>
        <w:spacing w:line="520" w:lineRule="exact"/>
        <w:jc w:val="center"/>
        <w:rPr>
          <w:rFonts w:hint="eastAsia" w:ascii="Times New Roman" w:hAnsi="Times New Roman" w:eastAsia="方正小标宋简体"/>
          <w:snapToGrid w:val="0"/>
          <w:spacing w:val="-14"/>
          <w:kern w:val="0"/>
          <w:sz w:val="56"/>
          <w:szCs w:val="56"/>
        </w:rPr>
      </w:pPr>
    </w:p>
    <w:p>
      <w:pPr>
        <w:spacing w:line="520" w:lineRule="exact"/>
        <w:jc w:val="center"/>
        <w:rPr>
          <w:rFonts w:hint="eastAsia" w:ascii="Times New Roman" w:hAnsi="Times New Roman" w:eastAsia="方正小标宋简体"/>
          <w:snapToGrid w:val="0"/>
          <w:spacing w:val="-14"/>
          <w:kern w:val="0"/>
          <w:sz w:val="56"/>
          <w:szCs w:val="56"/>
        </w:rPr>
      </w:pPr>
    </w:p>
    <w:p>
      <w:pPr>
        <w:jc w:val="center"/>
        <w:rPr>
          <w:rFonts w:hint="eastAsia" w:ascii="方正小标宋_GBK" w:hAnsi="Times New Roman" w:eastAsia="方正小标宋_GBK"/>
          <w:snapToGrid w:val="0"/>
          <w:spacing w:val="-14"/>
          <w:kern w:val="0"/>
          <w:sz w:val="56"/>
          <w:szCs w:val="56"/>
        </w:rPr>
      </w:pPr>
      <w:r>
        <w:rPr>
          <w:rFonts w:hint="eastAsia" w:ascii="方正小标宋_GBK" w:hAnsi="Times New Roman" w:eastAsia="方正小标宋_GBK"/>
          <w:snapToGrid w:val="0"/>
          <w:spacing w:val="-14"/>
          <w:kern w:val="0"/>
          <w:sz w:val="56"/>
          <w:szCs w:val="56"/>
        </w:rPr>
        <w:t>常州市“十四五”开放型经济发展规划</w:t>
      </w:r>
    </w:p>
    <w:p>
      <w:pPr>
        <w:adjustRightInd w:val="0"/>
        <w:spacing w:line="570" w:lineRule="exact"/>
        <w:jc w:val="center"/>
        <w:rPr>
          <w:rFonts w:hint="eastAsia" w:ascii="Times New Roman" w:hAnsi="Times New Roman" w:eastAsia="楷体_GB2312"/>
          <w:b/>
          <w:sz w:val="56"/>
          <w:szCs w:val="56"/>
        </w:rPr>
      </w:pPr>
    </w:p>
    <w:p>
      <w:pPr>
        <w:adjustRightInd w:val="0"/>
        <w:spacing w:line="570" w:lineRule="exact"/>
        <w:jc w:val="center"/>
        <w:rPr>
          <w:rFonts w:hint="eastAsia" w:ascii="Times New Roman" w:hAnsi="Times New Roman" w:eastAsia="楷体_GB2312"/>
          <w:b/>
          <w:sz w:val="56"/>
          <w:szCs w:val="56"/>
        </w:rPr>
      </w:pPr>
    </w:p>
    <w:p>
      <w:pPr>
        <w:adjustRightInd w:val="0"/>
        <w:spacing w:line="570" w:lineRule="exact"/>
        <w:jc w:val="center"/>
        <w:rPr>
          <w:rFonts w:hint="eastAsia" w:ascii="Times New Roman" w:hAnsi="Times New Roman" w:eastAsia="楷体_GB2312"/>
          <w:b/>
          <w:sz w:val="56"/>
          <w:szCs w:val="56"/>
        </w:rPr>
      </w:pPr>
    </w:p>
    <w:p>
      <w:pPr>
        <w:adjustRightInd w:val="0"/>
        <w:spacing w:line="570" w:lineRule="exact"/>
        <w:jc w:val="center"/>
        <w:rPr>
          <w:rFonts w:hint="eastAsia" w:ascii="Times New Roman" w:hAnsi="Times New Roman" w:eastAsia="楷体_GB2312"/>
          <w:b/>
          <w:sz w:val="56"/>
          <w:szCs w:val="56"/>
        </w:rPr>
      </w:pPr>
    </w:p>
    <w:p>
      <w:pPr>
        <w:adjustRightInd w:val="0"/>
        <w:spacing w:line="570" w:lineRule="exact"/>
        <w:jc w:val="center"/>
        <w:rPr>
          <w:rFonts w:hint="eastAsia" w:ascii="Times New Roman" w:hAnsi="Times New Roman" w:eastAsia="楷体_GB2312"/>
          <w:b/>
          <w:sz w:val="56"/>
          <w:szCs w:val="56"/>
        </w:rPr>
      </w:pPr>
    </w:p>
    <w:p>
      <w:pPr>
        <w:adjustRightInd w:val="0"/>
        <w:spacing w:line="570" w:lineRule="exact"/>
        <w:jc w:val="center"/>
        <w:rPr>
          <w:rFonts w:hint="eastAsia" w:ascii="Times New Roman" w:hAnsi="Times New Roman" w:eastAsia="楷体_GB2312"/>
          <w:b/>
          <w:sz w:val="56"/>
          <w:szCs w:val="56"/>
        </w:rPr>
      </w:pPr>
    </w:p>
    <w:p>
      <w:pPr>
        <w:adjustRightInd w:val="0"/>
        <w:spacing w:line="570" w:lineRule="exact"/>
        <w:jc w:val="center"/>
        <w:rPr>
          <w:rFonts w:hint="eastAsia" w:ascii="Times New Roman" w:hAnsi="Times New Roman" w:eastAsia="楷体_GB2312"/>
          <w:b/>
          <w:sz w:val="56"/>
          <w:szCs w:val="56"/>
        </w:rPr>
      </w:pPr>
    </w:p>
    <w:p>
      <w:pPr>
        <w:adjustRightInd w:val="0"/>
        <w:spacing w:line="570" w:lineRule="exact"/>
        <w:jc w:val="center"/>
        <w:rPr>
          <w:rFonts w:hint="eastAsia" w:ascii="Times New Roman" w:hAnsi="Times New Roman" w:eastAsia="楷体_GB2312"/>
          <w:b/>
          <w:sz w:val="56"/>
          <w:szCs w:val="56"/>
        </w:rPr>
      </w:pPr>
    </w:p>
    <w:p>
      <w:pPr>
        <w:adjustRightInd w:val="0"/>
        <w:spacing w:line="570" w:lineRule="exact"/>
        <w:jc w:val="center"/>
        <w:rPr>
          <w:rFonts w:ascii="Times New Roman" w:hAnsi="Times New Roman" w:eastAsia="楷体_GB2312"/>
          <w:b/>
          <w:sz w:val="56"/>
          <w:szCs w:val="56"/>
        </w:rPr>
        <w:sectPr>
          <w:footerReference r:id="rId5" w:type="first"/>
          <w:footerReference r:id="rId3" w:type="default"/>
          <w:footerReference r:id="rId4" w:type="even"/>
          <w:pgSz w:w="11906" w:h="16838"/>
          <w:pgMar w:top="2098" w:right="1531" w:bottom="1985" w:left="1531" w:header="709" w:footer="1361" w:gutter="0"/>
          <w:cols w:space="720" w:num="1"/>
          <w:titlePg/>
          <w:docGrid w:linePitch="312" w:charSpace="0"/>
        </w:sectPr>
      </w:pPr>
    </w:p>
    <w:p>
      <w:pPr>
        <w:adjustRightInd w:val="0"/>
        <w:snapToGrid w:val="0"/>
        <w:spacing w:line="570" w:lineRule="exact"/>
        <w:jc w:val="center"/>
        <w:rPr>
          <w:rFonts w:hint="eastAsia" w:ascii="方正小标宋_GBK" w:hAnsi="Times New Roman" w:eastAsia="方正小标宋_GBK"/>
          <w:sz w:val="44"/>
          <w:szCs w:val="44"/>
        </w:rPr>
      </w:pPr>
      <w:bookmarkStart w:id="0" w:name="_Toc428521125"/>
      <w:bookmarkStart w:id="1" w:name="_Toc13340"/>
    </w:p>
    <w:p>
      <w:pPr>
        <w:adjustRightInd w:val="0"/>
        <w:snapToGrid w:val="0"/>
        <w:spacing w:line="570" w:lineRule="exact"/>
        <w:jc w:val="center"/>
        <w:rPr>
          <w:rFonts w:hint="eastAsia" w:ascii="方正小标宋_GBK" w:hAnsi="Times New Roman" w:eastAsia="方正小标宋_GBK"/>
          <w:sz w:val="44"/>
          <w:szCs w:val="44"/>
        </w:rPr>
      </w:pPr>
      <w:r>
        <w:rPr>
          <w:rFonts w:hint="eastAsia" w:ascii="方正小标宋_GBK" w:hAnsi="Times New Roman" w:eastAsia="方正小标宋_GBK"/>
          <w:sz w:val="44"/>
          <w:szCs w:val="44"/>
        </w:rPr>
        <w:t>目    录</w:t>
      </w:r>
    </w:p>
    <w:p>
      <w:pPr>
        <w:adjustRightInd w:val="0"/>
        <w:snapToGrid w:val="0"/>
        <w:spacing w:line="570" w:lineRule="exact"/>
        <w:jc w:val="center"/>
        <w:rPr>
          <w:rFonts w:hint="eastAsia" w:ascii="方正小标宋_GBK" w:hAnsi="Times New Roman" w:eastAsia="方正小标宋_GBK"/>
          <w:sz w:val="32"/>
          <w:szCs w:val="32"/>
        </w:rPr>
      </w:pPr>
    </w:p>
    <w:p>
      <w:pPr>
        <w:overflowPunct w:val="0"/>
        <w:autoSpaceDE w:val="0"/>
        <w:autoSpaceDN w:val="0"/>
        <w:adjustRightInd w:val="0"/>
        <w:snapToGrid w:val="0"/>
        <w:spacing w:line="550" w:lineRule="exact"/>
        <w:ind w:firstLine="632" w:firstLineChars="200"/>
        <w:rPr>
          <w:rFonts w:ascii="Times New Roman" w:hAnsi="Times New Roman" w:eastAsia="方正仿宋_GBK"/>
          <w:spacing w:val="-2"/>
          <w:sz w:val="32"/>
          <w:szCs w:val="32"/>
        </w:rPr>
      </w:pPr>
      <w:r>
        <w:rPr>
          <w:rFonts w:ascii="Times New Roman" w:hAnsi="Times New Roman" w:eastAsia="方正仿宋_GBK"/>
          <w:spacing w:val="-2"/>
          <w:sz w:val="32"/>
          <w:szCs w:val="32"/>
        </w:rPr>
        <w:t>序  言</w:t>
      </w:r>
    </w:p>
    <w:p>
      <w:pPr>
        <w:overflowPunct w:val="0"/>
        <w:autoSpaceDE w:val="0"/>
        <w:autoSpaceDN w:val="0"/>
        <w:adjustRightInd w:val="0"/>
        <w:snapToGrid w:val="0"/>
        <w:spacing w:line="550" w:lineRule="exact"/>
        <w:ind w:firstLine="632" w:firstLineChars="200"/>
        <w:rPr>
          <w:rFonts w:ascii="Times New Roman" w:hAnsi="Times New Roman" w:eastAsia="方正黑体_GBK"/>
          <w:spacing w:val="-2"/>
          <w:sz w:val="32"/>
          <w:szCs w:val="32"/>
        </w:rPr>
      </w:pPr>
      <w:r>
        <w:rPr>
          <w:rFonts w:ascii="Times New Roman" w:hAnsi="Times New Roman" w:eastAsia="方正黑体_GBK"/>
          <w:spacing w:val="-2"/>
          <w:sz w:val="32"/>
          <w:szCs w:val="32"/>
        </w:rPr>
        <w:t>一、</w:t>
      </w:r>
      <w:r>
        <w:rPr>
          <w:rFonts w:ascii="Times New Roman" w:hAnsi="Times New Roman" w:eastAsia="方正黑体_GBK"/>
          <w:sz w:val="32"/>
          <w:szCs w:val="32"/>
        </w:rPr>
        <w:t>发展基础</w:t>
      </w:r>
    </w:p>
    <w:p>
      <w:pPr>
        <w:overflowPunct w:val="0"/>
        <w:autoSpaceDE w:val="0"/>
        <w:autoSpaceDN w:val="0"/>
        <w:adjustRightInd w:val="0"/>
        <w:snapToGrid w:val="0"/>
        <w:spacing w:line="550" w:lineRule="exact"/>
        <w:ind w:firstLine="632" w:firstLineChars="200"/>
        <w:rPr>
          <w:rFonts w:ascii="Times New Roman" w:hAnsi="Times New Roman" w:eastAsia="方正仿宋_GBK"/>
          <w:spacing w:val="-2"/>
          <w:sz w:val="32"/>
          <w:szCs w:val="32"/>
        </w:rPr>
      </w:pPr>
      <w:r>
        <w:rPr>
          <w:rFonts w:ascii="Times New Roman" w:hAnsi="Times New Roman" w:eastAsia="方正仿宋_GBK"/>
          <w:spacing w:val="-2"/>
          <w:sz w:val="32"/>
          <w:szCs w:val="32"/>
        </w:rPr>
        <w:t>（一）</w:t>
      </w:r>
      <w:r>
        <w:rPr>
          <w:rFonts w:ascii="Times New Roman" w:hAnsi="Times New Roman" w:eastAsia="方正仿宋_GBK"/>
          <w:sz w:val="32"/>
          <w:szCs w:val="32"/>
        </w:rPr>
        <w:t>发展成就</w:t>
      </w:r>
    </w:p>
    <w:p>
      <w:pPr>
        <w:overflowPunct w:val="0"/>
        <w:autoSpaceDE w:val="0"/>
        <w:autoSpaceDN w:val="0"/>
        <w:adjustRightInd w:val="0"/>
        <w:snapToGrid w:val="0"/>
        <w:spacing w:line="550" w:lineRule="exact"/>
        <w:ind w:firstLine="632" w:firstLineChars="200"/>
        <w:rPr>
          <w:rFonts w:ascii="Times New Roman" w:hAnsi="Times New Roman" w:eastAsia="方正仿宋_GBK"/>
          <w:spacing w:val="-2"/>
          <w:sz w:val="32"/>
          <w:szCs w:val="32"/>
        </w:rPr>
      </w:pPr>
      <w:r>
        <w:rPr>
          <w:rFonts w:ascii="Times New Roman" w:hAnsi="Times New Roman" w:eastAsia="方正仿宋_GBK"/>
          <w:spacing w:val="-2"/>
          <w:sz w:val="32"/>
          <w:szCs w:val="32"/>
        </w:rPr>
        <w:t>（二）</w:t>
      </w:r>
      <w:r>
        <w:rPr>
          <w:rFonts w:ascii="Times New Roman" w:hAnsi="Times New Roman" w:eastAsia="方正仿宋_GBK"/>
          <w:sz w:val="32"/>
          <w:szCs w:val="32"/>
        </w:rPr>
        <w:t>问题不足</w:t>
      </w:r>
    </w:p>
    <w:p>
      <w:pPr>
        <w:overflowPunct w:val="0"/>
        <w:autoSpaceDE w:val="0"/>
        <w:autoSpaceDN w:val="0"/>
        <w:adjustRightInd w:val="0"/>
        <w:snapToGrid w:val="0"/>
        <w:spacing w:line="550" w:lineRule="exact"/>
        <w:ind w:firstLine="632" w:firstLineChars="200"/>
        <w:rPr>
          <w:rFonts w:ascii="Times New Roman" w:hAnsi="Times New Roman" w:eastAsia="方正黑体_GBK"/>
          <w:spacing w:val="-2"/>
          <w:sz w:val="32"/>
          <w:szCs w:val="32"/>
        </w:rPr>
      </w:pPr>
      <w:r>
        <w:rPr>
          <w:rFonts w:ascii="Times New Roman" w:hAnsi="Times New Roman" w:eastAsia="方正黑体_GBK"/>
          <w:spacing w:val="-2"/>
          <w:sz w:val="32"/>
          <w:szCs w:val="32"/>
        </w:rPr>
        <w:t>二、发展环境</w:t>
      </w:r>
    </w:p>
    <w:p>
      <w:pPr>
        <w:overflowPunct w:val="0"/>
        <w:autoSpaceDE w:val="0"/>
        <w:autoSpaceDN w:val="0"/>
        <w:adjustRightInd w:val="0"/>
        <w:snapToGrid w:val="0"/>
        <w:spacing w:line="550" w:lineRule="exact"/>
        <w:ind w:firstLine="632" w:firstLineChars="200"/>
        <w:rPr>
          <w:rFonts w:ascii="Times New Roman" w:hAnsi="Times New Roman" w:eastAsia="方正仿宋_GBK"/>
          <w:spacing w:val="-2"/>
          <w:sz w:val="32"/>
          <w:szCs w:val="32"/>
        </w:rPr>
      </w:pPr>
      <w:r>
        <w:rPr>
          <w:rFonts w:ascii="Times New Roman" w:hAnsi="Times New Roman" w:eastAsia="方正仿宋_GBK"/>
          <w:spacing w:val="-2"/>
          <w:sz w:val="32"/>
          <w:szCs w:val="32"/>
        </w:rPr>
        <w:t>（一）</w:t>
      </w:r>
      <w:r>
        <w:rPr>
          <w:rFonts w:ascii="Times New Roman" w:hAnsi="Times New Roman" w:eastAsia="方正仿宋_GBK"/>
          <w:sz w:val="32"/>
          <w:szCs w:val="32"/>
        </w:rPr>
        <w:t>从挑战看</w:t>
      </w:r>
    </w:p>
    <w:p>
      <w:pPr>
        <w:overflowPunct w:val="0"/>
        <w:autoSpaceDE w:val="0"/>
        <w:autoSpaceDN w:val="0"/>
        <w:adjustRightInd w:val="0"/>
        <w:snapToGrid w:val="0"/>
        <w:spacing w:line="550" w:lineRule="exact"/>
        <w:ind w:firstLine="632" w:firstLineChars="200"/>
        <w:rPr>
          <w:rFonts w:ascii="Times New Roman" w:hAnsi="Times New Roman" w:eastAsia="方正仿宋_GBK"/>
          <w:spacing w:val="-2"/>
          <w:sz w:val="32"/>
          <w:szCs w:val="32"/>
        </w:rPr>
      </w:pPr>
      <w:r>
        <w:rPr>
          <w:rFonts w:ascii="Times New Roman" w:hAnsi="Times New Roman" w:eastAsia="方正仿宋_GBK"/>
          <w:spacing w:val="-2"/>
          <w:sz w:val="32"/>
          <w:szCs w:val="32"/>
        </w:rPr>
        <w:t>（二）</w:t>
      </w:r>
      <w:r>
        <w:rPr>
          <w:rFonts w:ascii="Times New Roman" w:hAnsi="Times New Roman" w:eastAsia="方正仿宋_GBK"/>
          <w:sz w:val="32"/>
          <w:szCs w:val="32"/>
        </w:rPr>
        <w:t>从机遇看</w:t>
      </w:r>
    </w:p>
    <w:p>
      <w:pPr>
        <w:overflowPunct w:val="0"/>
        <w:autoSpaceDE w:val="0"/>
        <w:autoSpaceDN w:val="0"/>
        <w:adjustRightInd w:val="0"/>
        <w:snapToGrid w:val="0"/>
        <w:spacing w:line="550" w:lineRule="exact"/>
        <w:ind w:firstLine="632" w:firstLineChars="200"/>
        <w:rPr>
          <w:rFonts w:ascii="Times New Roman" w:hAnsi="Times New Roman" w:eastAsia="方正黑体_GBK"/>
          <w:spacing w:val="-2"/>
          <w:sz w:val="32"/>
          <w:szCs w:val="32"/>
        </w:rPr>
      </w:pPr>
      <w:r>
        <w:rPr>
          <w:rFonts w:ascii="Times New Roman" w:hAnsi="Times New Roman" w:eastAsia="方正黑体_GBK"/>
          <w:spacing w:val="-2"/>
          <w:sz w:val="32"/>
          <w:szCs w:val="32"/>
        </w:rPr>
        <w:t>三、总体思路</w:t>
      </w:r>
    </w:p>
    <w:p>
      <w:pPr>
        <w:overflowPunct w:val="0"/>
        <w:autoSpaceDE w:val="0"/>
        <w:autoSpaceDN w:val="0"/>
        <w:adjustRightInd w:val="0"/>
        <w:snapToGrid w:val="0"/>
        <w:spacing w:line="550" w:lineRule="exact"/>
        <w:ind w:firstLine="632" w:firstLineChars="200"/>
        <w:rPr>
          <w:rFonts w:ascii="Times New Roman" w:hAnsi="Times New Roman" w:eastAsia="方正仿宋_GBK"/>
          <w:spacing w:val="-2"/>
          <w:sz w:val="32"/>
          <w:szCs w:val="32"/>
        </w:rPr>
      </w:pPr>
      <w:r>
        <w:rPr>
          <w:rFonts w:ascii="Times New Roman" w:hAnsi="Times New Roman" w:eastAsia="方正仿宋_GBK"/>
          <w:spacing w:val="-2"/>
          <w:sz w:val="32"/>
          <w:szCs w:val="32"/>
        </w:rPr>
        <w:t>（一）</w:t>
      </w:r>
      <w:r>
        <w:rPr>
          <w:rFonts w:ascii="Times New Roman" w:hAnsi="Times New Roman" w:eastAsia="方正仿宋_GBK"/>
          <w:sz w:val="32"/>
          <w:szCs w:val="32"/>
        </w:rPr>
        <w:t>指导思想</w:t>
      </w:r>
    </w:p>
    <w:p>
      <w:pPr>
        <w:overflowPunct w:val="0"/>
        <w:autoSpaceDE w:val="0"/>
        <w:autoSpaceDN w:val="0"/>
        <w:adjustRightInd w:val="0"/>
        <w:snapToGrid w:val="0"/>
        <w:spacing w:line="550" w:lineRule="exact"/>
        <w:ind w:firstLine="632" w:firstLineChars="200"/>
        <w:rPr>
          <w:rFonts w:ascii="Times New Roman" w:hAnsi="Times New Roman" w:eastAsia="方正仿宋_GBK"/>
          <w:spacing w:val="-2"/>
          <w:sz w:val="32"/>
          <w:szCs w:val="32"/>
        </w:rPr>
      </w:pPr>
      <w:r>
        <w:rPr>
          <w:rFonts w:ascii="Times New Roman" w:hAnsi="Times New Roman" w:eastAsia="方正仿宋_GBK"/>
          <w:spacing w:val="-2"/>
          <w:sz w:val="32"/>
          <w:szCs w:val="32"/>
        </w:rPr>
        <w:t>（二）</w:t>
      </w:r>
      <w:r>
        <w:rPr>
          <w:rFonts w:ascii="Times New Roman" w:hAnsi="Times New Roman" w:eastAsia="方正仿宋_GBK"/>
          <w:sz w:val="32"/>
          <w:szCs w:val="32"/>
        </w:rPr>
        <w:t>基本原则</w:t>
      </w:r>
    </w:p>
    <w:p>
      <w:pPr>
        <w:overflowPunct w:val="0"/>
        <w:autoSpaceDE w:val="0"/>
        <w:autoSpaceDN w:val="0"/>
        <w:adjustRightInd w:val="0"/>
        <w:snapToGrid w:val="0"/>
        <w:spacing w:line="550" w:lineRule="exact"/>
        <w:ind w:firstLine="632" w:firstLineChars="200"/>
        <w:rPr>
          <w:rFonts w:ascii="Times New Roman" w:hAnsi="Times New Roman" w:eastAsia="方正仿宋_GBK"/>
          <w:spacing w:val="-2"/>
          <w:sz w:val="32"/>
          <w:szCs w:val="32"/>
        </w:rPr>
      </w:pPr>
      <w:r>
        <w:rPr>
          <w:rFonts w:ascii="Times New Roman" w:hAnsi="Times New Roman" w:eastAsia="方正仿宋_GBK"/>
          <w:spacing w:val="-2"/>
          <w:sz w:val="32"/>
          <w:szCs w:val="32"/>
        </w:rPr>
        <w:t>（三）</w:t>
      </w:r>
      <w:r>
        <w:rPr>
          <w:rFonts w:ascii="Times New Roman" w:hAnsi="Times New Roman" w:eastAsia="方正仿宋_GBK"/>
          <w:sz w:val="32"/>
          <w:szCs w:val="32"/>
        </w:rPr>
        <w:t>发展目标</w:t>
      </w:r>
    </w:p>
    <w:p>
      <w:pPr>
        <w:overflowPunct w:val="0"/>
        <w:autoSpaceDE w:val="0"/>
        <w:autoSpaceDN w:val="0"/>
        <w:adjustRightInd w:val="0"/>
        <w:snapToGrid w:val="0"/>
        <w:spacing w:line="550" w:lineRule="exact"/>
        <w:ind w:firstLine="632" w:firstLineChars="200"/>
        <w:rPr>
          <w:rFonts w:ascii="Times New Roman" w:hAnsi="Times New Roman" w:eastAsia="方正仿宋_GBK"/>
          <w:spacing w:val="-2"/>
          <w:sz w:val="32"/>
          <w:szCs w:val="32"/>
        </w:rPr>
      </w:pPr>
      <w:r>
        <w:rPr>
          <w:rFonts w:ascii="Times New Roman" w:hAnsi="Times New Roman" w:eastAsia="方正仿宋_GBK"/>
          <w:spacing w:val="-2"/>
          <w:sz w:val="32"/>
          <w:szCs w:val="32"/>
        </w:rPr>
        <w:t>（四）</w:t>
      </w:r>
      <w:r>
        <w:rPr>
          <w:rFonts w:ascii="Times New Roman" w:hAnsi="Times New Roman" w:eastAsia="方正仿宋_GBK"/>
          <w:sz w:val="32"/>
          <w:szCs w:val="32"/>
        </w:rPr>
        <w:t>重点方向</w:t>
      </w:r>
    </w:p>
    <w:p>
      <w:pPr>
        <w:overflowPunct w:val="0"/>
        <w:autoSpaceDE w:val="0"/>
        <w:autoSpaceDN w:val="0"/>
        <w:adjustRightInd w:val="0"/>
        <w:snapToGrid w:val="0"/>
        <w:spacing w:line="550" w:lineRule="exact"/>
        <w:ind w:firstLine="632" w:firstLineChars="200"/>
        <w:rPr>
          <w:rFonts w:ascii="Times New Roman" w:hAnsi="Times New Roman" w:eastAsia="方正黑体_GBK"/>
          <w:spacing w:val="-2"/>
          <w:sz w:val="32"/>
          <w:szCs w:val="32"/>
        </w:rPr>
      </w:pPr>
      <w:r>
        <w:rPr>
          <w:rFonts w:ascii="Times New Roman" w:hAnsi="Times New Roman" w:eastAsia="方正黑体_GBK"/>
          <w:spacing w:val="-2"/>
          <w:sz w:val="32"/>
          <w:szCs w:val="32"/>
        </w:rPr>
        <w:t>四、转型升级，打造更高水平开发园区</w:t>
      </w:r>
    </w:p>
    <w:p>
      <w:pPr>
        <w:overflowPunct w:val="0"/>
        <w:autoSpaceDE w:val="0"/>
        <w:autoSpaceDN w:val="0"/>
        <w:adjustRightInd w:val="0"/>
        <w:snapToGrid w:val="0"/>
        <w:spacing w:line="550" w:lineRule="exact"/>
        <w:ind w:firstLine="632" w:firstLineChars="200"/>
        <w:rPr>
          <w:rFonts w:ascii="Times New Roman" w:hAnsi="Times New Roman" w:eastAsia="方正仿宋_GBK"/>
          <w:spacing w:val="-2"/>
          <w:sz w:val="32"/>
          <w:szCs w:val="32"/>
        </w:rPr>
      </w:pPr>
      <w:r>
        <w:rPr>
          <w:rFonts w:ascii="Times New Roman" w:hAnsi="Times New Roman" w:eastAsia="方正仿宋_GBK"/>
          <w:spacing w:val="-2"/>
          <w:sz w:val="32"/>
          <w:szCs w:val="32"/>
        </w:rPr>
        <w:t>（一）完善开发区布局</w:t>
      </w:r>
    </w:p>
    <w:p>
      <w:pPr>
        <w:overflowPunct w:val="0"/>
        <w:autoSpaceDE w:val="0"/>
        <w:autoSpaceDN w:val="0"/>
        <w:adjustRightInd w:val="0"/>
        <w:snapToGrid w:val="0"/>
        <w:spacing w:line="550" w:lineRule="exact"/>
        <w:ind w:firstLine="632" w:firstLineChars="200"/>
        <w:rPr>
          <w:rFonts w:ascii="Times New Roman" w:hAnsi="Times New Roman" w:eastAsia="方正仿宋_GBK"/>
          <w:spacing w:val="-2"/>
          <w:sz w:val="32"/>
          <w:szCs w:val="32"/>
        </w:rPr>
      </w:pPr>
      <w:r>
        <w:rPr>
          <w:rFonts w:ascii="Times New Roman" w:hAnsi="Times New Roman" w:eastAsia="方正仿宋_GBK"/>
          <w:spacing w:val="-2"/>
          <w:sz w:val="32"/>
          <w:szCs w:val="32"/>
        </w:rPr>
        <w:t>（二）推动开发区升级</w:t>
      </w:r>
    </w:p>
    <w:p>
      <w:pPr>
        <w:overflowPunct w:val="0"/>
        <w:autoSpaceDE w:val="0"/>
        <w:autoSpaceDN w:val="0"/>
        <w:adjustRightInd w:val="0"/>
        <w:snapToGrid w:val="0"/>
        <w:spacing w:line="550" w:lineRule="exact"/>
        <w:ind w:firstLine="632" w:firstLineChars="200"/>
        <w:rPr>
          <w:rFonts w:ascii="Times New Roman" w:hAnsi="Times New Roman" w:eastAsia="方正仿宋_GBK"/>
          <w:spacing w:val="-2"/>
          <w:sz w:val="32"/>
          <w:szCs w:val="32"/>
        </w:rPr>
      </w:pPr>
      <w:r>
        <w:rPr>
          <w:rFonts w:ascii="Times New Roman" w:hAnsi="Times New Roman" w:eastAsia="方正仿宋_GBK"/>
          <w:spacing w:val="-2"/>
          <w:sz w:val="32"/>
          <w:szCs w:val="32"/>
        </w:rPr>
        <w:t>（三）加快特色产业集聚</w:t>
      </w:r>
    </w:p>
    <w:p>
      <w:pPr>
        <w:overflowPunct w:val="0"/>
        <w:autoSpaceDE w:val="0"/>
        <w:autoSpaceDN w:val="0"/>
        <w:adjustRightInd w:val="0"/>
        <w:snapToGrid w:val="0"/>
        <w:spacing w:line="550" w:lineRule="exact"/>
        <w:ind w:firstLine="632" w:firstLineChars="200"/>
        <w:rPr>
          <w:rFonts w:ascii="Times New Roman" w:hAnsi="Times New Roman" w:eastAsia="方正仿宋_GBK"/>
          <w:spacing w:val="-2"/>
          <w:sz w:val="32"/>
          <w:szCs w:val="32"/>
        </w:rPr>
      </w:pPr>
      <w:r>
        <w:rPr>
          <w:rFonts w:ascii="Times New Roman" w:hAnsi="Times New Roman" w:eastAsia="方正仿宋_GBK"/>
          <w:spacing w:val="-2"/>
          <w:sz w:val="32"/>
          <w:szCs w:val="32"/>
        </w:rPr>
        <w:t>（四）加强开放平台建设</w:t>
      </w:r>
    </w:p>
    <w:p>
      <w:pPr>
        <w:overflowPunct w:val="0"/>
        <w:autoSpaceDE w:val="0"/>
        <w:autoSpaceDN w:val="0"/>
        <w:adjustRightInd w:val="0"/>
        <w:snapToGrid w:val="0"/>
        <w:spacing w:line="550" w:lineRule="exact"/>
        <w:ind w:firstLine="632" w:firstLineChars="200"/>
        <w:rPr>
          <w:rFonts w:ascii="Times New Roman" w:hAnsi="Times New Roman" w:eastAsia="方正仿宋_GBK"/>
          <w:spacing w:val="-2"/>
          <w:sz w:val="32"/>
          <w:szCs w:val="32"/>
        </w:rPr>
      </w:pPr>
      <w:r>
        <w:rPr>
          <w:rFonts w:ascii="Times New Roman" w:hAnsi="Times New Roman" w:eastAsia="方正仿宋_GBK"/>
          <w:spacing w:val="-2"/>
          <w:sz w:val="32"/>
          <w:szCs w:val="32"/>
        </w:rPr>
        <w:t>（五）推动园区管理体制改革</w:t>
      </w:r>
    </w:p>
    <w:p>
      <w:pPr>
        <w:overflowPunct w:val="0"/>
        <w:autoSpaceDE w:val="0"/>
        <w:autoSpaceDN w:val="0"/>
        <w:adjustRightInd w:val="0"/>
        <w:snapToGrid w:val="0"/>
        <w:spacing w:line="550" w:lineRule="exact"/>
        <w:ind w:firstLine="632" w:firstLineChars="200"/>
        <w:rPr>
          <w:rFonts w:ascii="Times New Roman" w:hAnsi="Times New Roman" w:eastAsia="方正黑体_GBK"/>
          <w:spacing w:val="-2"/>
          <w:sz w:val="32"/>
          <w:szCs w:val="32"/>
        </w:rPr>
      </w:pPr>
      <w:r>
        <w:rPr>
          <w:rFonts w:ascii="Times New Roman" w:hAnsi="Times New Roman" w:eastAsia="方正黑体_GBK"/>
          <w:spacing w:val="-2"/>
          <w:sz w:val="32"/>
          <w:szCs w:val="32"/>
        </w:rPr>
        <w:t>五、提质增效，强化利用外资质量和水平</w:t>
      </w:r>
    </w:p>
    <w:p>
      <w:pPr>
        <w:overflowPunct w:val="0"/>
        <w:autoSpaceDE w:val="0"/>
        <w:autoSpaceDN w:val="0"/>
        <w:adjustRightInd w:val="0"/>
        <w:snapToGrid w:val="0"/>
        <w:spacing w:line="550" w:lineRule="exact"/>
        <w:ind w:firstLine="632" w:firstLineChars="200"/>
        <w:rPr>
          <w:rFonts w:ascii="Times New Roman" w:hAnsi="Times New Roman" w:eastAsia="方正仿宋_GBK"/>
          <w:spacing w:val="-2"/>
          <w:sz w:val="32"/>
          <w:szCs w:val="32"/>
        </w:rPr>
      </w:pPr>
      <w:r>
        <w:rPr>
          <w:rFonts w:ascii="Times New Roman" w:hAnsi="Times New Roman" w:eastAsia="方正仿宋_GBK"/>
          <w:spacing w:val="-2"/>
          <w:sz w:val="32"/>
          <w:szCs w:val="32"/>
        </w:rPr>
        <w:t>（一）聚焦重点产业优质项目</w:t>
      </w:r>
    </w:p>
    <w:p>
      <w:pPr>
        <w:overflowPunct w:val="0"/>
        <w:autoSpaceDE w:val="0"/>
        <w:autoSpaceDN w:val="0"/>
        <w:adjustRightInd w:val="0"/>
        <w:snapToGrid w:val="0"/>
        <w:spacing w:line="550" w:lineRule="exact"/>
        <w:ind w:firstLine="632" w:firstLineChars="200"/>
        <w:rPr>
          <w:rFonts w:ascii="Times New Roman" w:hAnsi="Times New Roman" w:eastAsia="方正仿宋_GBK"/>
          <w:spacing w:val="-2"/>
          <w:sz w:val="32"/>
          <w:szCs w:val="32"/>
        </w:rPr>
      </w:pPr>
      <w:r>
        <w:rPr>
          <w:rFonts w:ascii="Times New Roman" w:hAnsi="Times New Roman" w:eastAsia="方正仿宋_GBK"/>
          <w:spacing w:val="-2"/>
          <w:sz w:val="32"/>
          <w:szCs w:val="32"/>
        </w:rPr>
        <w:t>（二）聚焦招商引资方式创新</w:t>
      </w:r>
    </w:p>
    <w:p>
      <w:pPr>
        <w:overflowPunct w:val="0"/>
        <w:autoSpaceDE w:val="0"/>
        <w:autoSpaceDN w:val="0"/>
        <w:adjustRightInd w:val="0"/>
        <w:snapToGrid w:val="0"/>
        <w:spacing w:line="550" w:lineRule="exact"/>
        <w:ind w:firstLine="632" w:firstLineChars="200"/>
        <w:rPr>
          <w:rFonts w:ascii="Times New Roman" w:hAnsi="Times New Roman" w:eastAsia="方正仿宋_GBK"/>
          <w:spacing w:val="-2"/>
          <w:sz w:val="32"/>
          <w:szCs w:val="32"/>
        </w:rPr>
      </w:pPr>
      <w:r>
        <w:rPr>
          <w:rFonts w:ascii="Times New Roman" w:hAnsi="Times New Roman" w:eastAsia="方正仿宋_GBK"/>
          <w:spacing w:val="-2"/>
          <w:sz w:val="32"/>
          <w:szCs w:val="32"/>
        </w:rPr>
        <w:t>（三）聚焦招商队伍建设</w:t>
      </w:r>
    </w:p>
    <w:p>
      <w:pPr>
        <w:overflowPunct w:val="0"/>
        <w:autoSpaceDE w:val="0"/>
        <w:autoSpaceDN w:val="0"/>
        <w:adjustRightInd w:val="0"/>
        <w:snapToGrid w:val="0"/>
        <w:spacing w:line="550" w:lineRule="exact"/>
        <w:ind w:firstLine="632" w:firstLineChars="200"/>
        <w:rPr>
          <w:rFonts w:ascii="Times New Roman" w:hAnsi="Times New Roman" w:eastAsia="方正黑体_GBK"/>
          <w:spacing w:val="-2"/>
          <w:sz w:val="32"/>
          <w:szCs w:val="32"/>
        </w:rPr>
      </w:pPr>
      <w:r>
        <w:rPr>
          <w:rFonts w:ascii="Times New Roman" w:hAnsi="Times New Roman" w:eastAsia="方正黑体_GBK"/>
          <w:spacing w:val="-2"/>
          <w:sz w:val="32"/>
          <w:szCs w:val="32"/>
        </w:rPr>
        <w:t>六、优进优出，加快转变外贸发展方式</w:t>
      </w:r>
    </w:p>
    <w:p>
      <w:pPr>
        <w:overflowPunct w:val="0"/>
        <w:autoSpaceDE w:val="0"/>
        <w:autoSpaceDN w:val="0"/>
        <w:adjustRightInd w:val="0"/>
        <w:snapToGrid w:val="0"/>
        <w:spacing w:line="550" w:lineRule="exact"/>
        <w:ind w:firstLine="632" w:firstLineChars="200"/>
        <w:rPr>
          <w:rFonts w:ascii="Times New Roman" w:hAnsi="Times New Roman" w:eastAsia="方正仿宋_GBK"/>
          <w:spacing w:val="-2"/>
          <w:sz w:val="32"/>
          <w:szCs w:val="32"/>
        </w:rPr>
      </w:pPr>
      <w:r>
        <w:rPr>
          <w:rFonts w:ascii="Times New Roman" w:hAnsi="Times New Roman" w:eastAsia="方正仿宋_GBK"/>
          <w:spacing w:val="-2"/>
          <w:sz w:val="32"/>
          <w:szCs w:val="32"/>
        </w:rPr>
        <w:t>（一）外贸强基行动</w:t>
      </w:r>
    </w:p>
    <w:p>
      <w:pPr>
        <w:overflowPunct w:val="0"/>
        <w:autoSpaceDE w:val="0"/>
        <w:autoSpaceDN w:val="0"/>
        <w:adjustRightInd w:val="0"/>
        <w:snapToGrid w:val="0"/>
        <w:spacing w:line="550" w:lineRule="exact"/>
        <w:ind w:firstLine="632" w:firstLineChars="200"/>
        <w:rPr>
          <w:rFonts w:ascii="Times New Roman" w:hAnsi="Times New Roman" w:eastAsia="方正仿宋_GBK"/>
          <w:spacing w:val="-2"/>
          <w:sz w:val="32"/>
          <w:szCs w:val="32"/>
        </w:rPr>
      </w:pPr>
      <w:r>
        <w:rPr>
          <w:rFonts w:ascii="Times New Roman" w:hAnsi="Times New Roman" w:eastAsia="方正仿宋_GBK"/>
          <w:spacing w:val="-2"/>
          <w:sz w:val="32"/>
          <w:szCs w:val="32"/>
        </w:rPr>
        <w:t>（二）外贸创新行动</w:t>
      </w:r>
    </w:p>
    <w:p>
      <w:pPr>
        <w:overflowPunct w:val="0"/>
        <w:autoSpaceDE w:val="0"/>
        <w:autoSpaceDN w:val="0"/>
        <w:adjustRightInd w:val="0"/>
        <w:snapToGrid w:val="0"/>
        <w:spacing w:line="550" w:lineRule="exact"/>
        <w:ind w:firstLine="632" w:firstLineChars="200"/>
        <w:rPr>
          <w:rFonts w:ascii="Times New Roman" w:hAnsi="Times New Roman" w:eastAsia="方正仿宋_GBK"/>
          <w:spacing w:val="-2"/>
          <w:sz w:val="32"/>
          <w:szCs w:val="32"/>
        </w:rPr>
      </w:pPr>
      <w:r>
        <w:rPr>
          <w:rFonts w:ascii="Times New Roman" w:hAnsi="Times New Roman" w:eastAsia="方正仿宋_GBK"/>
          <w:spacing w:val="-2"/>
          <w:sz w:val="32"/>
          <w:szCs w:val="32"/>
        </w:rPr>
        <w:t>（三）外贸护航行动</w:t>
      </w:r>
    </w:p>
    <w:p>
      <w:pPr>
        <w:overflowPunct w:val="0"/>
        <w:autoSpaceDE w:val="0"/>
        <w:autoSpaceDN w:val="0"/>
        <w:adjustRightInd w:val="0"/>
        <w:snapToGrid w:val="0"/>
        <w:spacing w:line="550" w:lineRule="exact"/>
        <w:ind w:firstLine="632" w:firstLineChars="200"/>
        <w:rPr>
          <w:rFonts w:ascii="Times New Roman" w:hAnsi="Times New Roman" w:eastAsia="方正黑体_GBK"/>
          <w:spacing w:val="-2"/>
          <w:sz w:val="32"/>
          <w:szCs w:val="32"/>
        </w:rPr>
      </w:pPr>
      <w:r>
        <w:rPr>
          <w:rFonts w:ascii="Times New Roman" w:hAnsi="Times New Roman" w:eastAsia="方正黑体_GBK"/>
          <w:spacing w:val="-2"/>
          <w:sz w:val="32"/>
          <w:szCs w:val="32"/>
        </w:rPr>
        <w:t>七、内外联动，推动企业更好“走出去”</w:t>
      </w:r>
    </w:p>
    <w:p>
      <w:pPr>
        <w:overflowPunct w:val="0"/>
        <w:autoSpaceDE w:val="0"/>
        <w:autoSpaceDN w:val="0"/>
        <w:adjustRightInd w:val="0"/>
        <w:snapToGrid w:val="0"/>
        <w:spacing w:line="550" w:lineRule="exact"/>
        <w:ind w:firstLine="632" w:firstLineChars="200"/>
        <w:rPr>
          <w:rFonts w:ascii="Times New Roman" w:hAnsi="Times New Roman" w:eastAsia="方正仿宋_GBK"/>
          <w:spacing w:val="-2"/>
          <w:sz w:val="32"/>
          <w:szCs w:val="32"/>
        </w:rPr>
      </w:pPr>
      <w:r>
        <w:rPr>
          <w:rFonts w:ascii="Times New Roman" w:hAnsi="Times New Roman" w:eastAsia="方正仿宋_GBK"/>
          <w:spacing w:val="-2"/>
          <w:sz w:val="32"/>
          <w:szCs w:val="32"/>
        </w:rPr>
        <w:t>（一）推动“一带一路”合作</w:t>
      </w:r>
    </w:p>
    <w:p>
      <w:pPr>
        <w:overflowPunct w:val="0"/>
        <w:autoSpaceDE w:val="0"/>
        <w:autoSpaceDN w:val="0"/>
        <w:adjustRightInd w:val="0"/>
        <w:snapToGrid w:val="0"/>
        <w:spacing w:line="550" w:lineRule="exact"/>
        <w:ind w:firstLine="632" w:firstLineChars="200"/>
        <w:rPr>
          <w:rFonts w:ascii="Times New Roman" w:hAnsi="Times New Roman" w:eastAsia="方正仿宋_GBK"/>
          <w:spacing w:val="-2"/>
          <w:sz w:val="32"/>
          <w:szCs w:val="32"/>
        </w:rPr>
      </w:pPr>
      <w:r>
        <w:rPr>
          <w:rFonts w:ascii="Times New Roman" w:hAnsi="Times New Roman" w:eastAsia="方正仿宋_GBK"/>
          <w:spacing w:val="-2"/>
          <w:sz w:val="32"/>
          <w:szCs w:val="32"/>
        </w:rPr>
        <w:t>（二）培育本土跨国公司</w:t>
      </w:r>
    </w:p>
    <w:p>
      <w:pPr>
        <w:overflowPunct w:val="0"/>
        <w:autoSpaceDE w:val="0"/>
        <w:autoSpaceDN w:val="0"/>
        <w:adjustRightInd w:val="0"/>
        <w:snapToGrid w:val="0"/>
        <w:spacing w:line="550" w:lineRule="exact"/>
        <w:ind w:firstLine="632" w:firstLineChars="200"/>
        <w:rPr>
          <w:rFonts w:ascii="Times New Roman" w:hAnsi="Times New Roman" w:eastAsia="方正仿宋_GBK"/>
          <w:spacing w:val="-2"/>
          <w:sz w:val="32"/>
          <w:szCs w:val="32"/>
        </w:rPr>
      </w:pPr>
      <w:r>
        <w:rPr>
          <w:rFonts w:ascii="Times New Roman" w:hAnsi="Times New Roman" w:eastAsia="方正仿宋_GBK"/>
          <w:spacing w:val="-2"/>
          <w:sz w:val="32"/>
          <w:szCs w:val="32"/>
        </w:rPr>
        <w:t>（三）推动境外园区建设</w:t>
      </w:r>
    </w:p>
    <w:p>
      <w:pPr>
        <w:overflowPunct w:val="0"/>
        <w:autoSpaceDE w:val="0"/>
        <w:autoSpaceDN w:val="0"/>
        <w:adjustRightInd w:val="0"/>
        <w:snapToGrid w:val="0"/>
        <w:spacing w:line="550" w:lineRule="exact"/>
        <w:ind w:firstLine="632" w:firstLineChars="200"/>
        <w:rPr>
          <w:rFonts w:ascii="Times New Roman" w:hAnsi="Times New Roman" w:eastAsia="方正仿宋_GBK"/>
          <w:spacing w:val="-2"/>
          <w:sz w:val="32"/>
          <w:szCs w:val="32"/>
        </w:rPr>
      </w:pPr>
      <w:r>
        <w:rPr>
          <w:rFonts w:ascii="Times New Roman" w:hAnsi="Times New Roman" w:eastAsia="方正仿宋_GBK"/>
          <w:spacing w:val="-2"/>
          <w:sz w:val="32"/>
          <w:szCs w:val="32"/>
        </w:rPr>
        <w:t>（四）打造支撑服务体系</w:t>
      </w:r>
    </w:p>
    <w:p>
      <w:pPr>
        <w:overflowPunct w:val="0"/>
        <w:autoSpaceDE w:val="0"/>
        <w:autoSpaceDN w:val="0"/>
        <w:adjustRightInd w:val="0"/>
        <w:snapToGrid w:val="0"/>
        <w:spacing w:line="550" w:lineRule="exact"/>
        <w:ind w:firstLine="632" w:firstLineChars="200"/>
        <w:rPr>
          <w:rFonts w:ascii="Times New Roman" w:hAnsi="Times New Roman" w:eastAsia="方正黑体_GBK"/>
          <w:spacing w:val="-2"/>
          <w:sz w:val="32"/>
          <w:szCs w:val="32"/>
        </w:rPr>
      </w:pPr>
      <w:r>
        <w:rPr>
          <w:rFonts w:ascii="Times New Roman" w:hAnsi="Times New Roman" w:eastAsia="方正黑体_GBK"/>
          <w:spacing w:val="-2"/>
          <w:sz w:val="32"/>
          <w:szCs w:val="32"/>
        </w:rPr>
        <w:t>八、整合提升，优化口岸开放功能</w:t>
      </w:r>
    </w:p>
    <w:p>
      <w:pPr>
        <w:overflowPunct w:val="0"/>
        <w:autoSpaceDE w:val="0"/>
        <w:autoSpaceDN w:val="0"/>
        <w:adjustRightInd w:val="0"/>
        <w:snapToGrid w:val="0"/>
        <w:spacing w:line="550" w:lineRule="exact"/>
        <w:ind w:firstLine="632" w:firstLineChars="200"/>
        <w:rPr>
          <w:rFonts w:ascii="Times New Roman" w:hAnsi="Times New Roman" w:eastAsia="方正仿宋_GBK"/>
          <w:spacing w:val="-2"/>
          <w:sz w:val="32"/>
          <w:szCs w:val="32"/>
        </w:rPr>
      </w:pPr>
      <w:r>
        <w:rPr>
          <w:rFonts w:ascii="Times New Roman" w:hAnsi="Times New Roman" w:eastAsia="方正仿宋_GBK"/>
          <w:spacing w:val="-2"/>
          <w:sz w:val="32"/>
          <w:szCs w:val="32"/>
        </w:rPr>
        <w:t>（一）优化口岸布局</w:t>
      </w:r>
    </w:p>
    <w:p>
      <w:pPr>
        <w:overflowPunct w:val="0"/>
        <w:autoSpaceDE w:val="0"/>
        <w:autoSpaceDN w:val="0"/>
        <w:adjustRightInd w:val="0"/>
        <w:snapToGrid w:val="0"/>
        <w:spacing w:line="550" w:lineRule="exact"/>
        <w:ind w:firstLine="632" w:firstLineChars="200"/>
        <w:rPr>
          <w:rFonts w:ascii="Times New Roman" w:hAnsi="Times New Roman" w:eastAsia="方正仿宋_GBK"/>
          <w:spacing w:val="-2"/>
          <w:sz w:val="32"/>
          <w:szCs w:val="32"/>
        </w:rPr>
      </w:pPr>
      <w:r>
        <w:rPr>
          <w:rFonts w:ascii="Times New Roman" w:hAnsi="Times New Roman" w:eastAsia="方正仿宋_GBK"/>
          <w:spacing w:val="-2"/>
          <w:sz w:val="32"/>
          <w:szCs w:val="32"/>
        </w:rPr>
        <w:t>（二）提升口岸功能</w:t>
      </w:r>
    </w:p>
    <w:p>
      <w:pPr>
        <w:overflowPunct w:val="0"/>
        <w:autoSpaceDE w:val="0"/>
        <w:autoSpaceDN w:val="0"/>
        <w:adjustRightInd w:val="0"/>
        <w:snapToGrid w:val="0"/>
        <w:spacing w:line="550" w:lineRule="exact"/>
        <w:ind w:firstLine="632" w:firstLineChars="200"/>
        <w:rPr>
          <w:rFonts w:ascii="Times New Roman" w:hAnsi="Times New Roman" w:eastAsia="方正仿宋_GBK"/>
          <w:spacing w:val="-2"/>
          <w:sz w:val="32"/>
          <w:szCs w:val="32"/>
        </w:rPr>
      </w:pPr>
      <w:r>
        <w:rPr>
          <w:rFonts w:ascii="Times New Roman" w:hAnsi="Times New Roman" w:eastAsia="方正仿宋_GBK"/>
          <w:spacing w:val="-2"/>
          <w:sz w:val="32"/>
          <w:szCs w:val="32"/>
        </w:rPr>
        <w:t>（三）优化服务效能</w:t>
      </w:r>
    </w:p>
    <w:p>
      <w:pPr>
        <w:overflowPunct w:val="0"/>
        <w:autoSpaceDE w:val="0"/>
        <w:autoSpaceDN w:val="0"/>
        <w:adjustRightInd w:val="0"/>
        <w:snapToGrid w:val="0"/>
        <w:spacing w:line="550" w:lineRule="exact"/>
        <w:ind w:firstLine="632" w:firstLineChars="200"/>
        <w:rPr>
          <w:rFonts w:ascii="Times New Roman" w:hAnsi="Times New Roman" w:eastAsia="方正黑体_GBK"/>
          <w:spacing w:val="-2"/>
          <w:sz w:val="32"/>
          <w:szCs w:val="32"/>
        </w:rPr>
      </w:pPr>
      <w:r>
        <w:rPr>
          <w:rFonts w:ascii="Times New Roman" w:hAnsi="Times New Roman" w:eastAsia="方正黑体_GBK"/>
          <w:spacing w:val="-2"/>
          <w:sz w:val="32"/>
          <w:szCs w:val="32"/>
        </w:rPr>
        <w:t>九、优化环境，提升城市国际化功能</w:t>
      </w:r>
    </w:p>
    <w:p>
      <w:pPr>
        <w:overflowPunct w:val="0"/>
        <w:autoSpaceDE w:val="0"/>
        <w:autoSpaceDN w:val="0"/>
        <w:adjustRightInd w:val="0"/>
        <w:snapToGrid w:val="0"/>
        <w:spacing w:line="550" w:lineRule="exact"/>
        <w:ind w:firstLine="632" w:firstLineChars="200"/>
        <w:rPr>
          <w:rFonts w:ascii="Times New Roman" w:hAnsi="Times New Roman" w:eastAsia="方正仿宋_GBK"/>
          <w:spacing w:val="-2"/>
          <w:sz w:val="32"/>
          <w:szCs w:val="32"/>
        </w:rPr>
      </w:pPr>
      <w:r>
        <w:rPr>
          <w:rFonts w:ascii="Times New Roman" w:hAnsi="Times New Roman" w:eastAsia="方正仿宋_GBK"/>
          <w:spacing w:val="-2"/>
          <w:sz w:val="32"/>
          <w:szCs w:val="32"/>
        </w:rPr>
        <w:t>（一）提升教育国际化功能</w:t>
      </w:r>
    </w:p>
    <w:p>
      <w:pPr>
        <w:overflowPunct w:val="0"/>
        <w:autoSpaceDE w:val="0"/>
        <w:autoSpaceDN w:val="0"/>
        <w:adjustRightInd w:val="0"/>
        <w:snapToGrid w:val="0"/>
        <w:spacing w:line="550" w:lineRule="exact"/>
        <w:ind w:firstLine="632" w:firstLineChars="200"/>
        <w:rPr>
          <w:rFonts w:ascii="Times New Roman" w:hAnsi="Times New Roman" w:eastAsia="方正仿宋_GBK"/>
          <w:spacing w:val="-2"/>
          <w:sz w:val="32"/>
          <w:szCs w:val="32"/>
        </w:rPr>
      </w:pPr>
      <w:r>
        <w:rPr>
          <w:rFonts w:ascii="Times New Roman" w:hAnsi="Times New Roman" w:eastAsia="方正仿宋_GBK"/>
          <w:spacing w:val="-2"/>
          <w:sz w:val="32"/>
          <w:szCs w:val="32"/>
        </w:rPr>
        <w:t>（二）提升医疗国际化功能</w:t>
      </w:r>
    </w:p>
    <w:p>
      <w:pPr>
        <w:overflowPunct w:val="0"/>
        <w:autoSpaceDE w:val="0"/>
        <w:autoSpaceDN w:val="0"/>
        <w:adjustRightInd w:val="0"/>
        <w:snapToGrid w:val="0"/>
        <w:spacing w:line="550" w:lineRule="exact"/>
        <w:ind w:firstLine="632" w:firstLineChars="200"/>
        <w:rPr>
          <w:rFonts w:ascii="Times New Roman" w:hAnsi="Times New Roman" w:eastAsia="方正仿宋_GBK"/>
          <w:spacing w:val="-2"/>
          <w:sz w:val="32"/>
          <w:szCs w:val="32"/>
        </w:rPr>
      </w:pPr>
      <w:r>
        <w:rPr>
          <w:rFonts w:ascii="Times New Roman" w:hAnsi="Times New Roman" w:eastAsia="方正仿宋_GBK"/>
          <w:spacing w:val="-2"/>
          <w:sz w:val="32"/>
          <w:szCs w:val="32"/>
        </w:rPr>
        <w:t>（三）提升居住环境国际化功能</w:t>
      </w:r>
    </w:p>
    <w:p>
      <w:pPr>
        <w:overflowPunct w:val="0"/>
        <w:autoSpaceDE w:val="0"/>
        <w:autoSpaceDN w:val="0"/>
        <w:adjustRightInd w:val="0"/>
        <w:snapToGrid w:val="0"/>
        <w:spacing w:line="550" w:lineRule="exact"/>
        <w:ind w:firstLine="632" w:firstLineChars="200"/>
        <w:rPr>
          <w:rFonts w:ascii="Times New Roman" w:hAnsi="Times New Roman" w:eastAsia="方正仿宋_GBK"/>
          <w:spacing w:val="-2"/>
          <w:sz w:val="32"/>
          <w:szCs w:val="32"/>
        </w:rPr>
      </w:pPr>
      <w:r>
        <w:rPr>
          <w:rFonts w:ascii="Times New Roman" w:hAnsi="Times New Roman" w:eastAsia="方正仿宋_GBK"/>
          <w:spacing w:val="-2"/>
          <w:sz w:val="32"/>
          <w:szCs w:val="32"/>
        </w:rPr>
        <w:t>（四）提升餐饮配套国际化功能</w:t>
      </w:r>
    </w:p>
    <w:p>
      <w:pPr>
        <w:overflowPunct w:val="0"/>
        <w:autoSpaceDE w:val="0"/>
        <w:autoSpaceDN w:val="0"/>
        <w:adjustRightInd w:val="0"/>
        <w:snapToGrid w:val="0"/>
        <w:spacing w:line="550" w:lineRule="exact"/>
        <w:ind w:firstLine="632" w:firstLineChars="200"/>
        <w:rPr>
          <w:rFonts w:ascii="Times New Roman" w:hAnsi="Times New Roman" w:eastAsia="方正仿宋_GBK"/>
          <w:spacing w:val="-2"/>
          <w:sz w:val="32"/>
          <w:szCs w:val="32"/>
        </w:rPr>
      </w:pPr>
      <w:r>
        <w:rPr>
          <w:rFonts w:ascii="Times New Roman" w:hAnsi="Times New Roman" w:eastAsia="方正仿宋_GBK"/>
          <w:spacing w:val="-2"/>
          <w:sz w:val="32"/>
          <w:szCs w:val="32"/>
        </w:rPr>
        <w:t>（五）提升国际化营商环境</w:t>
      </w:r>
    </w:p>
    <w:p>
      <w:pPr>
        <w:overflowPunct w:val="0"/>
        <w:autoSpaceDE w:val="0"/>
        <w:autoSpaceDN w:val="0"/>
        <w:adjustRightInd w:val="0"/>
        <w:snapToGrid w:val="0"/>
        <w:spacing w:line="550" w:lineRule="exact"/>
        <w:ind w:firstLine="632" w:firstLineChars="200"/>
        <w:rPr>
          <w:rFonts w:ascii="Times New Roman" w:hAnsi="Times New Roman" w:eastAsia="方正黑体_GBK"/>
          <w:spacing w:val="-2"/>
          <w:sz w:val="32"/>
          <w:szCs w:val="32"/>
        </w:rPr>
      </w:pPr>
      <w:r>
        <w:rPr>
          <w:rFonts w:ascii="Times New Roman" w:hAnsi="Times New Roman" w:eastAsia="方正黑体_GBK"/>
          <w:spacing w:val="-2"/>
          <w:sz w:val="32"/>
          <w:szCs w:val="32"/>
        </w:rPr>
        <w:t>十、深化合作，着力推动全方位开放</w:t>
      </w:r>
    </w:p>
    <w:p>
      <w:pPr>
        <w:overflowPunct w:val="0"/>
        <w:autoSpaceDE w:val="0"/>
        <w:autoSpaceDN w:val="0"/>
        <w:adjustRightInd w:val="0"/>
        <w:snapToGrid w:val="0"/>
        <w:spacing w:line="550" w:lineRule="exact"/>
        <w:ind w:firstLine="640" w:firstLineChars="200"/>
        <w:rPr>
          <w:rFonts w:ascii="Times New Roman" w:hAnsi="Times New Roman" w:eastAsia="方正仿宋_GBK"/>
          <w:spacing w:val="-2"/>
          <w:sz w:val="32"/>
          <w:szCs w:val="32"/>
        </w:rPr>
      </w:pPr>
      <w:r>
        <w:rPr>
          <w:rFonts w:ascii="Times New Roman" w:hAnsi="Times New Roman" w:eastAsia="方正仿宋_GBK"/>
          <w:sz w:val="32"/>
          <w:szCs w:val="32"/>
        </w:rPr>
        <w:t>（一）加强国际人文交流</w:t>
      </w:r>
    </w:p>
    <w:p>
      <w:pPr>
        <w:overflowPunct w:val="0"/>
        <w:autoSpaceDE w:val="0"/>
        <w:autoSpaceDN w:val="0"/>
        <w:adjustRightInd w:val="0"/>
        <w:snapToGrid w:val="0"/>
        <w:spacing w:line="550" w:lineRule="exact"/>
        <w:ind w:firstLine="640" w:firstLineChars="200"/>
        <w:rPr>
          <w:rFonts w:ascii="Times New Roman" w:hAnsi="Times New Roman" w:eastAsia="方正仿宋_GBK"/>
          <w:spacing w:val="-2"/>
          <w:sz w:val="32"/>
          <w:szCs w:val="32"/>
        </w:rPr>
      </w:pPr>
      <w:r>
        <w:rPr>
          <w:rFonts w:ascii="Times New Roman" w:hAnsi="Times New Roman" w:eastAsia="方正仿宋_GBK"/>
          <w:sz w:val="32"/>
          <w:szCs w:val="32"/>
        </w:rPr>
        <w:t>（二）加强国际友城合作</w:t>
      </w:r>
    </w:p>
    <w:p>
      <w:pPr>
        <w:overflowPunct w:val="0"/>
        <w:autoSpaceDE w:val="0"/>
        <w:autoSpaceDN w:val="0"/>
        <w:adjustRightInd w:val="0"/>
        <w:snapToGrid w:val="0"/>
        <w:spacing w:line="550" w:lineRule="exact"/>
        <w:ind w:firstLine="640" w:firstLineChars="200"/>
        <w:rPr>
          <w:rFonts w:ascii="Times New Roman" w:hAnsi="Times New Roman" w:eastAsia="方正仿宋_GBK"/>
          <w:spacing w:val="-2"/>
          <w:sz w:val="32"/>
          <w:szCs w:val="32"/>
        </w:rPr>
      </w:pPr>
      <w:r>
        <w:rPr>
          <w:rFonts w:ascii="Times New Roman" w:hAnsi="Times New Roman" w:eastAsia="方正仿宋_GBK"/>
          <w:sz w:val="32"/>
          <w:szCs w:val="32"/>
        </w:rPr>
        <w:t>（三）加强国际经贸交流</w:t>
      </w:r>
    </w:p>
    <w:p>
      <w:pPr>
        <w:overflowPunct w:val="0"/>
        <w:autoSpaceDE w:val="0"/>
        <w:autoSpaceDN w:val="0"/>
        <w:adjustRightInd w:val="0"/>
        <w:snapToGrid w:val="0"/>
        <w:spacing w:line="550" w:lineRule="exact"/>
        <w:ind w:firstLine="640" w:firstLineChars="200"/>
        <w:rPr>
          <w:rFonts w:ascii="Times New Roman" w:hAnsi="Times New Roman" w:eastAsia="方正仿宋_GBK"/>
          <w:spacing w:val="-2"/>
          <w:sz w:val="32"/>
          <w:szCs w:val="32"/>
        </w:rPr>
      </w:pPr>
      <w:r>
        <w:rPr>
          <w:rFonts w:ascii="Times New Roman" w:hAnsi="Times New Roman" w:eastAsia="方正仿宋_GBK"/>
          <w:sz w:val="32"/>
          <w:szCs w:val="32"/>
        </w:rPr>
        <w:t>（四）加强涉外服务水平</w:t>
      </w:r>
    </w:p>
    <w:p>
      <w:pPr>
        <w:overflowPunct w:val="0"/>
        <w:autoSpaceDE w:val="0"/>
        <w:autoSpaceDN w:val="0"/>
        <w:adjustRightInd w:val="0"/>
        <w:snapToGrid w:val="0"/>
        <w:spacing w:line="550" w:lineRule="exact"/>
        <w:ind w:firstLine="632" w:firstLineChars="200"/>
        <w:rPr>
          <w:rFonts w:ascii="Times New Roman" w:hAnsi="Times New Roman" w:eastAsia="方正黑体_GBK"/>
          <w:spacing w:val="-2"/>
          <w:sz w:val="32"/>
          <w:szCs w:val="32"/>
        </w:rPr>
      </w:pPr>
      <w:r>
        <w:rPr>
          <w:rFonts w:ascii="Times New Roman" w:hAnsi="Times New Roman" w:eastAsia="方正黑体_GBK"/>
          <w:spacing w:val="-2"/>
          <w:sz w:val="32"/>
          <w:szCs w:val="32"/>
        </w:rPr>
        <w:t>十一、实施保障</w:t>
      </w:r>
    </w:p>
    <w:p>
      <w:pPr>
        <w:overflowPunct w:val="0"/>
        <w:autoSpaceDE w:val="0"/>
        <w:autoSpaceDN w:val="0"/>
        <w:adjustRightInd w:val="0"/>
        <w:snapToGrid w:val="0"/>
        <w:spacing w:line="550" w:lineRule="exact"/>
        <w:ind w:firstLine="632" w:firstLineChars="200"/>
        <w:rPr>
          <w:rFonts w:ascii="Times New Roman" w:hAnsi="Times New Roman" w:eastAsia="方正仿宋_GBK"/>
          <w:spacing w:val="-2"/>
          <w:sz w:val="32"/>
          <w:szCs w:val="32"/>
        </w:rPr>
      </w:pPr>
      <w:r>
        <w:rPr>
          <w:rFonts w:ascii="Times New Roman" w:hAnsi="Times New Roman" w:eastAsia="方正仿宋_GBK"/>
          <w:spacing w:val="-2"/>
          <w:sz w:val="32"/>
          <w:szCs w:val="32"/>
        </w:rPr>
        <w:t>（一）加强组织领导</w:t>
      </w:r>
    </w:p>
    <w:p>
      <w:pPr>
        <w:overflowPunct w:val="0"/>
        <w:autoSpaceDE w:val="0"/>
        <w:autoSpaceDN w:val="0"/>
        <w:adjustRightInd w:val="0"/>
        <w:snapToGrid w:val="0"/>
        <w:spacing w:line="550" w:lineRule="exact"/>
        <w:ind w:firstLine="632" w:firstLineChars="200"/>
        <w:rPr>
          <w:rFonts w:ascii="Times New Roman" w:hAnsi="Times New Roman" w:eastAsia="方正仿宋_GBK"/>
          <w:spacing w:val="-2"/>
          <w:sz w:val="32"/>
          <w:szCs w:val="32"/>
        </w:rPr>
      </w:pPr>
      <w:r>
        <w:rPr>
          <w:rFonts w:ascii="Times New Roman" w:hAnsi="Times New Roman" w:eastAsia="方正仿宋_GBK"/>
          <w:spacing w:val="-2"/>
          <w:sz w:val="32"/>
          <w:szCs w:val="32"/>
        </w:rPr>
        <w:t>（二）优化考核评价</w:t>
      </w:r>
    </w:p>
    <w:p>
      <w:pPr>
        <w:overflowPunct w:val="0"/>
        <w:autoSpaceDE w:val="0"/>
        <w:autoSpaceDN w:val="0"/>
        <w:adjustRightInd w:val="0"/>
        <w:snapToGrid w:val="0"/>
        <w:spacing w:line="550" w:lineRule="exact"/>
        <w:ind w:firstLine="632" w:firstLineChars="200"/>
        <w:rPr>
          <w:rFonts w:ascii="Times New Roman" w:hAnsi="Times New Roman" w:eastAsia="方正仿宋_GBK"/>
          <w:spacing w:val="-2"/>
          <w:sz w:val="32"/>
          <w:szCs w:val="32"/>
        </w:rPr>
      </w:pPr>
      <w:r>
        <w:rPr>
          <w:rFonts w:ascii="Times New Roman" w:hAnsi="Times New Roman" w:eastAsia="方正仿宋_GBK"/>
          <w:spacing w:val="-2"/>
          <w:sz w:val="32"/>
          <w:szCs w:val="32"/>
        </w:rPr>
        <w:t>（三）强化政策保障</w:t>
      </w:r>
    </w:p>
    <w:p>
      <w:pPr>
        <w:overflowPunct w:val="0"/>
        <w:autoSpaceDE w:val="0"/>
        <w:autoSpaceDN w:val="0"/>
        <w:adjustRightInd w:val="0"/>
        <w:snapToGrid w:val="0"/>
        <w:spacing w:line="550" w:lineRule="exact"/>
        <w:ind w:firstLine="632" w:firstLineChars="200"/>
        <w:rPr>
          <w:rFonts w:ascii="Times New Roman" w:hAnsi="Times New Roman" w:eastAsia="方正仿宋_GBK"/>
          <w:spacing w:val="-2"/>
          <w:sz w:val="32"/>
          <w:szCs w:val="32"/>
        </w:rPr>
      </w:pPr>
      <w:r>
        <w:rPr>
          <w:rFonts w:ascii="Times New Roman" w:hAnsi="Times New Roman" w:eastAsia="方正仿宋_GBK"/>
          <w:spacing w:val="-2"/>
          <w:sz w:val="32"/>
          <w:szCs w:val="32"/>
        </w:rPr>
        <w:t>（四）提升服务水平</w:t>
      </w:r>
      <w:bookmarkEnd w:id="0"/>
      <w:bookmarkEnd w:id="1"/>
    </w:p>
    <w:p>
      <w:pPr>
        <w:adjustRightInd w:val="0"/>
        <w:spacing w:line="560" w:lineRule="exact"/>
        <w:ind w:firstLine="640"/>
        <w:rPr>
          <w:rFonts w:hint="eastAsia" w:ascii="宋体" w:hAnsi="宋体"/>
          <w:spacing w:val="-2"/>
          <w:sz w:val="32"/>
          <w:szCs w:val="32"/>
        </w:rPr>
      </w:pPr>
    </w:p>
    <w:p>
      <w:pPr>
        <w:adjustRightInd w:val="0"/>
        <w:spacing w:line="570" w:lineRule="exact"/>
        <w:jc w:val="center"/>
        <w:rPr>
          <w:rFonts w:hint="eastAsia" w:ascii="方正小标宋_GBK" w:hAnsi="Times New Roman" w:eastAsia="方正小标宋_GBK"/>
        </w:rPr>
      </w:pPr>
      <w:r>
        <w:rPr>
          <w:rFonts w:ascii="宋体" w:hAnsi="宋体"/>
          <w:spacing w:val="-2"/>
          <w:sz w:val="32"/>
          <w:szCs w:val="32"/>
        </w:rPr>
        <w:br w:type="page"/>
      </w:r>
    </w:p>
    <w:p>
      <w:pPr>
        <w:adjustRightInd w:val="0"/>
        <w:spacing w:line="570" w:lineRule="exact"/>
        <w:jc w:val="center"/>
        <w:rPr>
          <w:rFonts w:hint="eastAsia" w:ascii="方正小标宋_GBK" w:hAnsi="Times New Roman" w:eastAsia="方正小标宋_GBK"/>
          <w:sz w:val="44"/>
          <w:szCs w:val="44"/>
        </w:rPr>
      </w:pPr>
      <w:r>
        <w:rPr>
          <w:rFonts w:hint="eastAsia" w:ascii="方正小标宋_GBK" w:hAnsi="Times New Roman" w:eastAsia="方正小标宋_GBK"/>
          <w:sz w:val="44"/>
          <w:szCs w:val="44"/>
        </w:rPr>
        <w:t>序    言</w:t>
      </w:r>
    </w:p>
    <w:p>
      <w:pPr>
        <w:adjustRightInd w:val="0"/>
        <w:spacing w:line="570" w:lineRule="exact"/>
        <w:jc w:val="center"/>
        <w:rPr>
          <w:rFonts w:hint="eastAsia" w:ascii="方正小标宋_GBK" w:hAnsi="Times New Roman" w:eastAsia="方正小标宋_GBK"/>
          <w:sz w:val="44"/>
          <w:szCs w:val="44"/>
        </w:rPr>
      </w:pPr>
    </w:p>
    <w:p>
      <w:pPr>
        <w:overflowPunct w:val="0"/>
        <w:autoSpaceDE w:val="0"/>
        <w:autoSpaceDN w:val="0"/>
        <w:adjustRightInd w:val="0"/>
        <w:snapToGrid w:val="0"/>
        <w:spacing w:line="570" w:lineRule="exact"/>
        <w:ind w:firstLine="641"/>
        <w:rPr>
          <w:rFonts w:ascii="Times New Roman" w:hAnsi="Times New Roman" w:eastAsia="方正仿宋_GBK"/>
          <w:snapToGrid w:val="0"/>
          <w:spacing w:val="-6"/>
          <w:kern w:val="0"/>
          <w:sz w:val="32"/>
          <w:szCs w:val="32"/>
        </w:rPr>
      </w:pPr>
      <w:r>
        <w:rPr>
          <w:rFonts w:ascii="Times New Roman" w:hAnsi="Times New Roman" w:eastAsia="方正仿宋_GBK"/>
          <w:snapToGrid w:val="0"/>
          <w:spacing w:val="-6"/>
          <w:kern w:val="0"/>
          <w:sz w:val="32"/>
          <w:szCs w:val="32"/>
        </w:rPr>
        <w:t>“十四五”时期是我市全面开启社会主义现代化建设新征程、建设“强富美高”新常州、推动高质量发展走在前列的关键时期，也是进一步深化改革开放、构筑高水平对外开放新高地的重要时期。制定科学的规划，对于常州立足新形势、应对新挑战、构建新格局、实现新发展，推动常州开放型经济更高水平发展至关重要。</w:t>
      </w:r>
    </w:p>
    <w:p>
      <w:pPr>
        <w:overflowPunct w:val="0"/>
        <w:autoSpaceDE w:val="0"/>
        <w:autoSpaceDN w:val="0"/>
        <w:adjustRightInd w:val="0"/>
        <w:snapToGrid w:val="0"/>
        <w:spacing w:line="570" w:lineRule="exact"/>
        <w:ind w:firstLine="641"/>
        <w:rPr>
          <w:rFonts w:ascii="Times New Roman" w:hAnsi="Times New Roman" w:eastAsia="方正仿宋_GBK"/>
          <w:snapToGrid w:val="0"/>
          <w:kern w:val="0"/>
          <w:sz w:val="32"/>
          <w:szCs w:val="32"/>
        </w:rPr>
      </w:pPr>
      <w:r>
        <w:rPr>
          <w:rFonts w:ascii="Times New Roman" w:hAnsi="Times New Roman" w:eastAsia="方正仿宋_GBK"/>
          <w:snapToGrid w:val="0"/>
          <w:kern w:val="0"/>
          <w:sz w:val="32"/>
          <w:szCs w:val="32"/>
        </w:rPr>
        <w:t>《常州市“十四五”开放型经济发展规划》（以下简称《规划》）根据《中共常州市委关于制定国民经济和社会发展第十四个五年规划和</w:t>
      </w:r>
      <w:r>
        <w:rPr>
          <w:rFonts w:hint="eastAsia" w:ascii="Times New Roman" w:hAnsi="Times New Roman" w:eastAsia="方正仿宋_GBK"/>
          <w:snapToGrid w:val="0"/>
          <w:kern w:val="0"/>
          <w:sz w:val="32"/>
          <w:szCs w:val="32"/>
        </w:rPr>
        <w:t>二〇三五</w:t>
      </w:r>
      <w:r>
        <w:rPr>
          <w:rFonts w:ascii="Times New Roman" w:hAnsi="Times New Roman" w:eastAsia="方正仿宋_GBK"/>
          <w:snapToGrid w:val="0"/>
          <w:kern w:val="0"/>
          <w:sz w:val="32"/>
          <w:szCs w:val="32"/>
        </w:rPr>
        <w:t>年远景目标的建议》和《常州市国民经济和社会发展第十四个五年规划和</w:t>
      </w:r>
      <w:r>
        <w:rPr>
          <w:rFonts w:hint="eastAsia" w:ascii="Times New Roman" w:hAnsi="Times New Roman" w:eastAsia="方正仿宋_GBK"/>
          <w:snapToGrid w:val="0"/>
          <w:kern w:val="0"/>
          <w:sz w:val="32"/>
          <w:szCs w:val="32"/>
        </w:rPr>
        <w:t>二〇三五</w:t>
      </w:r>
      <w:r>
        <w:rPr>
          <w:rFonts w:ascii="Times New Roman" w:hAnsi="Times New Roman" w:eastAsia="方正仿宋_GBK"/>
          <w:snapToGrid w:val="0"/>
          <w:kern w:val="0"/>
          <w:sz w:val="32"/>
          <w:szCs w:val="32"/>
        </w:rPr>
        <w:t>年远景目标纲要》编制。在编制过程中，组织开展了对我市“十三五”时期开放型经济发展的总结评估，邀请上海社科院、商务部研究院等单位业内知名专家，对常州市“十四五”开放型经济发展重大课题进行了研究和咨询，广泛听取并采纳了各方意见和建议，同时与国家、省市有关专项规划进行衔接。</w:t>
      </w:r>
    </w:p>
    <w:p>
      <w:pPr>
        <w:overflowPunct w:val="0"/>
        <w:autoSpaceDE w:val="0"/>
        <w:autoSpaceDN w:val="0"/>
        <w:adjustRightInd w:val="0"/>
        <w:snapToGrid w:val="0"/>
        <w:spacing w:line="570" w:lineRule="exact"/>
        <w:ind w:firstLine="641"/>
        <w:rPr>
          <w:rFonts w:ascii="Times New Roman" w:hAnsi="Times New Roman" w:eastAsia="仿宋_GB2312"/>
          <w:snapToGrid w:val="0"/>
          <w:kern w:val="0"/>
          <w:sz w:val="32"/>
          <w:szCs w:val="32"/>
        </w:rPr>
      </w:pPr>
      <w:r>
        <w:rPr>
          <w:rFonts w:ascii="Times New Roman" w:hAnsi="Times New Roman" w:eastAsia="方正仿宋_GBK"/>
          <w:snapToGrid w:val="0"/>
          <w:kern w:val="0"/>
          <w:sz w:val="32"/>
          <w:szCs w:val="32"/>
        </w:rPr>
        <w:t>《规划》主要阐明2021—2025年常州开放型经济发展的指导思想、基本原则、发展目标、重点方向和主要工作，是政府履行开放型经济管理职能以及引导市场主体发展方向的重要依据，也是制定开放型经济年度发展计划及相关政策的重要依据。</w:t>
      </w:r>
    </w:p>
    <w:p>
      <w:pPr>
        <w:overflowPunct w:val="0"/>
        <w:autoSpaceDE w:val="0"/>
        <w:autoSpaceDN w:val="0"/>
        <w:adjustRightInd w:val="0"/>
        <w:snapToGrid w:val="0"/>
        <w:spacing w:line="570" w:lineRule="exact"/>
        <w:ind w:firstLine="641"/>
        <w:rPr>
          <w:rFonts w:ascii="Times New Roman" w:hAnsi="Times New Roman" w:eastAsia="方正黑体_GBK"/>
          <w:snapToGrid w:val="0"/>
          <w:kern w:val="0"/>
          <w:sz w:val="32"/>
          <w:szCs w:val="32"/>
        </w:rPr>
      </w:pPr>
      <w:r>
        <w:rPr>
          <w:rFonts w:ascii="Times New Roman" w:hAnsi="Times New Roman"/>
          <w:szCs w:val="32"/>
        </w:rPr>
        <w:br w:type="page"/>
      </w:r>
      <w:r>
        <w:rPr>
          <w:rFonts w:ascii="Times New Roman" w:hAnsi="Times New Roman" w:eastAsia="方正黑体_GBK"/>
          <w:snapToGrid w:val="0"/>
          <w:kern w:val="0"/>
          <w:sz w:val="32"/>
          <w:szCs w:val="32"/>
        </w:rPr>
        <w:t>一、发展基础</w:t>
      </w:r>
    </w:p>
    <w:p>
      <w:pPr>
        <w:overflowPunct w:val="0"/>
        <w:autoSpaceDE w:val="0"/>
        <w:autoSpaceDN w:val="0"/>
        <w:adjustRightInd w:val="0"/>
        <w:snapToGrid w:val="0"/>
        <w:spacing w:line="570" w:lineRule="exact"/>
        <w:ind w:firstLine="641"/>
        <w:rPr>
          <w:rFonts w:ascii="Times New Roman" w:hAnsi="Times New Roman" w:eastAsia="方正楷体_GBK"/>
          <w:snapToGrid w:val="0"/>
          <w:kern w:val="0"/>
          <w:sz w:val="32"/>
          <w:szCs w:val="32"/>
        </w:rPr>
      </w:pPr>
      <w:bookmarkStart w:id="2" w:name="OLE_LINK7"/>
      <w:bookmarkStart w:id="3" w:name="OLE_LINK8"/>
      <w:r>
        <w:rPr>
          <w:rFonts w:ascii="Times New Roman" w:hAnsi="Times New Roman" w:eastAsia="方正楷体_GBK"/>
          <w:snapToGrid w:val="0"/>
          <w:kern w:val="0"/>
          <w:sz w:val="32"/>
          <w:szCs w:val="32"/>
        </w:rPr>
        <w:t>（一）发展成就</w:t>
      </w:r>
    </w:p>
    <w:p>
      <w:pPr>
        <w:overflowPunct w:val="0"/>
        <w:autoSpaceDE w:val="0"/>
        <w:autoSpaceDN w:val="0"/>
        <w:adjustRightInd w:val="0"/>
        <w:snapToGrid w:val="0"/>
        <w:spacing w:line="570" w:lineRule="exact"/>
        <w:ind w:firstLine="641"/>
        <w:rPr>
          <w:rFonts w:ascii="Times New Roman" w:hAnsi="Times New Roman" w:eastAsia="方正仿宋_GBK"/>
          <w:snapToGrid w:val="0"/>
          <w:kern w:val="0"/>
          <w:sz w:val="32"/>
          <w:szCs w:val="32"/>
        </w:rPr>
      </w:pPr>
      <w:r>
        <w:rPr>
          <w:rFonts w:ascii="Times New Roman" w:hAnsi="Times New Roman" w:eastAsia="方正仿宋_GBK"/>
          <w:snapToGrid w:val="0"/>
          <w:kern w:val="0"/>
          <w:sz w:val="32"/>
          <w:szCs w:val="32"/>
        </w:rPr>
        <w:t>“十三五”时期，面对错综复杂的国内外经济形势和日益激烈的区域竞争压力，全市开放型经济条线在市委、市政府的坚强领导下，紧紧围绕全市经济社会发展大局，认真贯彻落实中央、省市关于深化开放型经济改革发展的决策部署，抢抓机遇求突破，主动作为谋发展，扎实做好各项工作，全市开放型经济总体呈现平稳健康发展态势。</w:t>
      </w:r>
    </w:p>
    <w:p>
      <w:pPr>
        <w:overflowPunct w:val="0"/>
        <w:autoSpaceDE w:val="0"/>
        <w:autoSpaceDN w:val="0"/>
        <w:adjustRightInd w:val="0"/>
        <w:snapToGrid w:val="0"/>
        <w:spacing w:line="570" w:lineRule="exact"/>
        <w:ind w:firstLine="641"/>
        <w:rPr>
          <w:rFonts w:ascii="Times New Roman" w:hAnsi="Times New Roman" w:eastAsia="方正仿宋_GBK"/>
          <w:snapToGrid w:val="0"/>
          <w:kern w:val="0"/>
          <w:sz w:val="32"/>
          <w:szCs w:val="32"/>
        </w:rPr>
      </w:pPr>
      <w:r>
        <w:rPr>
          <w:rFonts w:ascii="Times New Roman" w:hAnsi="Times New Roman" w:eastAsia="方正仿宋_GBK"/>
          <w:snapToGrid w:val="0"/>
          <w:kern w:val="0"/>
          <w:sz w:val="32"/>
          <w:szCs w:val="32"/>
        </w:rPr>
        <w:t>1. 利用外资总量平稳、质效提升。“十三五”时期，全市利用外资总体平稳，结构不断优化，质效持续提升，对全市经济社会发展的贡献进一步加大。五年累计实际利用外资131.7亿美元，新增协议外资超3000万美元以上项目271个，总投资超亿美元项目152个，总投资超10亿美元项目5个，新增爱思开电池、赛得利、太阳诱电、蒂森克虏伯、西门子、住化电子、科勒等一批重大项目；新增世界500强企业9家、投资项目18个，全市累计世界500强企业68家、投资项目117个；新增省级跨国公司地区总部和功能性机构17家，累计达23家。“十三五”末，全市共有外商投资法人企业3000多家；累计实际利用外资407.7亿美元，其中制造业利用外资209.2亿美元，占比达到51.3%；实际到账外资占全省比重9.57%，较2015年提升2.48个百分点，规模列全省第四位，较“十二五”期末上升1位；外资对全市规模以上工业产值、利税的贡献占到1/3，出口约占1/2，直接创造就业岗位近30万个。“外资小镇”</w:t>
      </w:r>
      <w:r>
        <w:rPr>
          <w:rFonts w:ascii="黑体" w:hAnsi="黑体" w:eastAsia="黑体"/>
          <w:snapToGrid w:val="0"/>
          <w:kern w:val="0"/>
          <w:sz w:val="32"/>
          <w:szCs w:val="32"/>
        </w:rPr>
        <w:t>——</w:t>
      </w:r>
      <w:r>
        <w:rPr>
          <w:rFonts w:ascii="Times New Roman" w:hAnsi="Times New Roman" w:eastAsia="方正仿宋_GBK"/>
          <w:snapToGrid w:val="0"/>
          <w:kern w:val="0"/>
          <w:sz w:val="32"/>
          <w:szCs w:val="32"/>
        </w:rPr>
        <w:t>新北区薛家镇利用外资工作成效突出，其经验做法得到了省委、省政府和商务部的充分肯定。</w:t>
      </w:r>
    </w:p>
    <w:p>
      <w:pPr>
        <w:overflowPunct w:val="0"/>
        <w:autoSpaceDE w:val="0"/>
        <w:autoSpaceDN w:val="0"/>
        <w:adjustRightInd w:val="0"/>
        <w:snapToGrid w:val="0"/>
        <w:spacing w:before="120" w:after="120" w:line="560" w:lineRule="exact"/>
        <w:jc w:val="center"/>
        <w:rPr>
          <w:rFonts w:ascii="Times New Roman" w:hAnsi="Times New Roman" w:eastAsia="方正黑体_GBK"/>
          <w:sz w:val="32"/>
          <w:szCs w:val="32"/>
        </w:rPr>
      </w:pPr>
      <w:r>
        <w:rPr>
          <w:rFonts w:ascii="Times New Roman" w:hAnsi="Times New Roman" w:eastAsia="方正黑体_GBK"/>
          <w:sz w:val="32"/>
          <w:szCs w:val="32"/>
        </w:rPr>
        <w:t>2016</w:t>
      </w:r>
      <w:r>
        <w:rPr>
          <w:rFonts w:ascii="黑体" w:hAnsi="黑体" w:eastAsia="黑体"/>
          <w:sz w:val="32"/>
          <w:szCs w:val="32"/>
        </w:rPr>
        <w:t>—</w:t>
      </w:r>
      <w:r>
        <w:rPr>
          <w:rFonts w:ascii="Times New Roman" w:hAnsi="Times New Roman" w:eastAsia="方正黑体_GBK"/>
          <w:sz w:val="32"/>
          <w:szCs w:val="32"/>
        </w:rPr>
        <w:t>2020年常州市利用外资情况表</w:t>
      </w:r>
    </w:p>
    <w:p>
      <w:pPr>
        <w:adjustRightInd w:val="0"/>
        <w:spacing w:line="440" w:lineRule="exact"/>
        <w:jc w:val="right"/>
        <w:rPr>
          <w:rFonts w:ascii="Times New Roman" w:hAnsi="Times New Roman"/>
          <w:sz w:val="24"/>
          <w:szCs w:val="24"/>
        </w:rPr>
      </w:pPr>
      <w:r>
        <w:rPr>
          <w:rFonts w:ascii="Times New Roman" w:hAnsi="Times New Roman"/>
          <w:sz w:val="24"/>
          <w:szCs w:val="24"/>
        </w:rPr>
        <w:t>单位：个、亿美元</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03"/>
        <w:gridCol w:w="2126"/>
        <w:gridCol w:w="1500"/>
        <w:gridCol w:w="2443"/>
        <w:gridCol w:w="15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24" w:hRule="atLeast"/>
          <w:jc w:val="center"/>
        </w:trPr>
        <w:tc>
          <w:tcPr>
            <w:tcW w:w="1503" w:type="dxa"/>
            <w:tcBorders>
              <w:top w:val="single" w:color="auto" w:sz="6" w:space="0"/>
              <w:left w:val="single" w:color="auto" w:sz="6" w:space="0"/>
              <w:bottom w:val="single" w:color="auto" w:sz="6" w:space="0"/>
              <w:right w:val="single" w:color="auto" w:sz="6" w:space="0"/>
              <w:tl2br w:val="single" w:color="auto" w:sz="6" w:space="0"/>
            </w:tcBorders>
            <w:noWrap w:val="0"/>
            <w:vAlign w:val="center"/>
          </w:tcPr>
          <w:p>
            <w:pPr>
              <w:spacing w:line="320" w:lineRule="exact"/>
              <w:ind w:right="120"/>
              <w:jc w:val="right"/>
              <w:rPr>
                <w:rFonts w:ascii="Times New Roman" w:hAnsi="Times New Roman" w:eastAsia="黑体"/>
                <w:sz w:val="24"/>
                <w:szCs w:val="24"/>
              </w:rPr>
            </w:pPr>
            <w:r>
              <w:rPr>
                <w:rFonts w:ascii="Times New Roman" w:hAnsi="Times New Roman" w:eastAsia="黑体"/>
                <w:sz w:val="24"/>
                <w:szCs w:val="24"/>
              </w:rPr>
              <w:t>项目</w:t>
            </w:r>
          </w:p>
          <w:p>
            <w:pPr>
              <w:spacing w:line="320" w:lineRule="exact"/>
              <w:jc w:val="center"/>
              <w:rPr>
                <w:rFonts w:ascii="Times New Roman" w:hAnsi="Times New Roman" w:eastAsia="方正黑体_GBK"/>
                <w:sz w:val="24"/>
                <w:szCs w:val="24"/>
              </w:rPr>
            </w:pPr>
          </w:p>
          <w:p>
            <w:pPr>
              <w:spacing w:line="320" w:lineRule="exact"/>
              <w:rPr>
                <w:rFonts w:ascii="Times New Roman" w:hAnsi="Times New Roman" w:eastAsia="方正黑体_GBK"/>
                <w:sz w:val="24"/>
                <w:szCs w:val="24"/>
              </w:rPr>
            </w:pPr>
            <w:r>
              <w:rPr>
                <w:rFonts w:ascii="Times New Roman" w:hAnsi="Times New Roman" w:eastAsia="黑体"/>
                <w:sz w:val="24"/>
                <w:szCs w:val="24"/>
              </w:rPr>
              <w:t>年份</w:t>
            </w:r>
          </w:p>
        </w:tc>
        <w:tc>
          <w:tcPr>
            <w:tcW w:w="2126" w:type="dxa"/>
            <w:tcBorders>
              <w:left w:val="single" w:color="auto" w:sz="6" w:space="0"/>
            </w:tcBorders>
            <w:noWrap w:val="0"/>
            <w:vAlign w:val="center"/>
          </w:tcPr>
          <w:p>
            <w:pPr>
              <w:spacing w:line="320" w:lineRule="exact"/>
              <w:jc w:val="center"/>
              <w:rPr>
                <w:rFonts w:ascii="Times New Roman" w:hAnsi="Times New Roman" w:eastAsia="黑体"/>
                <w:sz w:val="24"/>
                <w:szCs w:val="24"/>
              </w:rPr>
            </w:pPr>
            <w:r>
              <w:rPr>
                <w:rFonts w:ascii="Times New Roman" w:hAnsi="Times New Roman" w:eastAsia="黑体"/>
                <w:sz w:val="24"/>
                <w:szCs w:val="24"/>
              </w:rPr>
              <w:t>实际到账</w:t>
            </w:r>
          </w:p>
          <w:p>
            <w:pPr>
              <w:spacing w:line="320" w:lineRule="exact"/>
              <w:jc w:val="center"/>
              <w:rPr>
                <w:rFonts w:ascii="Times New Roman" w:hAnsi="Times New Roman" w:eastAsia="黑体"/>
                <w:sz w:val="24"/>
                <w:szCs w:val="24"/>
              </w:rPr>
            </w:pPr>
            <w:r>
              <w:rPr>
                <w:rFonts w:ascii="Times New Roman" w:hAnsi="Times New Roman" w:eastAsia="黑体"/>
                <w:sz w:val="24"/>
                <w:szCs w:val="24"/>
              </w:rPr>
              <w:t>注册外资</w:t>
            </w:r>
          </w:p>
        </w:tc>
        <w:tc>
          <w:tcPr>
            <w:tcW w:w="1500" w:type="dxa"/>
            <w:noWrap w:val="0"/>
            <w:vAlign w:val="center"/>
          </w:tcPr>
          <w:p>
            <w:pPr>
              <w:spacing w:line="320" w:lineRule="exact"/>
              <w:jc w:val="center"/>
              <w:rPr>
                <w:rFonts w:ascii="Times New Roman" w:hAnsi="Times New Roman" w:eastAsia="黑体"/>
                <w:sz w:val="24"/>
                <w:szCs w:val="24"/>
              </w:rPr>
            </w:pPr>
            <w:r>
              <w:rPr>
                <w:rFonts w:ascii="Times New Roman" w:hAnsi="Times New Roman" w:eastAsia="黑体"/>
                <w:sz w:val="24"/>
                <w:szCs w:val="24"/>
              </w:rPr>
              <w:t>新签项目</w:t>
            </w:r>
          </w:p>
          <w:p>
            <w:pPr>
              <w:spacing w:line="320" w:lineRule="exact"/>
              <w:jc w:val="center"/>
              <w:rPr>
                <w:rFonts w:ascii="Times New Roman" w:hAnsi="Times New Roman" w:eastAsia="黑体"/>
                <w:sz w:val="24"/>
                <w:szCs w:val="24"/>
              </w:rPr>
            </w:pPr>
            <w:r>
              <w:rPr>
                <w:rFonts w:ascii="Times New Roman" w:hAnsi="Times New Roman" w:eastAsia="黑体"/>
                <w:sz w:val="24"/>
                <w:szCs w:val="24"/>
              </w:rPr>
              <w:t>个数</w:t>
            </w:r>
          </w:p>
        </w:tc>
        <w:tc>
          <w:tcPr>
            <w:tcW w:w="2443" w:type="dxa"/>
            <w:noWrap w:val="0"/>
            <w:vAlign w:val="center"/>
          </w:tcPr>
          <w:p>
            <w:pPr>
              <w:spacing w:line="320" w:lineRule="exact"/>
              <w:jc w:val="center"/>
              <w:rPr>
                <w:rFonts w:ascii="Times New Roman" w:hAnsi="Times New Roman" w:eastAsia="黑体"/>
                <w:sz w:val="24"/>
                <w:szCs w:val="24"/>
              </w:rPr>
            </w:pPr>
            <w:r>
              <w:rPr>
                <w:rFonts w:ascii="Times New Roman" w:hAnsi="Times New Roman" w:eastAsia="黑体"/>
                <w:sz w:val="24"/>
                <w:szCs w:val="24"/>
              </w:rPr>
              <w:t>其中，协议注册外资</w:t>
            </w:r>
          </w:p>
          <w:p>
            <w:pPr>
              <w:spacing w:line="320" w:lineRule="exact"/>
              <w:jc w:val="center"/>
              <w:rPr>
                <w:rFonts w:ascii="Times New Roman" w:hAnsi="Times New Roman" w:eastAsia="黑体"/>
                <w:sz w:val="24"/>
                <w:szCs w:val="24"/>
              </w:rPr>
            </w:pPr>
            <w:r>
              <w:rPr>
                <w:rFonts w:ascii="Times New Roman" w:hAnsi="Times New Roman" w:eastAsia="黑体"/>
                <w:sz w:val="24"/>
                <w:szCs w:val="24"/>
              </w:rPr>
              <w:t>超3000万美元</w:t>
            </w:r>
          </w:p>
          <w:p>
            <w:pPr>
              <w:spacing w:line="320" w:lineRule="exact"/>
              <w:jc w:val="center"/>
              <w:rPr>
                <w:rFonts w:ascii="Times New Roman" w:hAnsi="Times New Roman" w:eastAsia="黑体"/>
                <w:sz w:val="24"/>
                <w:szCs w:val="24"/>
              </w:rPr>
            </w:pPr>
            <w:r>
              <w:rPr>
                <w:rFonts w:ascii="Times New Roman" w:hAnsi="Times New Roman" w:eastAsia="黑体"/>
                <w:sz w:val="24"/>
                <w:szCs w:val="24"/>
              </w:rPr>
              <w:t>项目个数</w:t>
            </w:r>
          </w:p>
        </w:tc>
        <w:tc>
          <w:tcPr>
            <w:tcW w:w="1500" w:type="dxa"/>
            <w:noWrap w:val="0"/>
            <w:vAlign w:val="center"/>
          </w:tcPr>
          <w:p>
            <w:pPr>
              <w:spacing w:line="320" w:lineRule="exact"/>
              <w:jc w:val="center"/>
              <w:rPr>
                <w:rFonts w:ascii="Times New Roman" w:hAnsi="Times New Roman" w:eastAsia="黑体"/>
                <w:sz w:val="24"/>
                <w:szCs w:val="24"/>
              </w:rPr>
            </w:pPr>
            <w:r>
              <w:rPr>
                <w:rFonts w:ascii="Times New Roman" w:hAnsi="Times New Roman" w:eastAsia="黑体"/>
                <w:sz w:val="24"/>
                <w:szCs w:val="24"/>
              </w:rPr>
              <w:t>协议注册</w:t>
            </w:r>
          </w:p>
          <w:p>
            <w:pPr>
              <w:spacing w:line="320" w:lineRule="exact"/>
              <w:jc w:val="center"/>
              <w:rPr>
                <w:rFonts w:ascii="Times New Roman" w:hAnsi="Times New Roman" w:eastAsia="黑体"/>
                <w:sz w:val="24"/>
                <w:szCs w:val="24"/>
              </w:rPr>
            </w:pPr>
            <w:r>
              <w:rPr>
                <w:rFonts w:ascii="Times New Roman" w:hAnsi="Times New Roman" w:eastAsia="黑体"/>
                <w:sz w:val="24"/>
                <w:szCs w:val="24"/>
              </w:rPr>
              <w:t>外资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1503" w:type="dxa"/>
            <w:tcBorders>
              <w:top w:val="single" w:color="auto" w:sz="6" w:space="0"/>
            </w:tcBorders>
            <w:noWrap w:val="0"/>
            <w:vAlign w:val="center"/>
          </w:tcPr>
          <w:p>
            <w:pPr>
              <w:spacing w:line="320" w:lineRule="exact"/>
              <w:jc w:val="center"/>
              <w:rPr>
                <w:rFonts w:ascii="Times New Roman" w:hAnsi="Times New Roman"/>
                <w:sz w:val="24"/>
                <w:szCs w:val="24"/>
              </w:rPr>
            </w:pPr>
            <w:bookmarkStart w:id="4" w:name="OLE_LINK1" w:colFirst="0" w:colLast="4"/>
            <w:r>
              <w:rPr>
                <w:rFonts w:ascii="Times New Roman" w:hAnsi="Times New Roman"/>
                <w:sz w:val="24"/>
                <w:szCs w:val="24"/>
              </w:rPr>
              <w:t>2016年</w:t>
            </w:r>
          </w:p>
        </w:tc>
        <w:tc>
          <w:tcPr>
            <w:tcW w:w="2126" w:type="dxa"/>
            <w:noWrap w:val="0"/>
            <w:vAlign w:val="center"/>
          </w:tcPr>
          <w:p>
            <w:pPr>
              <w:spacing w:line="320" w:lineRule="exact"/>
              <w:jc w:val="center"/>
              <w:rPr>
                <w:rFonts w:ascii="Times New Roman" w:hAnsi="Times New Roman"/>
                <w:sz w:val="24"/>
                <w:szCs w:val="24"/>
              </w:rPr>
            </w:pPr>
            <w:r>
              <w:rPr>
                <w:rFonts w:ascii="Times New Roman" w:hAnsi="Times New Roman"/>
                <w:sz w:val="24"/>
                <w:szCs w:val="24"/>
              </w:rPr>
              <w:t>25.0</w:t>
            </w:r>
          </w:p>
        </w:tc>
        <w:tc>
          <w:tcPr>
            <w:tcW w:w="1500" w:type="dxa"/>
            <w:noWrap w:val="0"/>
            <w:vAlign w:val="center"/>
          </w:tcPr>
          <w:p>
            <w:pPr>
              <w:spacing w:line="320" w:lineRule="exact"/>
              <w:jc w:val="center"/>
              <w:rPr>
                <w:rFonts w:ascii="Times New Roman" w:hAnsi="Times New Roman"/>
                <w:sz w:val="24"/>
                <w:szCs w:val="24"/>
              </w:rPr>
            </w:pPr>
            <w:r>
              <w:rPr>
                <w:rFonts w:ascii="Times New Roman" w:hAnsi="Times New Roman"/>
                <w:sz w:val="24"/>
                <w:szCs w:val="24"/>
              </w:rPr>
              <w:t>269</w:t>
            </w:r>
          </w:p>
        </w:tc>
        <w:tc>
          <w:tcPr>
            <w:tcW w:w="2443" w:type="dxa"/>
            <w:noWrap w:val="0"/>
            <w:vAlign w:val="center"/>
          </w:tcPr>
          <w:p>
            <w:pPr>
              <w:spacing w:line="320" w:lineRule="exact"/>
              <w:jc w:val="center"/>
              <w:rPr>
                <w:rFonts w:ascii="Times New Roman" w:hAnsi="Times New Roman"/>
                <w:sz w:val="24"/>
                <w:szCs w:val="24"/>
              </w:rPr>
            </w:pPr>
            <w:r>
              <w:rPr>
                <w:rFonts w:ascii="Times New Roman" w:hAnsi="Times New Roman"/>
                <w:sz w:val="24"/>
                <w:szCs w:val="24"/>
              </w:rPr>
              <w:t>43</w:t>
            </w:r>
          </w:p>
        </w:tc>
        <w:tc>
          <w:tcPr>
            <w:tcW w:w="1500" w:type="dxa"/>
            <w:noWrap w:val="0"/>
            <w:vAlign w:val="center"/>
          </w:tcPr>
          <w:p>
            <w:pPr>
              <w:spacing w:line="320" w:lineRule="exact"/>
              <w:jc w:val="center"/>
              <w:rPr>
                <w:rFonts w:ascii="Times New Roman" w:hAnsi="Times New Roman"/>
                <w:sz w:val="24"/>
                <w:szCs w:val="24"/>
              </w:rPr>
            </w:pPr>
            <w:r>
              <w:rPr>
                <w:rFonts w:ascii="Times New Roman" w:hAnsi="Times New Roman"/>
                <w:sz w:val="24"/>
                <w:szCs w:val="24"/>
              </w:rPr>
              <w:t>41.1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1503" w:type="dxa"/>
            <w:noWrap w:val="0"/>
            <w:vAlign w:val="center"/>
          </w:tcPr>
          <w:p>
            <w:pPr>
              <w:spacing w:line="320" w:lineRule="exact"/>
              <w:jc w:val="center"/>
              <w:rPr>
                <w:rFonts w:ascii="Times New Roman" w:hAnsi="Times New Roman"/>
                <w:sz w:val="24"/>
                <w:szCs w:val="24"/>
              </w:rPr>
            </w:pPr>
            <w:r>
              <w:rPr>
                <w:rFonts w:ascii="Times New Roman" w:hAnsi="Times New Roman"/>
                <w:sz w:val="24"/>
                <w:szCs w:val="24"/>
              </w:rPr>
              <w:t>2017年</w:t>
            </w:r>
          </w:p>
        </w:tc>
        <w:tc>
          <w:tcPr>
            <w:tcW w:w="2126" w:type="dxa"/>
            <w:noWrap w:val="0"/>
            <w:vAlign w:val="center"/>
          </w:tcPr>
          <w:p>
            <w:pPr>
              <w:spacing w:line="320" w:lineRule="exact"/>
              <w:jc w:val="center"/>
              <w:rPr>
                <w:rFonts w:ascii="Times New Roman" w:hAnsi="Times New Roman"/>
                <w:sz w:val="24"/>
                <w:szCs w:val="24"/>
              </w:rPr>
            </w:pPr>
            <w:r>
              <w:rPr>
                <w:rFonts w:ascii="Times New Roman" w:hAnsi="Times New Roman"/>
                <w:sz w:val="24"/>
                <w:szCs w:val="24"/>
              </w:rPr>
              <w:t>25.5</w:t>
            </w:r>
          </w:p>
        </w:tc>
        <w:tc>
          <w:tcPr>
            <w:tcW w:w="1500" w:type="dxa"/>
            <w:noWrap w:val="0"/>
            <w:vAlign w:val="center"/>
          </w:tcPr>
          <w:p>
            <w:pPr>
              <w:spacing w:line="320" w:lineRule="exact"/>
              <w:jc w:val="center"/>
              <w:rPr>
                <w:rFonts w:ascii="Times New Roman" w:hAnsi="Times New Roman"/>
                <w:sz w:val="24"/>
                <w:szCs w:val="24"/>
              </w:rPr>
            </w:pPr>
            <w:r>
              <w:rPr>
                <w:rFonts w:ascii="Times New Roman" w:hAnsi="Times New Roman"/>
                <w:sz w:val="24"/>
                <w:szCs w:val="24"/>
              </w:rPr>
              <w:t>372</w:t>
            </w:r>
          </w:p>
        </w:tc>
        <w:tc>
          <w:tcPr>
            <w:tcW w:w="2443" w:type="dxa"/>
            <w:noWrap w:val="0"/>
            <w:vAlign w:val="center"/>
          </w:tcPr>
          <w:p>
            <w:pPr>
              <w:spacing w:line="320" w:lineRule="exact"/>
              <w:jc w:val="center"/>
              <w:rPr>
                <w:rFonts w:ascii="Times New Roman" w:hAnsi="Times New Roman"/>
                <w:sz w:val="24"/>
                <w:szCs w:val="24"/>
              </w:rPr>
            </w:pPr>
            <w:r>
              <w:rPr>
                <w:rFonts w:ascii="Times New Roman" w:hAnsi="Times New Roman"/>
                <w:sz w:val="24"/>
                <w:szCs w:val="24"/>
              </w:rPr>
              <w:t>57</w:t>
            </w:r>
          </w:p>
        </w:tc>
        <w:tc>
          <w:tcPr>
            <w:tcW w:w="1500" w:type="dxa"/>
            <w:noWrap w:val="0"/>
            <w:vAlign w:val="center"/>
          </w:tcPr>
          <w:p>
            <w:pPr>
              <w:spacing w:line="320" w:lineRule="exact"/>
              <w:jc w:val="center"/>
              <w:rPr>
                <w:rFonts w:ascii="Times New Roman" w:hAnsi="Times New Roman"/>
                <w:sz w:val="24"/>
                <w:szCs w:val="24"/>
              </w:rPr>
            </w:pPr>
            <w:r>
              <w:rPr>
                <w:rFonts w:ascii="Times New Roman" w:hAnsi="Times New Roman"/>
                <w:sz w:val="24"/>
                <w:szCs w:val="24"/>
              </w:rPr>
              <w:t>46.1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1503" w:type="dxa"/>
            <w:noWrap w:val="0"/>
            <w:vAlign w:val="center"/>
          </w:tcPr>
          <w:p>
            <w:pPr>
              <w:spacing w:line="320" w:lineRule="exact"/>
              <w:jc w:val="center"/>
              <w:rPr>
                <w:rFonts w:ascii="Times New Roman" w:hAnsi="Times New Roman"/>
                <w:sz w:val="24"/>
                <w:szCs w:val="24"/>
              </w:rPr>
            </w:pPr>
            <w:r>
              <w:rPr>
                <w:rFonts w:ascii="Times New Roman" w:hAnsi="Times New Roman"/>
                <w:sz w:val="24"/>
                <w:szCs w:val="24"/>
              </w:rPr>
              <w:t>2018年</w:t>
            </w:r>
          </w:p>
        </w:tc>
        <w:tc>
          <w:tcPr>
            <w:tcW w:w="2126" w:type="dxa"/>
            <w:noWrap w:val="0"/>
            <w:vAlign w:val="center"/>
          </w:tcPr>
          <w:p>
            <w:pPr>
              <w:spacing w:line="320" w:lineRule="exact"/>
              <w:jc w:val="center"/>
              <w:rPr>
                <w:rFonts w:ascii="Times New Roman" w:hAnsi="Times New Roman"/>
                <w:sz w:val="24"/>
                <w:szCs w:val="24"/>
              </w:rPr>
            </w:pPr>
            <w:r>
              <w:rPr>
                <w:rFonts w:ascii="Times New Roman" w:hAnsi="Times New Roman"/>
                <w:sz w:val="24"/>
                <w:szCs w:val="24"/>
              </w:rPr>
              <w:t>26.1</w:t>
            </w:r>
          </w:p>
        </w:tc>
        <w:tc>
          <w:tcPr>
            <w:tcW w:w="1500" w:type="dxa"/>
            <w:noWrap w:val="0"/>
            <w:vAlign w:val="center"/>
          </w:tcPr>
          <w:p>
            <w:pPr>
              <w:spacing w:line="320" w:lineRule="exact"/>
              <w:jc w:val="center"/>
              <w:rPr>
                <w:rFonts w:ascii="Times New Roman" w:hAnsi="Times New Roman"/>
                <w:sz w:val="24"/>
                <w:szCs w:val="24"/>
              </w:rPr>
            </w:pPr>
            <w:r>
              <w:rPr>
                <w:rFonts w:ascii="Times New Roman" w:hAnsi="Times New Roman"/>
                <w:sz w:val="24"/>
                <w:szCs w:val="24"/>
              </w:rPr>
              <w:t>356</w:t>
            </w:r>
          </w:p>
        </w:tc>
        <w:tc>
          <w:tcPr>
            <w:tcW w:w="2443" w:type="dxa"/>
            <w:noWrap w:val="0"/>
            <w:vAlign w:val="center"/>
          </w:tcPr>
          <w:p>
            <w:pPr>
              <w:spacing w:line="320" w:lineRule="exact"/>
              <w:jc w:val="center"/>
              <w:rPr>
                <w:rFonts w:ascii="Times New Roman" w:hAnsi="Times New Roman"/>
                <w:sz w:val="24"/>
                <w:szCs w:val="24"/>
              </w:rPr>
            </w:pPr>
            <w:r>
              <w:rPr>
                <w:rFonts w:ascii="Times New Roman" w:hAnsi="Times New Roman"/>
                <w:sz w:val="24"/>
                <w:szCs w:val="24"/>
              </w:rPr>
              <w:t>56</w:t>
            </w:r>
          </w:p>
        </w:tc>
        <w:tc>
          <w:tcPr>
            <w:tcW w:w="1500" w:type="dxa"/>
            <w:noWrap w:val="0"/>
            <w:vAlign w:val="center"/>
          </w:tcPr>
          <w:p>
            <w:pPr>
              <w:spacing w:line="320" w:lineRule="exact"/>
              <w:jc w:val="center"/>
              <w:rPr>
                <w:rFonts w:ascii="Times New Roman" w:hAnsi="Times New Roman"/>
                <w:sz w:val="24"/>
                <w:szCs w:val="24"/>
              </w:rPr>
            </w:pPr>
            <w:r>
              <w:rPr>
                <w:rFonts w:ascii="Times New Roman" w:hAnsi="Times New Roman"/>
                <w:sz w:val="24"/>
                <w:szCs w:val="24"/>
              </w:rPr>
              <w:t>51.2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1503" w:type="dxa"/>
            <w:noWrap w:val="0"/>
            <w:vAlign w:val="center"/>
          </w:tcPr>
          <w:p>
            <w:pPr>
              <w:spacing w:line="320" w:lineRule="exact"/>
              <w:jc w:val="center"/>
              <w:rPr>
                <w:rFonts w:ascii="Times New Roman" w:hAnsi="Times New Roman"/>
                <w:sz w:val="24"/>
                <w:szCs w:val="24"/>
              </w:rPr>
            </w:pPr>
            <w:r>
              <w:rPr>
                <w:rFonts w:ascii="Times New Roman" w:hAnsi="Times New Roman"/>
                <w:sz w:val="24"/>
                <w:szCs w:val="24"/>
              </w:rPr>
              <w:t>2019年</w:t>
            </w:r>
          </w:p>
        </w:tc>
        <w:tc>
          <w:tcPr>
            <w:tcW w:w="2126" w:type="dxa"/>
            <w:noWrap w:val="0"/>
            <w:vAlign w:val="center"/>
          </w:tcPr>
          <w:p>
            <w:pPr>
              <w:spacing w:line="320" w:lineRule="exact"/>
              <w:jc w:val="center"/>
              <w:rPr>
                <w:rFonts w:ascii="Times New Roman" w:hAnsi="Times New Roman"/>
                <w:sz w:val="24"/>
                <w:szCs w:val="24"/>
              </w:rPr>
            </w:pPr>
            <w:r>
              <w:rPr>
                <w:rFonts w:ascii="Times New Roman" w:hAnsi="Times New Roman"/>
                <w:sz w:val="24"/>
                <w:szCs w:val="24"/>
              </w:rPr>
              <w:t>26.3</w:t>
            </w:r>
          </w:p>
        </w:tc>
        <w:tc>
          <w:tcPr>
            <w:tcW w:w="1500" w:type="dxa"/>
            <w:noWrap w:val="0"/>
            <w:vAlign w:val="center"/>
          </w:tcPr>
          <w:p>
            <w:pPr>
              <w:spacing w:line="320" w:lineRule="exact"/>
              <w:jc w:val="center"/>
              <w:rPr>
                <w:rFonts w:ascii="Times New Roman" w:hAnsi="Times New Roman"/>
                <w:sz w:val="24"/>
                <w:szCs w:val="24"/>
              </w:rPr>
            </w:pPr>
            <w:r>
              <w:rPr>
                <w:rFonts w:ascii="Times New Roman" w:hAnsi="Times New Roman"/>
                <w:sz w:val="24"/>
                <w:szCs w:val="24"/>
              </w:rPr>
              <w:t>384</w:t>
            </w:r>
          </w:p>
        </w:tc>
        <w:tc>
          <w:tcPr>
            <w:tcW w:w="2443" w:type="dxa"/>
            <w:noWrap w:val="0"/>
            <w:vAlign w:val="center"/>
          </w:tcPr>
          <w:p>
            <w:pPr>
              <w:spacing w:line="320" w:lineRule="exact"/>
              <w:jc w:val="center"/>
              <w:rPr>
                <w:rFonts w:ascii="Times New Roman" w:hAnsi="Times New Roman"/>
                <w:sz w:val="24"/>
                <w:szCs w:val="24"/>
              </w:rPr>
            </w:pPr>
            <w:r>
              <w:rPr>
                <w:rFonts w:ascii="Times New Roman" w:hAnsi="Times New Roman"/>
                <w:sz w:val="24"/>
                <w:szCs w:val="24"/>
              </w:rPr>
              <w:t>55</w:t>
            </w:r>
          </w:p>
        </w:tc>
        <w:tc>
          <w:tcPr>
            <w:tcW w:w="1500" w:type="dxa"/>
            <w:noWrap w:val="0"/>
            <w:vAlign w:val="center"/>
          </w:tcPr>
          <w:p>
            <w:pPr>
              <w:spacing w:line="320" w:lineRule="exact"/>
              <w:jc w:val="center"/>
              <w:rPr>
                <w:rFonts w:ascii="Times New Roman" w:hAnsi="Times New Roman"/>
                <w:sz w:val="24"/>
                <w:szCs w:val="24"/>
              </w:rPr>
            </w:pPr>
            <w:r>
              <w:rPr>
                <w:rFonts w:ascii="Times New Roman" w:hAnsi="Times New Roman"/>
                <w:sz w:val="24"/>
                <w:szCs w:val="24"/>
              </w:rPr>
              <w:t>66.0</w:t>
            </w:r>
          </w:p>
        </w:tc>
      </w:tr>
      <w:bookmarkEnd w:id="4"/>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1503" w:type="dxa"/>
            <w:noWrap w:val="0"/>
            <w:vAlign w:val="center"/>
          </w:tcPr>
          <w:p>
            <w:pPr>
              <w:spacing w:line="320" w:lineRule="exact"/>
              <w:jc w:val="center"/>
              <w:rPr>
                <w:rFonts w:ascii="Times New Roman" w:hAnsi="Times New Roman"/>
                <w:sz w:val="24"/>
                <w:szCs w:val="24"/>
              </w:rPr>
            </w:pPr>
            <w:r>
              <w:rPr>
                <w:rFonts w:ascii="Times New Roman" w:hAnsi="Times New Roman"/>
                <w:sz w:val="24"/>
                <w:szCs w:val="24"/>
              </w:rPr>
              <w:t>2020年</w:t>
            </w:r>
          </w:p>
        </w:tc>
        <w:tc>
          <w:tcPr>
            <w:tcW w:w="2126" w:type="dxa"/>
            <w:noWrap w:val="0"/>
            <w:vAlign w:val="center"/>
          </w:tcPr>
          <w:p>
            <w:pPr>
              <w:spacing w:line="320" w:lineRule="exact"/>
              <w:jc w:val="center"/>
              <w:rPr>
                <w:rFonts w:ascii="Times New Roman" w:hAnsi="Times New Roman"/>
                <w:sz w:val="24"/>
                <w:szCs w:val="24"/>
              </w:rPr>
            </w:pPr>
            <w:r>
              <w:rPr>
                <w:rFonts w:ascii="Times New Roman" w:hAnsi="Times New Roman"/>
                <w:sz w:val="24"/>
                <w:szCs w:val="24"/>
              </w:rPr>
              <w:t>28.8</w:t>
            </w:r>
          </w:p>
        </w:tc>
        <w:tc>
          <w:tcPr>
            <w:tcW w:w="1500" w:type="dxa"/>
            <w:noWrap w:val="0"/>
            <w:vAlign w:val="center"/>
          </w:tcPr>
          <w:p>
            <w:pPr>
              <w:spacing w:line="320" w:lineRule="exact"/>
              <w:jc w:val="center"/>
              <w:rPr>
                <w:rFonts w:ascii="Times New Roman" w:hAnsi="Times New Roman"/>
                <w:sz w:val="24"/>
                <w:szCs w:val="24"/>
              </w:rPr>
            </w:pPr>
            <w:r>
              <w:rPr>
                <w:rFonts w:ascii="Times New Roman" w:hAnsi="Times New Roman"/>
                <w:sz w:val="24"/>
                <w:szCs w:val="24"/>
              </w:rPr>
              <w:t>346</w:t>
            </w:r>
          </w:p>
        </w:tc>
        <w:tc>
          <w:tcPr>
            <w:tcW w:w="2443" w:type="dxa"/>
            <w:noWrap w:val="0"/>
            <w:vAlign w:val="center"/>
          </w:tcPr>
          <w:p>
            <w:pPr>
              <w:spacing w:line="320" w:lineRule="exact"/>
              <w:jc w:val="center"/>
              <w:rPr>
                <w:rFonts w:ascii="Times New Roman" w:hAnsi="Times New Roman"/>
                <w:sz w:val="24"/>
                <w:szCs w:val="24"/>
              </w:rPr>
            </w:pPr>
            <w:r>
              <w:rPr>
                <w:rFonts w:ascii="Times New Roman" w:hAnsi="Times New Roman"/>
                <w:sz w:val="24"/>
                <w:szCs w:val="24"/>
              </w:rPr>
              <w:t>60</w:t>
            </w:r>
          </w:p>
        </w:tc>
        <w:tc>
          <w:tcPr>
            <w:tcW w:w="1500" w:type="dxa"/>
            <w:noWrap w:val="0"/>
            <w:vAlign w:val="center"/>
          </w:tcPr>
          <w:p>
            <w:pPr>
              <w:spacing w:line="320" w:lineRule="exact"/>
              <w:jc w:val="center"/>
              <w:rPr>
                <w:rFonts w:ascii="Times New Roman" w:hAnsi="Times New Roman"/>
                <w:sz w:val="24"/>
                <w:szCs w:val="24"/>
              </w:rPr>
            </w:pPr>
            <w:r>
              <w:rPr>
                <w:rFonts w:ascii="Times New Roman" w:hAnsi="Times New Roman"/>
                <w:sz w:val="24"/>
                <w:szCs w:val="24"/>
              </w:rPr>
              <w:t>55.9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1503" w:type="dxa"/>
            <w:noWrap w:val="0"/>
            <w:vAlign w:val="center"/>
          </w:tcPr>
          <w:p>
            <w:pPr>
              <w:spacing w:line="320" w:lineRule="exact"/>
              <w:jc w:val="center"/>
              <w:rPr>
                <w:rFonts w:ascii="Times New Roman" w:hAnsi="Times New Roman"/>
                <w:sz w:val="24"/>
                <w:szCs w:val="24"/>
              </w:rPr>
            </w:pPr>
            <w:r>
              <w:rPr>
                <w:rFonts w:ascii="Times New Roman" w:hAnsi="Times New Roman"/>
                <w:sz w:val="24"/>
                <w:szCs w:val="24"/>
              </w:rPr>
              <w:t>总计</w:t>
            </w:r>
          </w:p>
        </w:tc>
        <w:tc>
          <w:tcPr>
            <w:tcW w:w="2126" w:type="dxa"/>
            <w:noWrap w:val="0"/>
            <w:vAlign w:val="center"/>
          </w:tcPr>
          <w:p>
            <w:pPr>
              <w:spacing w:line="320" w:lineRule="exact"/>
              <w:jc w:val="center"/>
              <w:rPr>
                <w:rFonts w:ascii="Times New Roman" w:hAnsi="Times New Roman"/>
                <w:sz w:val="24"/>
                <w:szCs w:val="24"/>
              </w:rPr>
            </w:pPr>
            <w:r>
              <w:rPr>
                <w:rFonts w:ascii="Times New Roman" w:hAnsi="Times New Roman"/>
                <w:sz w:val="24"/>
                <w:szCs w:val="24"/>
              </w:rPr>
              <w:t>131.7</w:t>
            </w:r>
          </w:p>
        </w:tc>
        <w:tc>
          <w:tcPr>
            <w:tcW w:w="1500" w:type="dxa"/>
            <w:noWrap w:val="0"/>
            <w:vAlign w:val="center"/>
          </w:tcPr>
          <w:p>
            <w:pPr>
              <w:spacing w:line="320" w:lineRule="exact"/>
              <w:jc w:val="center"/>
              <w:rPr>
                <w:rFonts w:ascii="Times New Roman" w:hAnsi="Times New Roman"/>
                <w:sz w:val="24"/>
                <w:szCs w:val="24"/>
              </w:rPr>
            </w:pPr>
            <w:r>
              <w:rPr>
                <w:rFonts w:ascii="Times New Roman" w:hAnsi="Times New Roman"/>
                <w:sz w:val="24"/>
                <w:szCs w:val="24"/>
              </w:rPr>
              <w:t>1727</w:t>
            </w:r>
          </w:p>
        </w:tc>
        <w:tc>
          <w:tcPr>
            <w:tcW w:w="2443" w:type="dxa"/>
            <w:noWrap w:val="0"/>
            <w:vAlign w:val="center"/>
          </w:tcPr>
          <w:p>
            <w:pPr>
              <w:spacing w:line="320" w:lineRule="exact"/>
              <w:jc w:val="center"/>
              <w:rPr>
                <w:rFonts w:ascii="Times New Roman" w:hAnsi="Times New Roman"/>
                <w:sz w:val="24"/>
                <w:szCs w:val="24"/>
              </w:rPr>
            </w:pPr>
            <w:r>
              <w:rPr>
                <w:rFonts w:ascii="Times New Roman" w:hAnsi="Times New Roman"/>
                <w:sz w:val="24"/>
                <w:szCs w:val="24"/>
              </w:rPr>
              <w:t>271</w:t>
            </w:r>
          </w:p>
        </w:tc>
        <w:tc>
          <w:tcPr>
            <w:tcW w:w="1500" w:type="dxa"/>
            <w:noWrap w:val="0"/>
            <w:vAlign w:val="center"/>
          </w:tcPr>
          <w:p>
            <w:pPr>
              <w:spacing w:line="320" w:lineRule="exact"/>
              <w:jc w:val="center"/>
              <w:rPr>
                <w:rFonts w:ascii="Times New Roman" w:hAnsi="Times New Roman"/>
                <w:sz w:val="24"/>
                <w:szCs w:val="24"/>
              </w:rPr>
            </w:pPr>
            <w:r>
              <w:rPr>
                <w:rFonts w:ascii="Times New Roman" w:hAnsi="Times New Roman"/>
                <w:sz w:val="24"/>
                <w:szCs w:val="24"/>
              </w:rPr>
              <w:t>260.3</w:t>
            </w:r>
          </w:p>
        </w:tc>
      </w:tr>
    </w:tbl>
    <w:p>
      <w:pPr>
        <w:spacing w:before="120" w:after="120" w:line="560" w:lineRule="exact"/>
        <w:jc w:val="center"/>
        <w:rPr>
          <w:rFonts w:ascii="Times New Roman" w:hAnsi="Times New Roman" w:eastAsia="方正黑体_GBK"/>
          <w:sz w:val="32"/>
          <w:szCs w:val="32"/>
        </w:rPr>
      </w:pPr>
      <w:r>
        <w:rPr>
          <w:rFonts w:ascii="Times New Roman" w:hAnsi="Times New Roman" w:eastAsia="方正黑体_GBK"/>
          <w:sz w:val="32"/>
          <w:szCs w:val="32"/>
        </w:rPr>
        <w:t>2016</w:t>
      </w:r>
      <w:r>
        <w:rPr>
          <w:rFonts w:ascii="黑体" w:hAnsi="黑体" w:eastAsia="黑体"/>
          <w:sz w:val="32"/>
          <w:szCs w:val="32"/>
        </w:rPr>
        <w:t>—</w:t>
      </w:r>
      <w:r>
        <w:rPr>
          <w:rFonts w:ascii="Times New Roman" w:hAnsi="Times New Roman" w:eastAsia="方正黑体_GBK"/>
          <w:sz w:val="32"/>
          <w:szCs w:val="32"/>
        </w:rPr>
        <w:t>2020年常州市各辖市区实际到账外资情况表</w:t>
      </w:r>
    </w:p>
    <w:p>
      <w:pPr>
        <w:adjustRightInd w:val="0"/>
        <w:spacing w:line="440" w:lineRule="exact"/>
        <w:jc w:val="right"/>
        <w:rPr>
          <w:rFonts w:ascii="Times New Roman" w:hAnsi="Times New Roman"/>
          <w:sz w:val="24"/>
          <w:szCs w:val="24"/>
        </w:rPr>
      </w:pPr>
      <w:r>
        <w:rPr>
          <w:rFonts w:ascii="Times New Roman" w:hAnsi="Times New Roman"/>
          <w:sz w:val="24"/>
          <w:szCs w:val="24"/>
        </w:rPr>
        <w:t>单位：亿美元</w:t>
      </w:r>
    </w:p>
    <w:tbl>
      <w:tblPr>
        <w:tblStyle w:val="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95"/>
        <w:gridCol w:w="1295"/>
        <w:gridCol w:w="1294"/>
        <w:gridCol w:w="1294"/>
        <w:gridCol w:w="1294"/>
        <w:gridCol w:w="1294"/>
        <w:gridCol w:w="129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295" w:type="dxa"/>
            <w:tcBorders>
              <w:tl2br w:val="single" w:color="auto" w:sz="6" w:space="0"/>
            </w:tcBorders>
            <w:noWrap/>
            <w:vAlign w:val="center"/>
          </w:tcPr>
          <w:p>
            <w:pPr>
              <w:spacing w:line="320" w:lineRule="exact"/>
              <w:ind w:firstLine="240" w:firstLineChars="100"/>
              <w:jc w:val="right"/>
              <w:rPr>
                <w:rFonts w:ascii="Times New Roman" w:hAnsi="Times New Roman" w:eastAsia="黑体"/>
                <w:sz w:val="24"/>
                <w:szCs w:val="24"/>
              </w:rPr>
            </w:pPr>
            <w:r>
              <w:rPr>
                <w:rFonts w:ascii="Times New Roman" w:eastAsia="黑体"/>
                <w:sz w:val="24"/>
                <w:szCs w:val="24"/>
              </w:rPr>
              <w:t>辖市区</w:t>
            </w:r>
          </w:p>
          <w:p>
            <w:pPr>
              <w:widowControl/>
              <w:jc w:val="center"/>
              <w:rPr>
                <w:rFonts w:ascii="Times New Roman" w:hAnsi="Times New Roman" w:eastAsia="黑体"/>
                <w:sz w:val="24"/>
                <w:szCs w:val="24"/>
              </w:rPr>
            </w:pPr>
          </w:p>
          <w:p>
            <w:pPr>
              <w:widowControl/>
              <w:jc w:val="left"/>
              <w:rPr>
                <w:rFonts w:ascii="Times New Roman" w:hAnsi="Times New Roman"/>
                <w:sz w:val="24"/>
                <w:szCs w:val="24"/>
              </w:rPr>
            </w:pPr>
            <w:r>
              <w:rPr>
                <w:rFonts w:ascii="Times New Roman" w:eastAsia="黑体"/>
                <w:sz w:val="24"/>
                <w:szCs w:val="24"/>
              </w:rPr>
              <w:t>年份</w:t>
            </w:r>
          </w:p>
        </w:tc>
        <w:tc>
          <w:tcPr>
            <w:tcW w:w="1295" w:type="dxa"/>
            <w:noWrap w:val="0"/>
            <w:vAlign w:val="center"/>
          </w:tcPr>
          <w:p>
            <w:pPr>
              <w:spacing w:line="320" w:lineRule="exact"/>
              <w:jc w:val="center"/>
              <w:rPr>
                <w:rFonts w:ascii="Times New Roman" w:hAnsi="Times New Roman" w:eastAsia="黑体"/>
                <w:sz w:val="24"/>
                <w:szCs w:val="24"/>
              </w:rPr>
            </w:pPr>
            <w:r>
              <w:rPr>
                <w:rFonts w:ascii="Times New Roman" w:eastAsia="黑体"/>
                <w:sz w:val="24"/>
                <w:szCs w:val="24"/>
              </w:rPr>
              <w:t>溧阳市</w:t>
            </w:r>
          </w:p>
        </w:tc>
        <w:tc>
          <w:tcPr>
            <w:tcW w:w="1294" w:type="dxa"/>
            <w:noWrap w:val="0"/>
            <w:vAlign w:val="center"/>
          </w:tcPr>
          <w:p>
            <w:pPr>
              <w:spacing w:line="320" w:lineRule="exact"/>
              <w:jc w:val="center"/>
              <w:rPr>
                <w:rFonts w:ascii="Times New Roman" w:hAnsi="Times New Roman" w:eastAsia="黑体"/>
                <w:sz w:val="24"/>
                <w:szCs w:val="24"/>
              </w:rPr>
            </w:pPr>
            <w:r>
              <w:rPr>
                <w:rFonts w:ascii="Times New Roman" w:eastAsia="黑体"/>
                <w:sz w:val="24"/>
                <w:szCs w:val="24"/>
              </w:rPr>
              <w:t>金坛区</w:t>
            </w:r>
          </w:p>
        </w:tc>
        <w:tc>
          <w:tcPr>
            <w:tcW w:w="1294" w:type="dxa"/>
            <w:noWrap w:val="0"/>
            <w:vAlign w:val="center"/>
          </w:tcPr>
          <w:p>
            <w:pPr>
              <w:spacing w:line="320" w:lineRule="exact"/>
              <w:ind w:left="-210" w:leftChars="-100" w:right="-210" w:rightChars="-100"/>
              <w:jc w:val="center"/>
              <w:rPr>
                <w:rFonts w:ascii="Times New Roman" w:eastAsia="黑体"/>
                <w:sz w:val="24"/>
                <w:szCs w:val="24"/>
              </w:rPr>
            </w:pPr>
            <w:r>
              <w:rPr>
                <w:rFonts w:ascii="Times New Roman" w:eastAsia="黑体"/>
                <w:sz w:val="24"/>
                <w:szCs w:val="24"/>
              </w:rPr>
              <w:t>武进区</w:t>
            </w:r>
          </w:p>
          <w:p>
            <w:pPr>
              <w:spacing w:line="320" w:lineRule="exact"/>
              <w:ind w:left="-210" w:leftChars="-100" w:right="-210" w:rightChars="-100"/>
              <w:jc w:val="center"/>
              <w:rPr>
                <w:rFonts w:ascii="Times New Roman" w:eastAsia="黑体"/>
                <w:sz w:val="24"/>
                <w:szCs w:val="24"/>
              </w:rPr>
            </w:pPr>
            <w:r>
              <w:rPr>
                <w:rFonts w:ascii="Times New Roman" w:eastAsia="黑体"/>
                <w:sz w:val="24"/>
                <w:szCs w:val="24"/>
              </w:rPr>
              <w:t>（含常经开）</w:t>
            </w:r>
          </w:p>
        </w:tc>
        <w:tc>
          <w:tcPr>
            <w:tcW w:w="1294" w:type="dxa"/>
            <w:noWrap w:val="0"/>
            <w:vAlign w:val="center"/>
          </w:tcPr>
          <w:p>
            <w:pPr>
              <w:spacing w:line="320" w:lineRule="exact"/>
              <w:jc w:val="center"/>
              <w:rPr>
                <w:rFonts w:ascii="Times New Roman" w:hAnsi="Times New Roman" w:eastAsia="黑体"/>
                <w:sz w:val="24"/>
                <w:szCs w:val="24"/>
              </w:rPr>
            </w:pPr>
            <w:r>
              <w:rPr>
                <w:rFonts w:ascii="Times New Roman" w:eastAsia="黑体"/>
                <w:sz w:val="24"/>
                <w:szCs w:val="24"/>
              </w:rPr>
              <w:t>新北区</w:t>
            </w:r>
          </w:p>
        </w:tc>
        <w:tc>
          <w:tcPr>
            <w:tcW w:w="1294" w:type="dxa"/>
            <w:noWrap w:val="0"/>
            <w:vAlign w:val="center"/>
          </w:tcPr>
          <w:p>
            <w:pPr>
              <w:spacing w:line="320" w:lineRule="exact"/>
              <w:jc w:val="center"/>
              <w:rPr>
                <w:rFonts w:ascii="Times New Roman" w:hAnsi="Times New Roman" w:eastAsia="黑体"/>
                <w:sz w:val="24"/>
                <w:szCs w:val="24"/>
              </w:rPr>
            </w:pPr>
            <w:r>
              <w:rPr>
                <w:rFonts w:ascii="Times New Roman" w:eastAsia="黑体"/>
                <w:sz w:val="24"/>
                <w:szCs w:val="24"/>
              </w:rPr>
              <w:t>天宁区</w:t>
            </w:r>
          </w:p>
        </w:tc>
        <w:tc>
          <w:tcPr>
            <w:tcW w:w="1294" w:type="dxa"/>
            <w:noWrap w:val="0"/>
            <w:vAlign w:val="center"/>
          </w:tcPr>
          <w:p>
            <w:pPr>
              <w:spacing w:line="320" w:lineRule="exact"/>
              <w:jc w:val="center"/>
              <w:rPr>
                <w:rFonts w:ascii="Times New Roman" w:hAnsi="Times New Roman" w:eastAsia="黑体"/>
                <w:sz w:val="24"/>
                <w:szCs w:val="24"/>
              </w:rPr>
            </w:pPr>
            <w:r>
              <w:rPr>
                <w:rFonts w:ascii="Times New Roman" w:eastAsia="黑体"/>
                <w:sz w:val="24"/>
                <w:szCs w:val="24"/>
              </w:rPr>
              <w:t>钟楼区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295" w:type="dxa"/>
            <w:noWrap/>
            <w:vAlign w:val="center"/>
          </w:tcPr>
          <w:p>
            <w:pPr>
              <w:spacing w:line="320" w:lineRule="exact"/>
              <w:jc w:val="center"/>
              <w:rPr>
                <w:rFonts w:ascii="Times New Roman" w:hAnsi="Times New Roman"/>
                <w:sz w:val="24"/>
                <w:szCs w:val="24"/>
              </w:rPr>
            </w:pPr>
            <w:r>
              <w:rPr>
                <w:rFonts w:ascii="Times New Roman" w:hAnsi="Times New Roman"/>
                <w:sz w:val="24"/>
                <w:szCs w:val="24"/>
              </w:rPr>
              <w:t>2016年</w:t>
            </w:r>
          </w:p>
        </w:tc>
        <w:tc>
          <w:tcPr>
            <w:tcW w:w="1295" w:type="dxa"/>
            <w:noWrap/>
            <w:vAlign w:val="center"/>
          </w:tcPr>
          <w:p>
            <w:pPr>
              <w:spacing w:line="320" w:lineRule="exact"/>
              <w:jc w:val="center"/>
              <w:rPr>
                <w:rFonts w:ascii="Times New Roman" w:hAnsi="Times New Roman"/>
                <w:sz w:val="24"/>
                <w:szCs w:val="24"/>
              </w:rPr>
            </w:pPr>
            <w:r>
              <w:rPr>
                <w:rFonts w:ascii="Times New Roman" w:hAnsi="Times New Roman"/>
                <w:sz w:val="24"/>
                <w:szCs w:val="24"/>
              </w:rPr>
              <w:t>3.36</w:t>
            </w:r>
          </w:p>
        </w:tc>
        <w:tc>
          <w:tcPr>
            <w:tcW w:w="1294" w:type="dxa"/>
            <w:noWrap/>
            <w:vAlign w:val="center"/>
          </w:tcPr>
          <w:p>
            <w:pPr>
              <w:spacing w:line="320" w:lineRule="exact"/>
              <w:jc w:val="center"/>
              <w:rPr>
                <w:rFonts w:ascii="Times New Roman" w:hAnsi="Times New Roman"/>
                <w:sz w:val="24"/>
                <w:szCs w:val="24"/>
              </w:rPr>
            </w:pPr>
            <w:r>
              <w:rPr>
                <w:rFonts w:ascii="Times New Roman" w:hAnsi="Times New Roman"/>
                <w:sz w:val="24"/>
                <w:szCs w:val="24"/>
              </w:rPr>
              <w:t>3.20</w:t>
            </w:r>
          </w:p>
        </w:tc>
        <w:tc>
          <w:tcPr>
            <w:tcW w:w="1294" w:type="dxa"/>
            <w:noWrap/>
            <w:vAlign w:val="center"/>
          </w:tcPr>
          <w:p>
            <w:pPr>
              <w:spacing w:line="320" w:lineRule="exact"/>
              <w:jc w:val="center"/>
              <w:rPr>
                <w:rFonts w:ascii="Times New Roman" w:hAnsi="Times New Roman"/>
                <w:sz w:val="24"/>
                <w:szCs w:val="24"/>
              </w:rPr>
            </w:pPr>
            <w:r>
              <w:rPr>
                <w:rFonts w:ascii="Times New Roman" w:hAnsi="Times New Roman"/>
                <w:sz w:val="24"/>
                <w:szCs w:val="24"/>
              </w:rPr>
              <w:t>8.50</w:t>
            </w:r>
          </w:p>
        </w:tc>
        <w:tc>
          <w:tcPr>
            <w:tcW w:w="1294" w:type="dxa"/>
            <w:noWrap/>
            <w:vAlign w:val="center"/>
          </w:tcPr>
          <w:p>
            <w:pPr>
              <w:spacing w:line="320" w:lineRule="exact"/>
              <w:jc w:val="center"/>
              <w:rPr>
                <w:rFonts w:ascii="Times New Roman" w:hAnsi="Times New Roman"/>
                <w:sz w:val="24"/>
                <w:szCs w:val="24"/>
              </w:rPr>
            </w:pPr>
            <w:r>
              <w:rPr>
                <w:rFonts w:ascii="Times New Roman" w:hAnsi="Times New Roman"/>
                <w:sz w:val="24"/>
                <w:szCs w:val="24"/>
              </w:rPr>
              <w:t>8.50</w:t>
            </w:r>
          </w:p>
        </w:tc>
        <w:tc>
          <w:tcPr>
            <w:tcW w:w="1294" w:type="dxa"/>
            <w:noWrap/>
            <w:vAlign w:val="center"/>
          </w:tcPr>
          <w:p>
            <w:pPr>
              <w:spacing w:line="320" w:lineRule="exact"/>
              <w:jc w:val="center"/>
              <w:rPr>
                <w:rFonts w:ascii="Times New Roman" w:hAnsi="Times New Roman"/>
                <w:sz w:val="24"/>
                <w:szCs w:val="24"/>
              </w:rPr>
            </w:pPr>
            <w:r>
              <w:rPr>
                <w:rFonts w:ascii="Times New Roman" w:hAnsi="Times New Roman"/>
                <w:sz w:val="24"/>
                <w:szCs w:val="24"/>
              </w:rPr>
              <w:t>2.60</w:t>
            </w:r>
          </w:p>
        </w:tc>
        <w:tc>
          <w:tcPr>
            <w:tcW w:w="1294" w:type="dxa"/>
            <w:noWrap/>
            <w:vAlign w:val="center"/>
          </w:tcPr>
          <w:p>
            <w:pPr>
              <w:spacing w:line="320" w:lineRule="exact"/>
              <w:jc w:val="center"/>
              <w:rPr>
                <w:rFonts w:ascii="Times New Roman" w:hAnsi="Times New Roman"/>
                <w:sz w:val="24"/>
                <w:szCs w:val="24"/>
              </w:rPr>
            </w:pPr>
            <w:r>
              <w:rPr>
                <w:rFonts w:ascii="Times New Roman" w:hAnsi="Times New Roman"/>
                <w:sz w:val="24"/>
                <w:szCs w:val="24"/>
              </w:rPr>
              <w:t>1.89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295" w:type="dxa"/>
            <w:noWrap/>
            <w:vAlign w:val="center"/>
          </w:tcPr>
          <w:p>
            <w:pPr>
              <w:spacing w:line="320" w:lineRule="exact"/>
              <w:jc w:val="center"/>
              <w:rPr>
                <w:rFonts w:ascii="Times New Roman" w:hAnsi="Times New Roman"/>
                <w:sz w:val="24"/>
                <w:szCs w:val="24"/>
              </w:rPr>
            </w:pPr>
            <w:r>
              <w:rPr>
                <w:rFonts w:ascii="Times New Roman" w:hAnsi="Times New Roman"/>
                <w:sz w:val="24"/>
                <w:szCs w:val="24"/>
              </w:rPr>
              <w:t>2017年</w:t>
            </w:r>
          </w:p>
        </w:tc>
        <w:tc>
          <w:tcPr>
            <w:tcW w:w="1295" w:type="dxa"/>
            <w:noWrap/>
            <w:vAlign w:val="center"/>
          </w:tcPr>
          <w:p>
            <w:pPr>
              <w:spacing w:line="320" w:lineRule="exact"/>
              <w:jc w:val="center"/>
              <w:rPr>
                <w:rFonts w:ascii="Times New Roman" w:hAnsi="Times New Roman"/>
                <w:sz w:val="24"/>
                <w:szCs w:val="24"/>
              </w:rPr>
            </w:pPr>
            <w:r>
              <w:rPr>
                <w:rFonts w:ascii="Times New Roman" w:hAnsi="Times New Roman"/>
                <w:sz w:val="24"/>
                <w:szCs w:val="24"/>
              </w:rPr>
              <w:t>2.50</w:t>
            </w:r>
          </w:p>
        </w:tc>
        <w:tc>
          <w:tcPr>
            <w:tcW w:w="1294" w:type="dxa"/>
            <w:noWrap/>
            <w:vAlign w:val="center"/>
          </w:tcPr>
          <w:p>
            <w:pPr>
              <w:spacing w:line="320" w:lineRule="exact"/>
              <w:jc w:val="center"/>
              <w:rPr>
                <w:rFonts w:ascii="Times New Roman" w:hAnsi="Times New Roman"/>
                <w:sz w:val="24"/>
                <w:szCs w:val="24"/>
              </w:rPr>
            </w:pPr>
            <w:r>
              <w:rPr>
                <w:rFonts w:ascii="Times New Roman" w:hAnsi="Times New Roman"/>
                <w:sz w:val="24"/>
                <w:szCs w:val="24"/>
              </w:rPr>
              <w:t>1.01</w:t>
            </w:r>
          </w:p>
        </w:tc>
        <w:tc>
          <w:tcPr>
            <w:tcW w:w="1294" w:type="dxa"/>
            <w:noWrap/>
            <w:vAlign w:val="center"/>
          </w:tcPr>
          <w:p>
            <w:pPr>
              <w:spacing w:line="320" w:lineRule="exact"/>
              <w:jc w:val="center"/>
              <w:rPr>
                <w:rFonts w:ascii="Times New Roman" w:hAnsi="Times New Roman"/>
                <w:sz w:val="24"/>
                <w:szCs w:val="24"/>
              </w:rPr>
            </w:pPr>
            <w:r>
              <w:rPr>
                <w:rFonts w:ascii="Times New Roman" w:hAnsi="Times New Roman"/>
                <w:sz w:val="24"/>
                <w:szCs w:val="24"/>
              </w:rPr>
              <w:t>7.21</w:t>
            </w:r>
          </w:p>
        </w:tc>
        <w:tc>
          <w:tcPr>
            <w:tcW w:w="1294" w:type="dxa"/>
            <w:noWrap/>
            <w:vAlign w:val="center"/>
          </w:tcPr>
          <w:p>
            <w:pPr>
              <w:spacing w:line="320" w:lineRule="exact"/>
              <w:jc w:val="center"/>
              <w:rPr>
                <w:rFonts w:ascii="Times New Roman" w:hAnsi="Times New Roman"/>
                <w:sz w:val="24"/>
                <w:szCs w:val="24"/>
              </w:rPr>
            </w:pPr>
            <w:r>
              <w:rPr>
                <w:rFonts w:ascii="Times New Roman" w:hAnsi="Times New Roman"/>
                <w:sz w:val="24"/>
                <w:szCs w:val="24"/>
              </w:rPr>
              <w:t>7.00</w:t>
            </w:r>
          </w:p>
        </w:tc>
        <w:tc>
          <w:tcPr>
            <w:tcW w:w="1294" w:type="dxa"/>
            <w:noWrap/>
            <w:vAlign w:val="center"/>
          </w:tcPr>
          <w:p>
            <w:pPr>
              <w:spacing w:line="320" w:lineRule="exact"/>
              <w:jc w:val="center"/>
              <w:rPr>
                <w:rFonts w:ascii="Times New Roman" w:hAnsi="Times New Roman"/>
                <w:sz w:val="24"/>
                <w:szCs w:val="24"/>
              </w:rPr>
            </w:pPr>
            <w:r>
              <w:rPr>
                <w:rFonts w:ascii="Times New Roman" w:hAnsi="Times New Roman"/>
                <w:sz w:val="24"/>
                <w:szCs w:val="24"/>
              </w:rPr>
              <w:t>1.56</w:t>
            </w:r>
          </w:p>
        </w:tc>
        <w:tc>
          <w:tcPr>
            <w:tcW w:w="1294" w:type="dxa"/>
            <w:noWrap/>
            <w:vAlign w:val="center"/>
          </w:tcPr>
          <w:p>
            <w:pPr>
              <w:spacing w:line="320" w:lineRule="exact"/>
              <w:jc w:val="center"/>
              <w:rPr>
                <w:rFonts w:ascii="Times New Roman" w:hAnsi="Times New Roman"/>
                <w:sz w:val="24"/>
                <w:szCs w:val="24"/>
              </w:rPr>
            </w:pPr>
            <w:r>
              <w:rPr>
                <w:rFonts w:ascii="Times New Roman" w:hAnsi="Times New Roman"/>
                <w:sz w:val="24"/>
                <w:szCs w:val="24"/>
              </w:rPr>
              <w:t>1.52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295" w:type="dxa"/>
            <w:noWrap/>
            <w:vAlign w:val="center"/>
          </w:tcPr>
          <w:p>
            <w:pPr>
              <w:spacing w:line="320" w:lineRule="exact"/>
              <w:jc w:val="center"/>
              <w:rPr>
                <w:rFonts w:ascii="Times New Roman" w:hAnsi="Times New Roman"/>
                <w:sz w:val="24"/>
                <w:szCs w:val="24"/>
              </w:rPr>
            </w:pPr>
            <w:r>
              <w:rPr>
                <w:rFonts w:ascii="Times New Roman" w:hAnsi="Times New Roman"/>
                <w:sz w:val="24"/>
                <w:szCs w:val="24"/>
              </w:rPr>
              <w:t>2018年</w:t>
            </w:r>
          </w:p>
        </w:tc>
        <w:tc>
          <w:tcPr>
            <w:tcW w:w="1295" w:type="dxa"/>
            <w:noWrap/>
            <w:vAlign w:val="center"/>
          </w:tcPr>
          <w:p>
            <w:pPr>
              <w:spacing w:line="320" w:lineRule="exact"/>
              <w:jc w:val="center"/>
              <w:rPr>
                <w:rFonts w:ascii="Times New Roman" w:hAnsi="Times New Roman"/>
                <w:sz w:val="24"/>
                <w:szCs w:val="24"/>
              </w:rPr>
            </w:pPr>
            <w:r>
              <w:rPr>
                <w:rFonts w:ascii="Times New Roman" w:hAnsi="Times New Roman"/>
                <w:sz w:val="24"/>
                <w:szCs w:val="24"/>
              </w:rPr>
              <w:t>3.01</w:t>
            </w:r>
          </w:p>
        </w:tc>
        <w:tc>
          <w:tcPr>
            <w:tcW w:w="1294" w:type="dxa"/>
            <w:noWrap/>
            <w:vAlign w:val="center"/>
          </w:tcPr>
          <w:p>
            <w:pPr>
              <w:spacing w:line="320" w:lineRule="exact"/>
              <w:jc w:val="center"/>
              <w:rPr>
                <w:rFonts w:ascii="Times New Roman" w:hAnsi="Times New Roman"/>
                <w:sz w:val="24"/>
                <w:szCs w:val="24"/>
              </w:rPr>
            </w:pPr>
            <w:r>
              <w:rPr>
                <w:rFonts w:ascii="Times New Roman" w:hAnsi="Times New Roman"/>
                <w:sz w:val="24"/>
                <w:szCs w:val="24"/>
              </w:rPr>
              <w:t>3.00</w:t>
            </w:r>
          </w:p>
        </w:tc>
        <w:tc>
          <w:tcPr>
            <w:tcW w:w="1294" w:type="dxa"/>
            <w:noWrap/>
            <w:vAlign w:val="center"/>
          </w:tcPr>
          <w:p>
            <w:pPr>
              <w:spacing w:line="320" w:lineRule="exact"/>
              <w:jc w:val="center"/>
              <w:rPr>
                <w:rFonts w:ascii="Times New Roman" w:hAnsi="Times New Roman"/>
                <w:sz w:val="24"/>
                <w:szCs w:val="24"/>
              </w:rPr>
            </w:pPr>
            <w:r>
              <w:rPr>
                <w:rFonts w:ascii="Times New Roman" w:hAnsi="Times New Roman"/>
                <w:sz w:val="24"/>
                <w:szCs w:val="24"/>
              </w:rPr>
              <w:t>7.70</w:t>
            </w:r>
          </w:p>
        </w:tc>
        <w:tc>
          <w:tcPr>
            <w:tcW w:w="1294" w:type="dxa"/>
            <w:noWrap/>
            <w:vAlign w:val="center"/>
          </w:tcPr>
          <w:p>
            <w:pPr>
              <w:spacing w:line="320" w:lineRule="exact"/>
              <w:jc w:val="center"/>
              <w:rPr>
                <w:rFonts w:ascii="Times New Roman" w:hAnsi="Times New Roman"/>
                <w:sz w:val="24"/>
                <w:szCs w:val="24"/>
              </w:rPr>
            </w:pPr>
            <w:r>
              <w:rPr>
                <w:rFonts w:ascii="Times New Roman" w:hAnsi="Times New Roman"/>
                <w:sz w:val="24"/>
                <w:szCs w:val="24"/>
              </w:rPr>
              <w:t>7.70</w:t>
            </w:r>
          </w:p>
        </w:tc>
        <w:tc>
          <w:tcPr>
            <w:tcW w:w="1294" w:type="dxa"/>
            <w:noWrap/>
            <w:vAlign w:val="center"/>
          </w:tcPr>
          <w:p>
            <w:pPr>
              <w:spacing w:line="320" w:lineRule="exact"/>
              <w:jc w:val="center"/>
              <w:rPr>
                <w:rFonts w:ascii="Times New Roman" w:hAnsi="Times New Roman"/>
                <w:sz w:val="24"/>
                <w:szCs w:val="24"/>
              </w:rPr>
            </w:pPr>
            <w:r>
              <w:rPr>
                <w:rFonts w:ascii="Times New Roman" w:hAnsi="Times New Roman"/>
                <w:sz w:val="24"/>
                <w:szCs w:val="24"/>
              </w:rPr>
              <w:t>2.01</w:t>
            </w:r>
          </w:p>
        </w:tc>
        <w:tc>
          <w:tcPr>
            <w:tcW w:w="1294" w:type="dxa"/>
            <w:noWrap/>
            <w:vAlign w:val="center"/>
          </w:tcPr>
          <w:p>
            <w:pPr>
              <w:spacing w:line="320" w:lineRule="exact"/>
              <w:jc w:val="center"/>
              <w:rPr>
                <w:rFonts w:ascii="Times New Roman" w:hAnsi="Times New Roman"/>
                <w:sz w:val="24"/>
                <w:szCs w:val="24"/>
              </w:rPr>
            </w:pPr>
            <w:r>
              <w:rPr>
                <w:rFonts w:ascii="Times New Roman" w:hAnsi="Times New Roman"/>
                <w:sz w:val="24"/>
                <w:szCs w:val="24"/>
              </w:rPr>
              <w:t>1.92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295" w:type="dxa"/>
            <w:noWrap/>
            <w:vAlign w:val="center"/>
          </w:tcPr>
          <w:p>
            <w:pPr>
              <w:spacing w:line="320" w:lineRule="exact"/>
              <w:jc w:val="center"/>
              <w:rPr>
                <w:rFonts w:ascii="Times New Roman" w:hAnsi="Times New Roman"/>
                <w:sz w:val="24"/>
                <w:szCs w:val="24"/>
              </w:rPr>
            </w:pPr>
            <w:r>
              <w:rPr>
                <w:rFonts w:ascii="Times New Roman" w:hAnsi="Times New Roman"/>
                <w:sz w:val="24"/>
                <w:szCs w:val="24"/>
              </w:rPr>
              <w:t>2019年</w:t>
            </w:r>
          </w:p>
        </w:tc>
        <w:tc>
          <w:tcPr>
            <w:tcW w:w="1295" w:type="dxa"/>
            <w:noWrap/>
            <w:vAlign w:val="center"/>
          </w:tcPr>
          <w:p>
            <w:pPr>
              <w:spacing w:line="320" w:lineRule="exact"/>
              <w:jc w:val="center"/>
              <w:rPr>
                <w:rFonts w:ascii="Times New Roman" w:hAnsi="Times New Roman"/>
                <w:sz w:val="24"/>
                <w:szCs w:val="24"/>
              </w:rPr>
            </w:pPr>
            <w:r>
              <w:rPr>
                <w:rFonts w:ascii="Times New Roman" w:hAnsi="Times New Roman"/>
                <w:sz w:val="24"/>
                <w:szCs w:val="24"/>
              </w:rPr>
              <w:t>3.00</w:t>
            </w:r>
          </w:p>
        </w:tc>
        <w:tc>
          <w:tcPr>
            <w:tcW w:w="1294" w:type="dxa"/>
            <w:noWrap/>
            <w:vAlign w:val="center"/>
          </w:tcPr>
          <w:p>
            <w:pPr>
              <w:spacing w:line="320" w:lineRule="exact"/>
              <w:jc w:val="center"/>
              <w:rPr>
                <w:rFonts w:ascii="Times New Roman" w:hAnsi="Times New Roman"/>
                <w:sz w:val="24"/>
                <w:szCs w:val="24"/>
              </w:rPr>
            </w:pPr>
            <w:r>
              <w:rPr>
                <w:rFonts w:ascii="Times New Roman" w:hAnsi="Times New Roman"/>
                <w:sz w:val="24"/>
                <w:szCs w:val="24"/>
              </w:rPr>
              <w:t>3.03</w:t>
            </w:r>
          </w:p>
        </w:tc>
        <w:tc>
          <w:tcPr>
            <w:tcW w:w="1294" w:type="dxa"/>
            <w:noWrap/>
            <w:vAlign w:val="center"/>
          </w:tcPr>
          <w:p>
            <w:pPr>
              <w:spacing w:line="320" w:lineRule="exact"/>
              <w:jc w:val="center"/>
              <w:rPr>
                <w:rFonts w:ascii="Times New Roman" w:hAnsi="Times New Roman"/>
                <w:sz w:val="24"/>
                <w:szCs w:val="24"/>
              </w:rPr>
            </w:pPr>
            <w:r>
              <w:rPr>
                <w:rFonts w:ascii="Times New Roman" w:hAnsi="Times New Roman"/>
                <w:sz w:val="24"/>
                <w:szCs w:val="24"/>
              </w:rPr>
              <w:t>7.60</w:t>
            </w:r>
          </w:p>
        </w:tc>
        <w:tc>
          <w:tcPr>
            <w:tcW w:w="1294" w:type="dxa"/>
            <w:noWrap/>
            <w:vAlign w:val="center"/>
          </w:tcPr>
          <w:p>
            <w:pPr>
              <w:spacing w:line="320" w:lineRule="exact"/>
              <w:jc w:val="center"/>
              <w:rPr>
                <w:rFonts w:ascii="Times New Roman" w:hAnsi="Times New Roman"/>
                <w:sz w:val="24"/>
                <w:szCs w:val="24"/>
              </w:rPr>
            </w:pPr>
            <w:r>
              <w:rPr>
                <w:rFonts w:ascii="Times New Roman" w:hAnsi="Times New Roman"/>
                <w:sz w:val="24"/>
                <w:szCs w:val="24"/>
              </w:rPr>
              <w:t>7.62</w:t>
            </w:r>
          </w:p>
        </w:tc>
        <w:tc>
          <w:tcPr>
            <w:tcW w:w="1294" w:type="dxa"/>
            <w:noWrap/>
            <w:vAlign w:val="center"/>
          </w:tcPr>
          <w:p>
            <w:pPr>
              <w:spacing w:line="320" w:lineRule="exact"/>
              <w:jc w:val="center"/>
              <w:rPr>
                <w:rFonts w:ascii="Times New Roman" w:hAnsi="Times New Roman"/>
                <w:sz w:val="24"/>
                <w:szCs w:val="24"/>
              </w:rPr>
            </w:pPr>
            <w:r>
              <w:rPr>
                <w:rFonts w:ascii="Times New Roman" w:hAnsi="Times New Roman"/>
                <w:sz w:val="24"/>
                <w:szCs w:val="24"/>
              </w:rPr>
              <w:t>2.12</w:t>
            </w:r>
          </w:p>
        </w:tc>
        <w:tc>
          <w:tcPr>
            <w:tcW w:w="1294" w:type="dxa"/>
            <w:noWrap/>
            <w:vAlign w:val="center"/>
          </w:tcPr>
          <w:p>
            <w:pPr>
              <w:spacing w:line="320" w:lineRule="exact"/>
              <w:jc w:val="center"/>
              <w:rPr>
                <w:rFonts w:ascii="Times New Roman" w:hAnsi="Times New Roman"/>
                <w:sz w:val="24"/>
                <w:szCs w:val="24"/>
              </w:rPr>
            </w:pPr>
            <w:r>
              <w:rPr>
                <w:rFonts w:ascii="Times New Roman" w:hAnsi="Times New Roman"/>
                <w:sz w:val="24"/>
                <w:szCs w:val="24"/>
              </w:rPr>
              <w:t>1.90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295" w:type="dxa"/>
            <w:noWrap/>
            <w:vAlign w:val="center"/>
          </w:tcPr>
          <w:p>
            <w:pPr>
              <w:spacing w:line="320" w:lineRule="exact"/>
              <w:jc w:val="center"/>
              <w:rPr>
                <w:rFonts w:ascii="Times New Roman" w:hAnsi="Times New Roman"/>
                <w:sz w:val="24"/>
                <w:szCs w:val="24"/>
              </w:rPr>
            </w:pPr>
            <w:r>
              <w:rPr>
                <w:rFonts w:ascii="Times New Roman" w:hAnsi="Times New Roman"/>
                <w:sz w:val="24"/>
                <w:szCs w:val="24"/>
              </w:rPr>
              <w:t>2020年</w:t>
            </w:r>
          </w:p>
        </w:tc>
        <w:tc>
          <w:tcPr>
            <w:tcW w:w="1295" w:type="dxa"/>
            <w:noWrap/>
            <w:vAlign w:val="center"/>
          </w:tcPr>
          <w:p>
            <w:pPr>
              <w:spacing w:line="320" w:lineRule="exact"/>
              <w:jc w:val="center"/>
              <w:rPr>
                <w:rFonts w:ascii="Times New Roman" w:hAnsi="Times New Roman"/>
                <w:sz w:val="24"/>
                <w:szCs w:val="24"/>
              </w:rPr>
            </w:pPr>
            <w:r>
              <w:rPr>
                <w:rFonts w:ascii="Times New Roman" w:hAnsi="Times New Roman"/>
                <w:sz w:val="24"/>
                <w:szCs w:val="24"/>
              </w:rPr>
              <w:t>3.34</w:t>
            </w:r>
          </w:p>
        </w:tc>
        <w:tc>
          <w:tcPr>
            <w:tcW w:w="1294" w:type="dxa"/>
            <w:noWrap/>
            <w:vAlign w:val="center"/>
          </w:tcPr>
          <w:p>
            <w:pPr>
              <w:spacing w:line="320" w:lineRule="exact"/>
              <w:jc w:val="center"/>
              <w:rPr>
                <w:rFonts w:ascii="Times New Roman" w:hAnsi="Times New Roman"/>
                <w:sz w:val="24"/>
                <w:szCs w:val="24"/>
              </w:rPr>
            </w:pPr>
            <w:r>
              <w:rPr>
                <w:rFonts w:ascii="Times New Roman" w:hAnsi="Times New Roman"/>
                <w:sz w:val="24"/>
                <w:szCs w:val="24"/>
              </w:rPr>
              <w:t>3.36</w:t>
            </w:r>
          </w:p>
        </w:tc>
        <w:tc>
          <w:tcPr>
            <w:tcW w:w="1294" w:type="dxa"/>
            <w:noWrap/>
            <w:vAlign w:val="center"/>
          </w:tcPr>
          <w:p>
            <w:pPr>
              <w:spacing w:line="320" w:lineRule="exact"/>
              <w:jc w:val="center"/>
              <w:rPr>
                <w:rFonts w:ascii="Times New Roman" w:hAnsi="Times New Roman"/>
                <w:sz w:val="24"/>
                <w:szCs w:val="24"/>
              </w:rPr>
            </w:pPr>
            <w:r>
              <w:rPr>
                <w:rFonts w:ascii="Times New Roman" w:hAnsi="Times New Roman"/>
                <w:sz w:val="24"/>
                <w:szCs w:val="24"/>
              </w:rPr>
              <w:t>8.11</w:t>
            </w:r>
          </w:p>
        </w:tc>
        <w:tc>
          <w:tcPr>
            <w:tcW w:w="1294" w:type="dxa"/>
            <w:noWrap/>
            <w:vAlign w:val="center"/>
          </w:tcPr>
          <w:p>
            <w:pPr>
              <w:spacing w:line="320" w:lineRule="exact"/>
              <w:jc w:val="center"/>
              <w:rPr>
                <w:rFonts w:ascii="Times New Roman" w:hAnsi="Times New Roman"/>
                <w:sz w:val="24"/>
                <w:szCs w:val="24"/>
              </w:rPr>
            </w:pPr>
            <w:r>
              <w:rPr>
                <w:rFonts w:ascii="Times New Roman" w:hAnsi="Times New Roman"/>
                <w:sz w:val="24"/>
                <w:szCs w:val="24"/>
              </w:rPr>
              <w:t>8.00</w:t>
            </w:r>
          </w:p>
        </w:tc>
        <w:tc>
          <w:tcPr>
            <w:tcW w:w="1294" w:type="dxa"/>
            <w:noWrap/>
            <w:vAlign w:val="center"/>
          </w:tcPr>
          <w:p>
            <w:pPr>
              <w:spacing w:line="320" w:lineRule="exact"/>
              <w:jc w:val="center"/>
              <w:rPr>
                <w:rFonts w:ascii="Times New Roman" w:hAnsi="Times New Roman"/>
                <w:sz w:val="24"/>
                <w:szCs w:val="24"/>
              </w:rPr>
            </w:pPr>
            <w:r>
              <w:rPr>
                <w:rFonts w:ascii="Times New Roman" w:hAnsi="Times New Roman"/>
                <w:sz w:val="24"/>
                <w:szCs w:val="24"/>
              </w:rPr>
              <w:t>2.31</w:t>
            </w:r>
          </w:p>
        </w:tc>
        <w:tc>
          <w:tcPr>
            <w:tcW w:w="1294" w:type="dxa"/>
            <w:noWrap/>
            <w:vAlign w:val="center"/>
          </w:tcPr>
          <w:p>
            <w:pPr>
              <w:spacing w:line="320" w:lineRule="exact"/>
              <w:jc w:val="center"/>
              <w:rPr>
                <w:rFonts w:ascii="Times New Roman" w:hAnsi="Times New Roman"/>
                <w:sz w:val="24"/>
                <w:szCs w:val="24"/>
              </w:rPr>
            </w:pPr>
            <w:r>
              <w:rPr>
                <w:rFonts w:ascii="Times New Roman" w:hAnsi="Times New Roman"/>
                <w:sz w:val="24"/>
                <w:szCs w:val="24"/>
              </w:rPr>
              <w:t>2.15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295" w:type="dxa"/>
            <w:noWrap/>
            <w:vAlign w:val="center"/>
          </w:tcPr>
          <w:p>
            <w:pPr>
              <w:spacing w:line="320" w:lineRule="exact"/>
              <w:jc w:val="center"/>
              <w:rPr>
                <w:rFonts w:ascii="Times New Roman" w:hAnsi="Times New Roman"/>
                <w:sz w:val="24"/>
                <w:szCs w:val="24"/>
              </w:rPr>
            </w:pPr>
            <w:r>
              <w:rPr>
                <w:rFonts w:ascii="Times New Roman" w:hAnsi="Times New Roman"/>
                <w:sz w:val="24"/>
                <w:szCs w:val="24"/>
              </w:rPr>
              <w:t>总  计</w:t>
            </w:r>
          </w:p>
        </w:tc>
        <w:tc>
          <w:tcPr>
            <w:tcW w:w="1295" w:type="dxa"/>
            <w:noWrap/>
            <w:vAlign w:val="center"/>
          </w:tcPr>
          <w:p>
            <w:pPr>
              <w:spacing w:line="320" w:lineRule="exact"/>
              <w:jc w:val="center"/>
              <w:rPr>
                <w:rFonts w:ascii="Times New Roman" w:hAnsi="Times New Roman"/>
                <w:sz w:val="24"/>
                <w:szCs w:val="24"/>
              </w:rPr>
            </w:pPr>
            <w:r>
              <w:rPr>
                <w:rFonts w:ascii="Times New Roman" w:hAnsi="Times New Roman"/>
                <w:sz w:val="24"/>
                <w:szCs w:val="24"/>
              </w:rPr>
              <w:t>15.21</w:t>
            </w:r>
          </w:p>
        </w:tc>
        <w:tc>
          <w:tcPr>
            <w:tcW w:w="1294" w:type="dxa"/>
            <w:noWrap/>
            <w:vAlign w:val="center"/>
          </w:tcPr>
          <w:p>
            <w:pPr>
              <w:spacing w:line="320" w:lineRule="exact"/>
              <w:jc w:val="center"/>
              <w:rPr>
                <w:rFonts w:ascii="Times New Roman" w:hAnsi="Times New Roman"/>
                <w:sz w:val="24"/>
                <w:szCs w:val="24"/>
              </w:rPr>
            </w:pPr>
            <w:r>
              <w:rPr>
                <w:rFonts w:ascii="Times New Roman" w:hAnsi="Times New Roman"/>
                <w:sz w:val="24"/>
                <w:szCs w:val="24"/>
              </w:rPr>
              <w:t>13.6</w:t>
            </w:r>
          </w:p>
        </w:tc>
        <w:tc>
          <w:tcPr>
            <w:tcW w:w="1294" w:type="dxa"/>
            <w:noWrap/>
            <w:vAlign w:val="center"/>
          </w:tcPr>
          <w:p>
            <w:pPr>
              <w:spacing w:line="320" w:lineRule="exact"/>
              <w:jc w:val="center"/>
              <w:rPr>
                <w:rFonts w:ascii="Times New Roman" w:hAnsi="Times New Roman"/>
                <w:sz w:val="24"/>
                <w:szCs w:val="24"/>
              </w:rPr>
            </w:pPr>
            <w:r>
              <w:rPr>
                <w:rFonts w:ascii="Times New Roman" w:hAnsi="Times New Roman"/>
                <w:sz w:val="24"/>
                <w:szCs w:val="24"/>
              </w:rPr>
              <w:t>39.12</w:t>
            </w:r>
          </w:p>
        </w:tc>
        <w:tc>
          <w:tcPr>
            <w:tcW w:w="1294" w:type="dxa"/>
            <w:noWrap/>
            <w:vAlign w:val="center"/>
          </w:tcPr>
          <w:p>
            <w:pPr>
              <w:spacing w:line="320" w:lineRule="exact"/>
              <w:jc w:val="center"/>
              <w:rPr>
                <w:rFonts w:ascii="Times New Roman" w:hAnsi="Times New Roman"/>
                <w:sz w:val="24"/>
                <w:szCs w:val="24"/>
              </w:rPr>
            </w:pPr>
            <w:r>
              <w:rPr>
                <w:rFonts w:ascii="Times New Roman" w:hAnsi="Times New Roman"/>
                <w:sz w:val="24"/>
                <w:szCs w:val="24"/>
              </w:rPr>
              <w:t>38.82</w:t>
            </w:r>
          </w:p>
        </w:tc>
        <w:tc>
          <w:tcPr>
            <w:tcW w:w="1294" w:type="dxa"/>
            <w:noWrap/>
            <w:vAlign w:val="center"/>
          </w:tcPr>
          <w:p>
            <w:pPr>
              <w:spacing w:line="320" w:lineRule="exact"/>
              <w:jc w:val="center"/>
              <w:rPr>
                <w:rFonts w:ascii="Times New Roman" w:hAnsi="Times New Roman"/>
                <w:sz w:val="24"/>
                <w:szCs w:val="24"/>
              </w:rPr>
            </w:pPr>
            <w:r>
              <w:rPr>
                <w:rFonts w:ascii="Times New Roman" w:hAnsi="Times New Roman"/>
                <w:sz w:val="24"/>
                <w:szCs w:val="24"/>
              </w:rPr>
              <w:t>10.6</w:t>
            </w:r>
          </w:p>
        </w:tc>
        <w:tc>
          <w:tcPr>
            <w:tcW w:w="1294" w:type="dxa"/>
            <w:noWrap/>
            <w:vAlign w:val="center"/>
          </w:tcPr>
          <w:p>
            <w:pPr>
              <w:spacing w:line="320" w:lineRule="exact"/>
              <w:jc w:val="center"/>
              <w:rPr>
                <w:rFonts w:ascii="Times New Roman" w:hAnsi="Times New Roman"/>
                <w:sz w:val="24"/>
                <w:szCs w:val="24"/>
              </w:rPr>
            </w:pPr>
            <w:r>
              <w:rPr>
                <w:rFonts w:ascii="Times New Roman" w:hAnsi="Times New Roman"/>
                <w:sz w:val="24"/>
                <w:szCs w:val="24"/>
              </w:rPr>
              <w:t>9.38</w:t>
            </w:r>
          </w:p>
        </w:tc>
      </w:tr>
    </w:tbl>
    <w:p>
      <w:pPr>
        <w:overflowPunct w:val="0"/>
        <w:autoSpaceDE w:val="0"/>
        <w:autoSpaceDN w:val="0"/>
        <w:adjustRightInd w:val="0"/>
        <w:snapToGrid w:val="0"/>
        <w:spacing w:line="570" w:lineRule="exact"/>
        <w:ind w:firstLine="641"/>
        <w:rPr>
          <w:rFonts w:ascii="Times New Roman" w:hAnsi="Times New Roman" w:eastAsia="方正仿宋_GBK"/>
          <w:snapToGrid w:val="0"/>
          <w:kern w:val="0"/>
          <w:sz w:val="32"/>
          <w:szCs w:val="32"/>
        </w:rPr>
      </w:pPr>
      <w:r>
        <w:rPr>
          <w:rFonts w:ascii="Times New Roman" w:hAnsi="Times New Roman" w:eastAsia="方正仿宋_GBK"/>
          <w:snapToGrid w:val="0"/>
          <w:kern w:val="0"/>
          <w:sz w:val="32"/>
          <w:szCs w:val="32"/>
        </w:rPr>
        <w:t>2. 对外贸易稳中有进、结构优化。“十三五”时期，我市积极应对中美经贸摩擦和新冠肺炎疫情等复杂严峻的外贸形势，大力推动外贸稳中提质，对外贸易总体趋稳，结构不断优化，外贸高质量发展有序推进。五年累计完成进出口总额1619.8亿美元，2017年全市进出口总额首次突破300亿美元大关，2020年达到349亿美元，是“十二五”末的1.24倍。“十三五”末，全市共有进出口实绩企业7800多家，较2015年增加1600多家；全市一般贸易进出口占比达82.7%，较2015年提升10.2个百分点；机电产品出口和高新技术产品出口占比分别达到59.5%和18.4%；“一带一路”出口占比33.1%。新增轨道交通、地坪地材等4个国家外贸转型升级基地，累计拥有国家外贸转型升级基地5个、省级出口基地6个；新增省重点培育和发展品牌17个、市重点培育和发展品牌26个，累计分别达到63个和89个；新增省级公共海外仓3个、进口交易中心10家、外贸综合服务企业3家；全市服务外包企业803家，直接从业人员超过15.33万人，拥有5家省级服务外包示范区和2个省级服务贸易基地。中国（常州）跨境电子商务综合试验区获批建设，开通“贸易预警灯”微信公众号，建成国内首个外贸专利公共服务平台“专品汇”和省内首家市级涉外商事法律服务中心，创新提出“九法联用”应对贸易摩擦并在全省推广，我市佰腾科技公司创成全省唯一一家国家级应对贸易摩擦工作站。</w:t>
      </w:r>
    </w:p>
    <w:p>
      <w:pPr>
        <w:spacing w:before="120" w:after="120" w:line="580" w:lineRule="exact"/>
        <w:jc w:val="center"/>
        <w:rPr>
          <w:rFonts w:ascii="Times New Roman" w:hAnsi="Times New Roman" w:eastAsia="方正黑体_GBK"/>
          <w:sz w:val="32"/>
          <w:szCs w:val="32"/>
        </w:rPr>
      </w:pPr>
      <w:r>
        <w:rPr>
          <w:rFonts w:ascii="Times New Roman" w:hAnsi="Times New Roman" w:eastAsia="仿宋_GB2312"/>
          <w:snapToGrid w:val="0"/>
          <w:kern w:val="0"/>
          <w:sz w:val="32"/>
          <w:szCs w:val="32"/>
        </w:rPr>
        <w:br w:type="page"/>
      </w:r>
      <w:r>
        <w:rPr>
          <w:rFonts w:ascii="Times New Roman" w:hAnsi="Times New Roman" w:eastAsia="方正黑体_GBK"/>
          <w:sz w:val="32"/>
          <w:szCs w:val="32"/>
        </w:rPr>
        <w:t>2016</w:t>
      </w:r>
      <w:r>
        <w:rPr>
          <w:rFonts w:ascii="黑体" w:hAnsi="黑体" w:eastAsia="黑体"/>
          <w:sz w:val="32"/>
          <w:szCs w:val="32"/>
        </w:rPr>
        <w:t>—</w:t>
      </w:r>
      <w:r>
        <w:rPr>
          <w:rFonts w:ascii="Times New Roman" w:hAnsi="Times New Roman" w:eastAsia="方正黑体_GBK"/>
          <w:sz w:val="32"/>
          <w:szCs w:val="32"/>
        </w:rPr>
        <w:t>2020年常州市对外贸易情况表</w:t>
      </w:r>
    </w:p>
    <w:p>
      <w:pPr>
        <w:adjustRightInd w:val="0"/>
        <w:spacing w:line="440" w:lineRule="exact"/>
        <w:jc w:val="right"/>
        <w:rPr>
          <w:rFonts w:ascii="Times New Roman" w:hAnsi="Times New Roman"/>
          <w:sz w:val="24"/>
          <w:szCs w:val="24"/>
        </w:rPr>
      </w:pPr>
      <w:r>
        <w:rPr>
          <w:rFonts w:ascii="Times New Roman" w:hAnsi="Times New Roman"/>
          <w:sz w:val="24"/>
          <w:szCs w:val="24"/>
        </w:rPr>
        <w:t>单位：亿美元</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32"/>
        <w:gridCol w:w="2603"/>
        <w:gridCol w:w="2443"/>
        <w:gridCol w:w="249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42" w:hRule="atLeast"/>
          <w:jc w:val="center"/>
        </w:trPr>
        <w:tc>
          <w:tcPr>
            <w:tcW w:w="1532" w:type="dxa"/>
            <w:tcBorders>
              <w:tl2br w:val="single" w:color="000000" w:sz="6" w:space="0"/>
            </w:tcBorders>
            <w:noWrap w:val="0"/>
            <w:vAlign w:val="center"/>
          </w:tcPr>
          <w:p>
            <w:pPr>
              <w:spacing w:line="320" w:lineRule="exact"/>
              <w:ind w:right="120"/>
              <w:jc w:val="right"/>
              <w:rPr>
                <w:rFonts w:ascii="Times New Roman" w:hAnsi="Times New Roman" w:eastAsia="黑体"/>
                <w:sz w:val="24"/>
                <w:szCs w:val="24"/>
              </w:rPr>
            </w:pPr>
            <w:r>
              <w:rPr>
                <w:rFonts w:ascii="Times New Roman" w:hAnsi="Times New Roman" w:eastAsia="黑体"/>
                <w:sz w:val="24"/>
                <w:szCs w:val="24"/>
              </w:rPr>
              <w:t>项目</w:t>
            </w:r>
          </w:p>
          <w:p>
            <w:pPr>
              <w:spacing w:line="320" w:lineRule="exact"/>
              <w:jc w:val="center"/>
              <w:rPr>
                <w:rFonts w:ascii="Times New Roman" w:hAnsi="Times New Roman" w:eastAsia="黑体"/>
                <w:sz w:val="24"/>
                <w:szCs w:val="24"/>
              </w:rPr>
            </w:pPr>
          </w:p>
          <w:p>
            <w:pPr>
              <w:spacing w:line="320" w:lineRule="exact"/>
              <w:rPr>
                <w:rFonts w:ascii="Times New Roman" w:hAnsi="Times New Roman" w:eastAsia="黑体"/>
                <w:sz w:val="24"/>
                <w:szCs w:val="24"/>
              </w:rPr>
            </w:pPr>
            <w:r>
              <w:rPr>
                <w:rFonts w:ascii="Times New Roman" w:hAnsi="Times New Roman" w:eastAsia="黑体"/>
                <w:sz w:val="24"/>
                <w:szCs w:val="24"/>
              </w:rPr>
              <w:t>年份</w:t>
            </w:r>
          </w:p>
        </w:tc>
        <w:tc>
          <w:tcPr>
            <w:tcW w:w="2603" w:type="dxa"/>
            <w:noWrap w:val="0"/>
            <w:vAlign w:val="center"/>
          </w:tcPr>
          <w:p>
            <w:pPr>
              <w:spacing w:line="320" w:lineRule="exact"/>
              <w:jc w:val="center"/>
              <w:rPr>
                <w:rFonts w:ascii="Times New Roman" w:hAnsi="Times New Roman" w:eastAsia="黑体"/>
                <w:sz w:val="24"/>
                <w:szCs w:val="24"/>
              </w:rPr>
            </w:pPr>
            <w:r>
              <w:rPr>
                <w:rFonts w:ascii="Times New Roman" w:hAnsi="Times New Roman" w:eastAsia="黑体"/>
                <w:sz w:val="24"/>
                <w:szCs w:val="24"/>
              </w:rPr>
              <w:t>进出口</w:t>
            </w:r>
          </w:p>
        </w:tc>
        <w:tc>
          <w:tcPr>
            <w:tcW w:w="2443" w:type="dxa"/>
            <w:noWrap w:val="0"/>
            <w:vAlign w:val="center"/>
          </w:tcPr>
          <w:p>
            <w:pPr>
              <w:spacing w:line="320" w:lineRule="exact"/>
              <w:jc w:val="center"/>
              <w:rPr>
                <w:rFonts w:ascii="Times New Roman" w:hAnsi="Times New Roman" w:eastAsia="黑体"/>
                <w:sz w:val="24"/>
                <w:szCs w:val="24"/>
              </w:rPr>
            </w:pPr>
            <w:r>
              <w:rPr>
                <w:rFonts w:ascii="Times New Roman" w:hAnsi="Times New Roman" w:eastAsia="黑体"/>
                <w:sz w:val="24"/>
                <w:szCs w:val="24"/>
              </w:rPr>
              <w:t>出口</w:t>
            </w:r>
          </w:p>
        </w:tc>
        <w:tc>
          <w:tcPr>
            <w:tcW w:w="2494" w:type="dxa"/>
            <w:noWrap w:val="0"/>
            <w:vAlign w:val="center"/>
          </w:tcPr>
          <w:p>
            <w:pPr>
              <w:spacing w:line="320" w:lineRule="exact"/>
              <w:jc w:val="center"/>
              <w:rPr>
                <w:rFonts w:ascii="Times New Roman" w:hAnsi="Times New Roman" w:eastAsia="黑体"/>
                <w:sz w:val="24"/>
                <w:szCs w:val="24"/>
              </w:rPr>
            </w:pPr>
            <w:r>
              <w:rPr>
                <w:rFonts w:ascii="Times New Roman" w:hAnsi="Times New Roman" w:eastAsia="黑体"/>
                <w:sz w:val="24"/>
                <w:szCs w:val="24"/>
              </w:rPr>
              <w:t>进口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2" w:hRule="exact"/>
          <w:jc w:val="center"/>
        </w:trPr>
        <w:tc>
          <w:tcPr>
            <w:tcW w:w="1532" w:type="dxa"/>
            <w:noWrap w:val="0"/>
            <w:vAlign w:val="center"/>
          </w:tcPr>
          <w:p>
            <w:pPr>
              <w:spacing w:line="320" w:lineRule="exact"/>
              <w:jc w:val="center"/>
              <w:rPr>
                <w:rFonts w:ascii="Times New Roman" w:hAnsi="Times New Roman"/>
                <w:sz w:val="24"/>
                <w:szCs w:val="24"/>
              </w:rPr>
            </w:pPr>
            <w:bookmarkStart w:id="5" w:name="OLE_LINK2" w:colFirst="0" w:colLast="3"/>
            <w:r>
              <w:rPr>
                <w:rFonts w:ascii="Times New Roman" w:hAnsi="Times New Roman"/>
                <w:sz w:val="24"/>
                <w:szCs w:val="24"/>
              </w:rPr>
              <w:t>2016年</w:t>
            </w:r>
          </w:p>
        </w:tc>
        <w:tc>
          <w:tcPr>
            <w:tcW w:w="2603" w:type="dxa"/>
            <w:noWrap w:val="0"/>
            <w:vAlign w:val="center"/>
          </w:tcPr>
          <w:p>
            <w:pPr>
              <w:spacing w:line="320" w:lineRule="exact"/>
              <w:jc w:val="center"/>
              <w:rPr>
                <w:rFonts w:ascii="Times New Roman" w:hAnsi="Times New Roman"/>
                <w:sz w:val="24"/>
                <w:szCs w:val="24"/>
              </w:rPr>
            </w:pPr>
            <w:r>
              <w:rPr>
                <w:rFonts w:ascii="Times New Roman" w:hAnsi="Times New Roman"/>
                <w:sz w:val="24"/>
                <w:szCs w:val="24"/>
              </w:rPr>
              <w:t>275.8</w:t>
            </w:r>
          </w:p>
        </w:tc>
        <w:tc>
          <w:tcPr>
            <w:tcW w:w="2443" w:type="dxa"/>
            <w:noWrap w:val="0"/>
            <w:vAlign w:val="center"/>
          </w:tcPr>
          <w:p>
            <w:pPr>
              <w:spacing w:line="320" w:lineRule="exact"/>
              <w:jc w:val="center"/>
              <w:rPr>
                <w:rFonts w:ascii="Times New Roman" w:hAnsi="Times New Roman"/>
                <w:sz w:val="24"/>
                <w:szCs w:val="24"/>
              </w:rPr>
            </w:pPr>
            <w:r>
              <w:rPr>
                <w:rFonts w:ascii="Times New Roman" w:hAnsi="Times New Roman"/>
                <w:sz w:val="24"/>
                <w:szCs w:val="24"/>
              </w:rPr>
              <w:t>208.6</w:t>
            </w:r>
          </w:p>
        </w:tc>
        <w:tc>
          <w:tcPr>
            <w:tcW w:w="2494" w:type="dxa"/>
            <w:noWrap w:val="0"/>
            <w:vAlign w:val="center"/>
          </w:tcPr>
          <w:p>
            <w:pPr>
              <w:spacing w:line="320" w:lineRule="exact"/>
              <w:jc w:val="center"/>
              <w:rPr>
                <w:rFonts w:ascii="Times New Roman" w:hAnsi="Times New Roman"/>
                <w:sz w:val="24"/>
                <w:szCs w:val="24"/>
              </w:rPr>
            </w:pPr>
            <w:r>
              <w:rPr>
                <w:rFonts w:ascii="Times New Roman" w:hAnsi="Times New Roman"/>
                <w:sz w:val="24"/>
                <w:szCs w:val="24"/>
              </w:rPr>
              <w:t>67.2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2" w:hRule="exact"/>
          <w:jc w:val="center"/>
        </w:trPr>
        <w:tc>
          <w:tcPr>
            <w:tcW w:w="1532" w:type="dxa"/>
            <w:noWrap w:val="0"/>
            <w:vAlign w:val="center"/>
          </w:tcPr>
          <w:p>
            <w:pPr>
              <w:spacing w:line="320" w:lineRule="exact"/>
              <w:jc w:val="center"/>
              <w:rPr>
                <w:rFonts w:ascii="Times New Roman" w:hAnsi="Times New Roman"/>
                <w:sz w:val="24"/>
                <w:szCs w:val="24"/>
              </w:rPr>
            </w:pPr>
            <w:r>
              <w:rPr>
                <w:rFonts w:ascii="Times New Roman" w:hAnsi="Times New Roman"/>
                <w:sz w:val="24"/>
                <w:szCs w:val="24"/>
              </w:rPr>
              <w:t>2017年</w:t>
            </w:r>
          </w:p>
        </w:tc>
        <w:tc>
          <w:tcPr>
            <w:tcW w:w="2603" w:type="dxa"/>
            <w:noWrap w:val="0"/>
            <w:vAlign w:val="center"/>
          </w:tcPr>
          <w:p>
            <w:pPr>
              <w:spacing w:line="320" w:lineRule="exact"/>
              <w:jc w:val="center"/>
              <w:rPr>
                <w:rFonts w:ascii="Times New Roman" w:hAnsi="Times New Roman"/>
                <w:sz w:val="24"/>
                <w:szCs w:val="24"/>
              </w:rPr>
            </w:pPr>
            <w:r>
              <w:rPr>
                <w:rFonts w:ascii="Times New Roman" w:hAnsi="Times New Roman"/>
                <w:sz w:val="24"/>
                <w:szCs w:val="24"/>
              </w:rPr>
              <w:t>312.7</w:t>
            </w:r>
          </w:p>
        </w:tc>
        <w:tc>
          <w:tcPr>
            <w:tcW w:w="2443" w:type="dxa"/>
            <w:noWrap w:val="0"/>
            <w:vAlign w:val="center"/>
          </w:tcPr>
          <w:p>
            <w:pPr>
              <w:spacing w:line="320" w:lineRule="exact"/>
              <w:jc w:val="center"/>
              <w:rPr>
                <w:rFonts w:ascii="Times New Roman" w:hAnsi="Times New Roman"/>
                <w:sz w:val="24"/>
                <w:szCs w:val="24"/>
              </w:rPr>
            </w:pPr>
            <w:r>
              <w:rPr>
                <w:rFonts w:ascii="Times New Roman" w:hAnsi="Times New Roman"/>
                <w:sz w:val="24"/>
                <w:szCs w:val="24"/>
              </w:rPr>
              <w:t>229.4</w:t>
            </w:r>
          </w:p>
        </w:tc>
        <w:tc>
          <w:tcPr>
            <w:tcW w:w="2494" w:type="dxa"/>
            <w:noWrap w:val="0"/>
            <w:vAlign w:val="center"/>
          </w:tcPr>
          <w:p>
            <w:pPr>
              <w:spacing w:line="320" w:lineRule="exact"/>
              <w:jc w:val="center"/>
              <w:rPr>
                <w:rFonts w:ascii="Times New Roman" w:hAnsi="Times New Roman"/>
                <w:sz w:val="24"/>
                <w:szCs w:val="24"/>
              </w:rPr>
            </w:pPr>
            <w:r>
              <w:rPr>
                <w:rFonts w:ascii="Times New Roman" w:hAnsi="Times New Roman"/>
                <w:sz w:val="24"/>
                <w:szCs w:val="24"/>
              </w:rPr>
              <w:t>83.3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2" w:hRule="exact"/>
          <w:jc w:val="center"/>
        </w:trPr>
        <w:tc>
          <w:tcPr>
            <w:tcW w:w="1532" w:type="dxa"/>
            <w:noWrap w:val="0"/>
            <w:vAlign w:val="center"/>
          </w:tcPr>
          <w:p>
            <w:pPr>
              <w:spacing w:line="320" w:lineRule="exact"/>
              <w:jc w:val="center"/>
              <w:rPr>
                <w:rFonts w:ascii="Times New Roman" w:hAnsi="Times New Roman"/>
                <w:sz w:val="24"/>
                <w:szCs w:val="24"/>
              </w:rPr>
            </w:pPr>
            <w:r>
              <w:rPr>
                <w:rFonts w:ascii="Times New Roman" w:hAnsi="Times New Roman"/>
                <w:sz w:val="24"/>
                <w:szCs w:val="24"/>
              </w:rPr>
              <w:t>2018年</w:t>
            </w:r>
          </w:p>
        </w:tc>
        <w:tc>
          <w:tcPr>
            <w:tcW w:w="2603" w:type="dxa"/>
            <w:noWrap w:val="0"/>
            <w:vAlign w:val="center"/>
          </w:tcPr>
          <w:p>
            <w:pPr>
              <w:spacing w:line="320" w:lineRule="exact"/>
              <w:jc w:val="center"/>
              <w:rPr>
                <w:rFonts w:ascii="Times New Roman" w:hAnsi="Times New Roman"/>
                <w:sz w:val="24"/>
                <w:szCs w:val="24"/>
              </w:rPr>
            </w:pPr>
            <w:r>
              <w:rPr>
                <w:rFonts w:ascii="Times New Roman" w:hAnsi="Times New Roman"/>
                <w:sz w:val="24"/>
                <w:szCs w:val="24"/>
              </w:rPr>
              <w:t>343.9</w:t>
            </w:r>
          </w:p>
        </w:tc>
        <w:tc>
          <w:tcPr>
            <w:tcW w:w="2443" w:type="dxa"/>
            <w:noWrap w:val="0"/>
            <w:vAlign w:val="center"/>
          </w:tcPr>
          <w:p>
            <w:pPr>
              <w:spacing w:line="320" w:lineRule="exact"/>
              <w:jc w:val="center"/>
              <w:rPr>
                <w:rFonts w:ascii="Times New Roman" w:hAnsi="Times New Roman"/>
                <w:sz w:val="24"/>
                <w:szCs w:val="24"/>
              </w:rPr>
            </w:pPr>
            <w:r>
              <w:rPr>
                <w:rFonts w:ascii="Times New Roman" w:hAnsi="Times New Roman"/>
                <w:sz w:val="24"/>
                <w:szCs w:val="24"/>
              </w:rPr>
              <w:t>250.7</w:t>
            </w:r>
          </w:p>
        </w:tc>
        <w:tc>
          <w:tcPr>
            <w:tcW w:w="2494" w:type="dxa"/>
            <w:noWrap w:val="0"/>
            <w:vAlign w:val="center"/>
          </w:tcPr>
          <w:p>
            <w:pPr>
              <w:spacing w:line="320" w:lineRule="exact"/>
              <w:jc w:val="center"/>
              <w:rPr>
                <w:rFonts w:ascii="Times New Roman" w:hAnsi="Times New Roman"/>
                <w:sz w:val="24"/>
                <w:szCs w:val="24"/>
              </w:rPr>
            </w:pPr>
            <w:r>
              <w:rPr>
                <w:rFonts w:ascii="Times New Roman" w:hAnsi="Times New Roman"/>
                <w:sz w:val="24"/>
                <w:szCs w:val="24"/>
              </w:rPr>
              <w:t>93.1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2" w:hRule="exact"/>
          <w:jc w:val="center"/>
        </w:trPr>
        <w:tc>
          <w:tcPr>
            <w:tcW w:w="1532" w:type="dxa"/>
            <w:noWrap w:val="0"/>
            <w:vAlign w:val="center"/>
          </w:tcPr>
          <w:p>
            <w:pPr>
              <w:spacing w:line="320" w:lineRule="exact"/>
              <w:jc w:val="center"/>
              <w:rPr>
                <w:rFonts w:ascii="Times New Roman" w:hAnsi="Times New Roman"/>
                <w:sz w:val="24"/>
                <w:szCs w:val="24"/>
              </w:rPr>
            </w:pPr>
            <w:r>
              <w:rPr>
                <w:rFonts w:ascii="Times New Roman" w:hAnsi="Times New Roman"/>
                <w:sz w:val="24"/>
                <w:szCs w:val="24"/>
              </w:rPr>
              <w:t>2019年</w:t>
            </w:r>
          </w:p>
        </w:tc>
        <w:tc>
          <w:tcPr>
            <w:tcW w:w="2603" w:type="dxa"/>
            <w:noWrap w:val="0"/>
            <w:vAlign w:val="center"/>
          </w:tcPr>
          <w:p>
            <w:pPr>
              <w:spacing w:line="320" w:lineRule="exact"/>
              <w:jc w:val="center"/>
              <w:rPr>
                <w:rFonts w:ascii="Times New Roman" w:hAnsi="Times New Roman"/>
                <w:sz w:val="24"/>
                <w:szCs w:val="24"/>
              </w:rPr>
            </w:pPr>
            <w:r>
              <w:rPr>
                <w:rFonts w:ascii="Times New Roman" w:hAnsi="Times New Roman"/>
                <w:sz w:val="24"/>
                <w:szCs w:val="24"/>
              </w:rPr>
              <w:t>338.3</w:t>
            </w:r>
          </w:p>
        </w:tc>
        <w:tc>
          <w:tcPr>
            <w:tcW w:w="2443" w:type="dxa"/>
            <w:noWrap w:val="0"/>
            <w:vAlign w:val="center"/>
          </w:tcPr>
          <w:p>
            <w:pPr>
              <w:spacing w:line="320" w:lineRule="exact"/>
              <w:jc w:val="center"/>
              <w:rPr>
                <w:rFonts w:ascii="Times New Roman" w:hAnsi="Times New Roman"/>
                <w:sz w:val="24"/>
                <w:szCs w:val="24"/>
              </w:rPr>
            </w:pPr>
            <w:r>
              <w:rPr>
                <w:rFonts w:ascii="Times New Roman" w:hAnsi="Times New Roman"/>
                <w:sz w:val="24"/>
                <w:szCs w:val="24"/>
              </w:rPr>
              <w:t>252.4</w:t>
            </w:r>
          </w:p>
        </w:tc>
        <w:tc>
          <w:tcPr>
            <w:tcW w:w="2494" w:type="dxa"/>
            <w:noWrap w:val="0"/>
            <w:vAlign w:val="center"/>
          </w:tcPr>
          <w:p>
            <w:pPr>
              <w:spacing w:line="320" w:lineRule="exact"/>
              <w:jc w:val="center"/>
              <w:rPr>
                <w:rFonts w:ascii="Times New Roman" w:hAnsi="Times New Roman"/>
                <w:sz w:val="24"/>
                <w:szCs w:val="24"/>
              </w:rPr>
            </w:pPr>
            <w:r>
              <w:rPr>
                <w:rFonts w:ascii="Times New Roman" w:hAnsi="Times New Roman"/>
                <w:sz w:val="24"/>
                <w:szCs w:val="24"/>
              </w:rPr>
              <w:t>85.9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2" w:hRule="exact"/>
          <w:jc w:val="center"/>
        </w:trPr>
        <w:tc>
          <w:tcPr>
            <w:tcW w:w="1532" w:type="dxa"/>
            <w:noWrap w:val="0"/>
            <w:vAlign w:val="center"/>
          </w:tcPr>
          <w:p>
            <w:pPr>
              <w:spacing w:line="320" w:lineRule="exact"/>
              <w:jc w:val="center"/>
              <w:rPr>
                <w:rFonts w:ascii="Times New Roman" w:hAnsi="Times New Roman"/>
                <w:sz w:val="24"/>
                <w:szCs w:val="24"/>
              </w:rPr>
            </w:pPr>
            <w:r>
              <w:rPr>
                <w:rFonts w:ascii="Times New Roman" w:hAnsi="Times New Roman"/>
                <w:sz w:val="24"/>
                <w:szCs w:val="24"/>
              </w:rPr>
              <w:t>2020年</w:t>
            </w:r>
          </w:p>
        </w:tc>
        <w:tc>
          <w:tcPr>
            <w:tcW w:w="2603" w:type="dxa"/>
            <w:noWrap w:val="0"/>
            <w:vAlign w:val="center"/>
          </w:tcPr>
          <w:p>
            <w:pPr>
              <w:spacing w:line="320" w:lineRule="exact"/>
              <w:jc w:val="center"/>
              <w:rPr>
                <w:rFonts w:ascii="Times New Roman" w:hAnsi="Times New Roman"/>
                <w:sz w:val="24"/>
                <w:szCs w:val="24"/>
              </w:rPr>
            </w:pPr>
            <w:r>
              <w:rPr>
                <w:rFonts w:ascii="Times New Roman" w:hAnsi="Times New Roman"/>
                <w:sz w:val="24"/>
                <w:szCs w:val="24"/>
              </w:rPr>
              <w:t>349.1</w:t>
            </w:r>
          </w:p>
        </w:tc>
        <w:tc>
          <w:tcPr>
            <w:tcW w:w="2443" w:type="dxa"/>
            <w:noWrap w:val="0"/>
            <w:vAlign w:val="center"/>
          </w:tcPr>
          <w:p>
            <w:pPr>
              <w:spacing w:line="320" w:lineRule="exact"/>
              <w:jc w:val="center"/>
              <w:rPr>
                <w:rFonts w:ascii="Times New Roman" w:hAnsi="Times New Roman"/>
                <w:sz w:val="24"/>
                <w:szCs w:val="24"/>
              </w:rPr>
            </w:pPr>
            <w:r>
              <w:rPr>
                <w:rFonts w:ascii="Times New Roman" w:hAnsi="Times New Roman"/>
                <w:sz w:val="24"/>
                <w:szCs w:val="24"/>
              </w:rPr>
              <w:t>259.4</w:t>
            </w:r>
          </w:p>
        </w:tc>
        <w:tc>
          <w:tcPr>
            <w:tcW w:w="2494" w:type="dxa"/>
            <w:noWrap w:val="0"/>
            <w:vAlign w:val="center"/>
          </w:tcPr>
          <w:p>
            <w:pPr>
              <w:spacing w:line="320" w:lineRule="exact"/>
              <w:jc w:val="center"/>
              <w:rPr>
                <w:rFonts w:ascii="Times New Roman" w:hAnsi="Times New Roman"/>
                <w:sz w:val="24"/>
                <w:szCs w:val="24"/>
              </w:rPr>
            </w:pPr>
            <w:r>
              <w:rPr>
                <w:rFonts w:ascii="Times New Roman" w:hAnsi="Times New Roman"/>
                <w:sz w:val="24"/>
                <w:szCs w:val="24"/>
              </w:rPr>
              <w:t>89.7</w:t>
            </w:r>
          </w:p>
        </w:tc>
      </w:tr>
      <w:bookmarkEnd w:id="5"/>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2" w:hRule="exact"/>
          <w:jc w:val="center"/>
        </w:trPr>
        <w:tc>
          <w:tcPr>
            <w:tcW w:w="1532" w:type="dxa"/>
            <w:noWrap w:val="0"/>
            <w:vAlign w:val="center"/>
          </w:tcPr>
          <w:p>
            <w:pPr>
              <w:spacing w:line="320" w:lineRule="exact"/>
              <w:jc w:val="center"/>
              <w:rPr>
                <w:rFonts w:ascii="Times New Roman" w:hAnsi="Times New Roman"/>
                <w:sz w:val="24"/>
                <w:szCs w:val="24"/>
              </w:rPr>
            </w:pPr>
            <w:r>
              <w:rPr>
                <w:rFonts w:ascii="Times New Roman" w:hAnsi="Times New Roman"/>
                <w:sz w:val="24"/>
                <w:szCs w:val="24"/>
              </w:rPr>
              <w:t>总  计</w:t>
            </w:r>
          </w:p>
        </w:tc>
        <w:tc>
          <w:tcPr>
            <w:tcW w:w="2603" w:type="dxa"/>
            <w:noWrap w:val="0"/>
            <w:vAlign w:val="center"/>
          </w:tcPr>
          <w:p>
            <w:pPr>
              <w:spacing w:line="320" w:lineRule="exact"/>
              <w:jc w:val="center"/>
              <w:rPr>
                <w:rFonts w:ascii="Times New Roman" w:hAnsi="Times New Roman"/>
                <w:sz w:val="24"/>
                <w:szCs w:val="24"/>
              </w:rPr>
            </w:pPr>
            <w:r>
              <w:rPr>
                <w:rFonts w:ascii="Times New Roman" w:hAnsi="Times New Roman"/>
                <w:sz w:val="24"/>
                <w:szCs w:val="24"/>
              </w:rPr>
              <w:t>1619.8</w:t>
            </w:r>
          </w:p>
        </w:tc>
        <w:tc>
          <w:tcPr>
            <w:tcW w:w="2443" w:type="dxa"/>
            <w:noWrap w:val="0"/>
            <w:vAlign w:val="center"/>
          </w:tcPr>
          <w:p>
            <w:pPr>
              <w:spacing w:line="320" w:lineRule="exact"/>
              <w:jc w:val="center"/>
              <w:rPr>
                <w:rFonts w:ascii="Times New Roman" w:hAnsi="Times New Roman"/>
                <w:sz w:val="24"/>
                <w:szCs w:val="24"/>
              </w:rPr>
            </w:pPr>
            <w:r>
              <w:rPr>
                <w:rFonts w:ascii="Times New Roman" w:hAnsi="Times New Roman"/>
                <w:sz w:val="24"/>
                <w:szCs w:val="24"/>
              </w:rPr>
              <w:t>1200.5</w:t>
            </w:r>
          </w:p>
        </w:tc>
        <w:tc>
          <w:tcPr>
            <w:tcW w:w="2494" w:type="dxa"/>
            <w:noWrap w:val="0"/>
            <w:vAlign w:val="center"/>
          </w:tcPr>
          <w:p>
            <w:pPr>
              <w:spacing w:line="320" w:lineRule="exact"/>
              <w:jc w:val="center"/>
              <w:rPr>
                <w:rFonts w:ascii="Times New Roman" w:hAnsi="Times New Roman"/>
                <w:sz w:val="24"/>
                <w:szCs w:val="24"/>
              </w:rPr>
            </w:pPr>
            <w:r>
              <w:rPr>
                <w:rFonts w:ascii="Times New Roman" w:hAnsi="Times New Roman"/>
                <w:sz w:val="24"/>
                <w:szCs w:val="24"/>
              </w:rPr>
              <w:t>419.2</w:t>
            </w:r>
          </w:p>
        </w:tc>
      </w:tr>
    </w:tbl>
    <w:p>
      <w:pPr>
        <w:adjustRightInd w:val="0"/>
        <w:spacing w:line="560" w:lineRule="exact"/>
        <w:jc w:val="center"/>
        <w:rPr>
          <w:rFonts w:hint="eastAsia" w:ascii="Times New Roman" w:hAnsi="Times New Roman" w:eastAsia="方正黑体_GBK"/>
          <w:sz w:val="32"/>
          <w:szCs w:val="32"/>
        </w:rPr>
      </w:pPr>
    </w:p>
    <w:p>
      <w:pPr>
        <w:adjustRightInd w:val="0"/>
        <w:spacing w:before="120" w:after="120" w:line="560" w:lineRule="exact"/>
        <w:jc w:val="center"/>
        <w:rPr>
          <w:rFonts w:ascii="Times New Roman" w:hAnsi="Times New Roman" w:eastAsia="方正黑体_GBK"/>
          <w:sz w:val="32"/>
          <w:szCs w:val="32"/>
        </w:rPr>
      </w:pPr>
      <w:r>
        <w:rPr>
          <w:rFonts w:ascii="Times New Roman" w:hAnsi="Times New Roman" w:eastAsia="方正黑体_GBK"/>
          <w:sz w:val="32"/>
          <w:szCs w:val="32"/>
        </w:rPr>
        <w:t>2016</w:t>
      </w:r>
      <w:r>
        <w:rPr>
          <w:rFonts w:ascii="黑体" w:hAnsi="黑体" w:eastAsia="黑体"/>
          <w:sz w:val="32"/>
          <w:szCs w:val="32"/>
        </w:rPr>
        <w:t>—</w:t>
      </w:r>
      <w:r>
        <w:rPr>
          <w:rFonts w:ascii="Times New Roman" w:hAnsi="Times New Roman" w:eastAsia="方正黑体_GBK"/>
          <w:sz w:val="32"/>
          <w:szCs w:val="32"/>
        </w:rPr>
        <w:t>2020年常州市各辖市区进出口情况表</w:t>
      </w:r>
    </w:p>
    <w:p>
      <w:pPr>
        <w:adjustRightInd w:val="0"/>
        <w:spacing w:line="440" w:lineRule="exact"/>
        <w:jc w:val="right"/>
        <w:rPr>
          <w:rFonts w:ascii="Times New Roman" w:hAnsi="Times New Roman"/>
          <w:sz w:val="24"/>
          <w:szCs w:val="24"/>
        </w:rPr>
      </w:pPr>
      <w:r>
        <w:rPr>
          <w:rFonts w:ascii="Times New Roman" w:hAnsi="Times New Roman"/>
          <w:sz w:val="24"/>
          <w:szCs w:val="24"/>
        </w:rPr>
        <w:t>单位：亿美元</w:t>
      </w:r>
    </w:p>
    <w:tbl>
      <w:tblPr>
        <w:tblStyle w:val="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42"/>
        <w:gridCol w:w="1271"/>
        <w:gridCol w:w="1401"/>
        <w:gridCol w:w="1401"/>
        <w:gridCol w:w="1317"/>
        <w:gridCol w:w="1317"/>
        <w:gridCol w:w="111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77" w:hRule="atLeast"/>
          <w:jc w:val="center"/>
        </w:trPr>
        <w:tc>
          <w:tcPr>
            <w:tcW w:w="1242" w:type="dxa"/>
            <w:tcBorders>
              <w:tl2br w:val="single" w:color="auto" w:sz="6" w:space="0"/>
            </w:tcBorders>
            <w:noWrap/>
            <w:vAlign w:val="center"/>
          </w:tcPr>
          <w:p>
            <w:pPr>
              <w:spacing w:line="320" w:lineRule="exact"/>
              <w:ind w:firstLine="120" w:firstLineChars="50"/>
              <w:jc w:val="right"/>
              <w:rPr>
                <w:rFonts w:ascii="Times New Roman" w:hAnsi="Times New Roman" w:eastAsia="黑体"/>
                <w:sz w:val="24"/>
                <w:szCs w:val="24"/>
              </w:rPr>
            </w:pPr>
            <w:r>
              <w:rPr>
                <w:rFonts w:hint="eastAsia" w:ascii="Times New Roman" w:hAnsi="Times New Roman" w:eastAsia="黑体"/>
                <w:sz w:val="24"/>
                <w:szCs w:val="24"/>
              </w:rPr>
              <w:t xml:space="preserve"> </w:t>
            </w:r>
            <w:r>
              <w:rPr>
                <w:rFonts w:ascii="Times New Roman" w:hAnsi="Times New Roman" w:eastAsia="黑体"/>
                <w:sz w:val="24"/>
                <w:szCs w:val="24"/>
              </w:rPr>
              <w:t>辖市区</w:t>
            </w:r>
          </w:p>
          <w:p>
            <w:pPr>
              <w:widowControl/>
              <w:rPr>
                <w:rFonts w:ascii="Times New Roman" w:hAnsi="Times New Roman" w:eastAsia="黑体"/>
                <w:sz w:val="24"/>
                <w:szCs w:val="24"/>
              </w:rPr>
            </w:pPr>
          </w:p>
          <w:p>
            <w:pPr>
              <w:widowControl/>
              <w:jc w:val="left"/>
              <w:rPr>
                <w:rFonts w:ascii="Times New Roman" w:hAnsi="Times New Roman"/>
                <w:sz w:val="24"/>
                <w:szCs w:val="24"/>
              </w:rPr>
            </w:pPr>
            <w:r>
              <w:rPr>
                <w:rFonts w:ascii="Times New Roman" w:hAnsi="Times New Roman" w:eastAsia="黑体"/>
                <w:sz w:val="24"/>
                <w:szCs w:val="24"/>
              </w:rPr>
              <w:t>年份</w:t>
            </w:r>
          </w:p>
        </w:tc>
        <w:tc>
          <w:tcPr>
            <w:tcW w:w="1271" w:type="dxa"/>
            <w:noWrap w:val="0"/>
            <w:vAlign w:val="center"/>
          </w:tcPr>
          <w:p>
            <w:pPr>
              <w:spacing w:line="320" w:lineRule="exact"/>
              <w:jc w:val="center"/>
              <w:rPr>
                <w:rFonts w:ascii="Times New Roman" w:hAnsi="Times New Roman" w:eastAsia="黑体"/>
                <w:sz w:val="24"/>
                <w:szCs w:val="24"/>
              </w:rPr>
            </w:pPr>
            <w:r>
              <w:rPr>
                <w:rFonts w:ascii="Times New Roman" w:hAnsi="Times New Roman" w:eastAsia="黑体"/>
                <w:sz w:val="24"/>
                <w:szCs w:val="24"/>
              </w:rPr>
              <w:t>溧阳市</w:t>
            </w:r>
          </w:p>
        </w:tc>
        <w:tc>
          <w:tcPr>
            <w:tcW w:w="1401" w:type="dxa"/>
            <w:noWrap w:val="0"/>
            <w:vAlign w:val="center"/>
          </w:tcPr>
          <w:p>
            <w:pPr>
              <w:spacing w:line="320" w:lineRule="exact"/>
              <w:jc w:val="center"/>
              <w:rPr>
                <w:rFonts w:ascii="Times New Roman" w:hAnsi="Times New Roman" w:eastAsia="黑体"/>
                <w:sz w:val="24"/>
                <w:szCs w:val="24"/>
              </w:rPr>
            </w:pPr>
            <w:r>
              <w:rPr>
                <w:rFonts w:ascii="Times New Roman" w:hAnsi="Times New Roman" w:eastAsia="黑体"/>
                <w:sz w:val="24"/>
                <w:szCs w:val="24"/>
              </w:rPr>
              <w:t>金坛区</w:t>
            </w:r>
          </w:p>
        </w:tc>
        <w:tc>
          <w:tcPr>
            <w:tcW w:w="1401" w:type="dxa"/>
            <w:noWrap w:val="0"/>
            <w:vAlign w:val="center"/>
          </w:tcPr>
          <w:p>
            <w:pPr>
              <w:spacing w:line="320" w:lineRule="exact"/>
              <w:jc w:val="center"/>
              <w:rPr>
                <w:rFonts w:ascii="Times New Roman" w:hAnsi="Times New Roman" w:eastAsia="黑体"/>
                <w:sz w:val="24"/>
                <w:szCs w:val="24"/>
              </w:rPr>
            </w:pPr>
            <w:r>
              <w:rPr>
                <w:rFonts w:ascii="Times New Roman" w:hAnsi="Times New Roman" w:eastAsia="黑体"/>
                <w:sz w:val="24"/>
                <w:szCs w:val="24"/>
              </w:rPr>
              <w:t>武进区</w:t>
            </w:r>
          </w:p>
          <w:p>
            <w:pPr>
              <w:spacing w:line="320" w:lineRule="exact"/>
              <w:jc w:val="center"/>
              <w:rPr>
                <w:rFonts w:ascii="Times New Roman" w:hAnsi="Times New Roman" w:eastAsia="黑体"/>
                <w:sz w:val="18"/>
                <w:szCs w:val="18"/>
              </w:rPr>
            </w:pPr>
            <w:r>
              <w:rPr>
                <w:rFonts w:ascii="Times New Roman" w:hAnsi="Times New Roman" w:eastAsia="黑体"/>
                <w:sz w:val="18"/>
                <w:szCs w:val="18"/>
              </w:rPr>
              <w:t>（含常经开）</w:t>
            </w:r>
          </w:p>
        </w:tc>
        <w:tc>
          <w:tcPr>
            <w:tcW w:w="1317" w:type="dxa"/>
            <w:noWrap w:val="0"/>
            <w:vAlign w:val="center"/>
          </w:tcPr>
          <w:p>
            <w:pPr>
              <w:spacing w:line="320" w:lineRule="exact"/>
              <w:jc w:val="center"/>
              <w:rPr>
                <w:rFonts w:ascii="Times New Roman" w:hAnsi="Times New Roman" w:eastAsia="黑体"/>
                <w:sz w:val="24"/>
                <w:szCs w:val="24"/>
              </w:rPr>
            </w:pPr>
            <w:r>
              <w:rPr>
                <w:rFonts w:ascii="Times New Roman" w:hAnsi="Times New Roman" w:eastAsia="黑体"/>
                <w:sz w:val="24"/>
                <w:szCs w:val="24"/>
              </w:rPr>
              <w:t>新北区</w:t>
            </w:r>
          </w:p>
        </w:tc>
        <w:tc>
          <w:tcPr>
            <w:tcW w:w="1317" w:type="dxa"/>
            <w:noWrap w:val="0"/>
            <w:vAlign w:val="center"/>
          </w:tcPr>
          <w:p>
            <w:pPr>
              <w:spacing w:line="320" w:lineRule="exact"/>
              <w:jc w:val="center"/>
              <w:rPr>
                <w:rFonts w:ascii="Times New Roman" w:hAnsi="Times New Roman" w:eastAsia="黑体"/>
                <w:sz w:val="24"/>
                <w:szCs w:val="24"/>
              </w:rPr>
            </w:pPr>
            <w:r>
              <w:rPr>
                <w:rFonts w:ascii="Times New Roman" w:hAnsi="Times New Roman" w:eastAsia="黑体"/>
                <w:sz w:val="24"/>
                <w:szCs w:val="24"/>
              </w:rPr>
              <w:t>天宁区</w:t>
            </w:r>
          </w:p>
        </w:tc>
        <w:tc>
          <w:tcPr>
            <w:tcW w:w="1111" w:type="dxa"/>
            <w:noWrap w:val="0"/>
            <w:vAlign w:val="center"/>
          </w:tcPr>
          <w:p>
            <w:pPr>
              <w:spacing w:line="320" w:lineRule="exact"/>
              <w:jc w:val="center"/>
              <w:rPr>
                <w:rFonts w:ascii="Times New Roman" w:hAnsi="Times New Roman" w:eastAsia="黑体"/>
                <w:sz w:val="24"/>
                <w:szCs w:val="24"/>
              </w:rPr>
            </w:pPr>
            <w:r>
              <w:rPr>
                <w:rFonts w:ascii="Times New Roman" w:hAnsi="Times New Roman" w:eastAsia="黑体"/>
                <w:sz w:val="24"/>
                <w:szCs w:val="24"/>
              </w:rPr>
              <w:t>钟楼区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242" w:type="dxa"/>
            <w:noWrap/>
            <w:vAlign w:val="center"/>
          </w:tcPr>
          <w:p>
            <w:pPr>
              <w:spacing w:line="320" w:lineRule="exact"/>
              <w:jc w:val="center"/>
              <w:rPr>
                <w:rFonts w:ascii="Times New Roman" w:hAnsi="Times New Roman"/>
                <w:sz w:val="24"/>
                <w:szCs w:val="24"/>
              </w:rPr>
            </w:pPr>
            <w:r>
              <w:rPr>
                <w:rFonts w:ascii="Times New Roman" w:hAnsi="Times New Roman"/>
                <w:sz w:val="24"/>
                <w:szCs w:val="24"/>
              </w:rPr>
              <w:t>2016年</w:t>
            </w:r>
          </w:p>
        </w:tc>
        <w:tc>
          <w:tcPr>
            <w:tcW w:w="1271" w:type="dxa"/>
            <w:noWrap/>
            <w:vAlign w:val="center"/>
          </w:tcPr>
          <w:p>
            <w:pPr>
              <w:spacing w:line="320" w:lineRule="exact"/>
              <w:jc w:val="center"/>
              <w:rPr>
                <w:rFonts w:ascii="Times New Roman" w:hAnsi="Times New Roman"/>
                <w:sz w:val="24"/>
                <w:szCs w:val="24"/>
              </w:rPr>
            </w:pPr>
            <w:r>
              <w:rPr>
                <w:rFonts w:ascii="Times New Roman" w:hAnsi="Times New Roman"/>
                <w:sz w:val="24"/>
                <w:szCs w:val="24"/>
              </w:rPr>
              <w:t>8.30</w:t>
            </w:r>
          </w:p>
        </w:tc>
        <w:tc>
          <w:tcPr>
            <w:tcW w:w="1401" w:type="dxa"/>
            <w:noWrap/>
            <w:vAlign w:val="center"/>
          </w:tcPr>
          <w:p>
            <w:pPr>
              <w:spacing w:line="320" w:lineRule="exact"/>
              <w:jc w:val="center"/>
              <w:rPr>
                <w:rFonts w:ascii="Times New Roman" w:hAnsi="Times New Roman"/>
                <w:sz w:val="24"/>
                <w:szCs w:val="24"/>
              </w:rPr>
            </w:pPr>
            <w:r>
              <w:rPr>
                <w:rFonts w:ascii="Times New Roman" w:hAnsi="Times New Roman"/>
                <w:sz w:val="24"/>
                <w:szCs w:val="24"/>
              </w:rPr>
              <w:t>16.72</w:t>
            </w:r>
          </w:p>
        </w:tc>
        <w:tc>
          <w:tcPr>
            <w:tcW w:w="1401" w:type="dxa"/>
            <w:noWrap/>
            <w:vAlign w:val="center"/>
          </w:tcPr>
          <w:p>
            <w:pPr>
              <w:spacing w:line="320" w:lineRule="exact"/>
              <w:jc w:val="center"/>
              <w:rPr>
                <w:rFonts w:ascii="Times New Roman" w:hAnsi="Times New Roman"/>
                <w:sz w:val="24"/>
                <w:szCs w:val="24"/>
              </w:rPr>
            </w:pPr>
            <w:r>
              <w:rPr>
                <w:rFonts w:ascii="Times New Roman" w:hAnsi="Times New Roman"/>
                <w:sz w:val="24"/>
                <w:szCs w:val="24"/>
              </w:rPr>
              <w:t>94.77</w:t>
            </w:r>
          </w:p>
        </w:tc>
        <w:tc>
          <w:tcPr>
            <w:tcW w:w="1317" w:type="dxa"/>
            <w:noWrap/>
            <w:vAlign w:val="center"/>
          </w:tcPr>
          <w:p>
            <w:pPr>
              <w:spacing w:line="320" w:lineRule="exact"/>
              <w:jc w:val="center"/>
              <w:rPr>
                <w:rFonts w:ascii="Times New Roman" w:hAnsi="Times New Roman"/>
                <w:sz w:val="24"/>
                <w:szCs w:val="24"/>
              </w:rPr>
            </w:pPr>
            <w:r>
              <w:rPr>
                <w:rFonts w:ascii="Times New Roman" w:hAnsi="Times New Roman"/>
                <w:sz w:val="24"/>
                <w:szCs w:val="24"/>
              </w:rPr>
              <w:t>100.74</w:t>
            </w:r>
          </w:p>
        </w:tc>
        <w:tc>
          <w:tcPr>
            <w:tcW w:w="1317" w:type="dxa"/>
            <w:noWrap/>
            <w:vAlign w:val="center"/>
          </w:tcPr>
          <w:p>
            <w:pPr>
              <w:spacing w:line="320" w:lineRule="exact"/>
              <w:jc w:val="center"/>
              <w:rPr>
                <w:rFonts w:ascii="Times New Roman" w:hAnsi="Times New Roman"/>
                <w:sz w:val="24"/>
                <w:szCs w:val="24"/>
              </w:rPr>
            </w:pPr>
            <w:r>
              <w:rPr>
                <w:rFonts w:ascii="Times New Roman" w:hAnsi="Times New Roman"/>
                <w:sz w:val="24"/>
                <w:szCs w:val="24"/>
              </w:rPr>
              <w:t>28.35</w:t>
            </w:r>
          </w:p>
        </w:tc>
        <w:tc>
          <w:tcPr>
            <w:tcW w:w="1111" w:type="dxa"/>
            <w:noWrap/>
            <w:vAlign w:val="center"/>
          </w:tcPr>
          <w:p>
            <w:pPr>
              <w:spacing w:line="320" w:lineRule="exact"/>
              <w:jc w:val="center"/>
              <w:rPr>
                <w:rFonts w:ascii="Times New Roman" w:hAnsi="Times New Roman"/>
                <w:sz w:val="24"/>
                <w:szCs w:val="24"/>
              </w:rPr>
            </w:pPr>
            <w:r>
              <w:rPr>
                <w:rFonts w:ascii="Times New Roman" w:hAnsi="Times New Roman"/>
                <w:sz w:val="24"/>
                <w:szCs w:val="24"/>
              </w:rPr>
              <w:t>25.14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242" w:type="dxa"/>
            <w:noWrap/>
            <w:vAlign w:val="center"/>
          </w:tcPr>
          <w:p>
            <w:pPr>
              <w:spacing w:line="320" w:lineRule="exact"/>
              <w:jc w:val="center"/>
              <w:rPr>
                <w:rFonts w:ascii="Times New Roman" w:hAnsi="Times New Roman"/>
                <w:sz w:val="24"/>
                <w:szCs w:val="24"/>
              </w:rPr>
            </w:pPr>
            <w:r>
              <w:rPr>
                <w:rFonts w:ascii="Times New Roman" w:hAnsi="Times New Roman"/>
                <w:sz w:val="24"/>
                <w:szCs w:val="24"/>
              </w:rPr>
              <w:t>2017年</w:t>
            </w:r>
          </w:p>
        </w:tc>
        <w:tc>
          <w:tcPr>
            <w:tcW w:w="1271" w:type="dxa"/>
            <w:noWrap/>
            <w:vAlign w:val="center"/>
          </w:tcPr>
          <w:p>
            <w:pPr>
              <w:spacing w:line="320" w:lineRule="exact"/>
              <w:jc w:val="center"/>
              <w:rPr>
                <w:rFonts w:ascii="Times New Roman" w:hAnsi="Times New Roman"/>
                <w:sz w:val="24"/>
                <w:szCs w:val="24"/>
              </w:rPr>
            </w:pPr>
            <w:r>
              <w:rPr>
                <w:rFonts w:ascii="Times New Roman" w:hAnsi="Times New Roman"/>
                <w:sz w:val="24"/>
                <w:szCs w:val="24"/>
              </w:rPr>
              <w:t>9.95</w:t>
            </w:r>
          </w:p>
        </w:tc>
        <w:tc>
          <w:tcPr>
            <w:tcW w:w="1401" w:type="dxa"/>
            <w:noWrap/>
            <w:vAlign w:val="center"/>
          </w:tcPr>
          <w:p>
            <w:pPr>
              <w:spacing w:line="320" w:lineRule="exact"/>
              <w:jc w:val="center"/>
              <w:rPr>
                <w:rFonts w:ascii="Times New Roman" w:hAnsi="Times New Roman"/>
                <w:sz w:val="24"/>
                <w:szCs w:val="24"/>
              </w:rPr>
            </w:pPr>
            <w:r>
              <w:rPr>
                <w:rFonts w:ascii="Times New Roman" w:hAnsi="Times New Roman"/>
                <w:sz w:val="24"/>
                <w:szCs w:val="24"/>
              </w:rPr>
              <w:t>20.57</w:t>
            </w:r>
          </w:p>
        </w:tc>
        <w:tc>
          <w:tcPr>
            <w:tcW w:w="1401" w:type="dxa"/>
            <w:noWrap/>
            <w:vAlign w:val="center"/>
          </w:tcPr>
          <w:p>
            <w:pPr>
              <w:spacing w:line="320" w:lineRule="exact"/>
              <w:jc w:val="center"/>
              <w:rPr>
                <w:rFonts w:ascii="Times New Roman" w:hAnsi="Times New Roman"/>
                <w:sz w:val="24"/>
                <w:szCs w:val="24"/>
              </w:rPr>
            </w:pPr>
            <w:r>
              <w:rPr>
                <w:rFonts w:ascii="Times New Roman" w:hAnsi="Times New Roman"/>
                <w:sz w:val="24"/>
                <w:szCs w:val="24"/>
              </w:rPr>
              <w:t>108.92</w:t>
            </w:r>
          </w:p>
        </w:tc>
        <w:tc>
          <w:tcPr>
            <w:tcW w:w="1317" w:type="dxa"/>
            <w:noWrap/>
            <w:vAlign w:val="center"/>
          </w:tcPr>
          <w:p>
            <w:pPr>
              <w:spacing w:line="320" w:lineRule="exact"/>
              <w:jc w:val="center"/>
              <w:rPr>
                <w:rFonts w:ascii="Times New Roman" w:hAnsi="Times New Roman"/>
                <w:sz w:val="24"/>
                <w:szCs w:val="24"/>
              </w:rPr>
            </w:pPr>
            <w:r>
              <w:rPr>
                <w:rFonts w:ascii="Times New Roman" w:hAnsi="Times New Roman"/>
                <w:sz w:val="24"/>
                <w:szCs w:val="24"/>
              </w:rPr>
              <w:t>115.01</w:t>
            </w:r>
          </w:p>
        </w:tc>
        <w:tc>
          <w:tcPr>
            <w:tcW w:w="1317" w:type="dxa"/>
            <w:noWrap/>
            <w:vAlign w:val="center"/>
          </w:tcPr>
          <w:p>
            <w:pPr>
              <w:spacing w:line="320" w:lineRule="exact"/>
              <w:jc w:val="center"/>
              <w:rPr>
                <w:rFonts w:ascii="Times New Roman" w:hAnsi="Times New Roman"/>
                <w:sz w:val="24"/>
                <w:szCs w:val="24"/>
              </w:rPr>
            </w:pPr>
            <w:r>
              <w:rPr>
                <w:rFonts w:ascii="Times New Roman" w:hAnsi="Times New Roman"/>
                <w:sz w:val="24"/>
                <w:szCs w:val="24"/>
              </w:rPr>
              <w:t>30.92</w:t>
            </w:r>
          </w:p>
        </w:tc>
        <w:tc>
          <w:tcPr>
            <w:tcW w:w="1111" w:type="dxa"/>
            <w:noWrap/>
            <w:vAlign w:val="center"/>
          </w:tcPr>
          <w:p>
            <w:pPr>
              <w:spacing w:line="320" w:lineRule="exact"/>
              <w:jc w:val="center"/>
              <w:rPr>
                <w:rFonts w:ascii="Times New Roman" w:hAnsi="Times New Roman"/>
                <w:sz w:val="24"/>
                <w:szCs w:val="24"/>
              </w:rPr>
            </w:pPr>
            <w:r>
              <w:rPr>
                <w:rFonts w:ascii="Times New Roman" w:hAnsi="Times New Roman"/>
                <w:sz w:val="24"/>
                <w:szCs w:val="24"/>
              </w:rPr>
              <w:t>26.05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242" w:type="dxa"/>
            <w:noWrap/>
            <w:vAlign w:val="center"/>
          </w:tcPr>
          <w:p>
            <w:pPr>
              <w:spacing w:line="320" w:lineRule="exact"/>
              <w:jc w:val="center"/>
              <w:rPr>
                <w:rFonts w:ascii="Times New Roman" w:hAnsi="Times New Roman"/>
                <w:sz w:val="24"/>
                <w:szCs w:val="24"/>
              </w:rPr>
            </w:pPr>
            <w:r>
              <w:rPr>
                <w:rFonts w:ascii="Times New Roman" w:hAnsi="Times New Roman"/>
                <w:sz w:val="24"/>
                <w:szCs w:val="24"/>
              </w:rPr>
              <w:t>2018年</w:t>
            </w:r>
          </w:p>
        </w:tc>
        <w:tc>
          <w:tcPr>
            <w:tcW w:w="1271" w:type="dxa"/>
            <w:noWrap/>
            <w:vAlign w:val="center"/>
          </w:tcPr>
          <w:p>
            <w:pPr>
              <w:spacing w:line="320" w:lineRule="exact"/>
              <w:jc w:val="center"/>
              <w:rPr>
                <w:rFonts w:ascii="Times New Roman" w:hAnsi="Times New Roman"/>
                <w:sz w:val="24"/>
                <w:szCs w:val="24"/>
              </w:rPr>
            </w:pPr>
            <w:r>
              <w:rPr>
                <w:rFonts w:ascii="Times New Roman" w:hAnsi="Times New Roman"/>
                <w:sz w:val="24"/>
                <w:szCs w:val="24"/>
              </w:rPr>
              <w:t>11.47</w:t>
            </w:r>
          </w:p>
        </w:tc>
        <w:tc>
          <w:tcPr>
            <w:tcW w:w="1401" w:type="dxa"/>
            <w:noWrap/>
            <w:vAlign w:val="center"/>
          </w:tcPr>
          <w:p>
            <w:pPr>
              <w:spacing w:line="320" w:lineRule="exact"/>
              <w:jc w:val="center"/>
              <w:rPr>
                <w:rFonts w:ascii="Times New Roman" w:hAnsi="Times New Roman"/>
                <w:sz w:val="24"/>
                <w:szCs w:val="24"/>
              </w:rPr>
            </w:pPr>
            <w:r>
              <w:rPr>
                <w:rFonts w:ascii="Times New Roman" w:hAnsi="Times New Roman"/>
                <w:sz w:val="24"/>
                <w:szCs w:val="24"/>
              </w:rPr>
              <w:t>23.80</w:t>
            </w:r>
          </w:p>
        </w:tc>
        <w:tc>
          <w:tcPr>
            <w:tcW w:w="1401" w:type="dxa"/>
            <w:noWrap/>
            <w:vAlign w:val="center"/>
          </w:tcPr>
          <w:p>
            <w:pPr>
              <w:spacing w:line="320" w:lineRule="exact"/>
              <w:jc w:val="center"/>
              <w:rPr>
                <w:rFonts w:ascii="Times New Roman" w:hAnsi="Times New Roman"/>
                <w:sz w:val="24"/>
                <w:szCs w:val="24"/>
              </w:rPr>
            </w:pPr>
            <w:r>
              <w:rPr>
                <w:rFonts w:ascii="Times New Roman" w:hAnsi="Times New Roman"/>
                <w:sz w:val="24"/>
                <w:szCs w:val="24"/>
              </w:rPr>
              <w:t>120.46</w:t>
            </w:r>
          </w:p>
        </w:tc>
        <w:tc>
          <w:tcPr>
            <w:tcW w:w="1317" w:type="dxa"/>
            <w:noWrap/>
            <w:vAlign w:val="center"/>
          </w:tcPr>
          <w:p>
            <w:pPr>
              <w:spacing w:line="320" w:lineRule="exact"/>
              <w:jc w:val="center"/>
              <w:rPr>
                <w:rFonts w:ascii="Times New Roman" w:hAnsi="Times New Roman"/>
                <w:sz w:val="24"/>
                <w:szCs w:val="24"/>
              </w:rPr>
            </w:pPr>
            <w:r>
              <w:rPr>
                <w:rFonts w:ascii="Times New Roman" w:hAnsi="Times New Roman"/>
                <w:sz w:val="24"/>
                <w:szCs w:val="24"/>
              </w:rPr>
              <w:t>127.93</w:t>
            </w:r>
          </w:p>
        </w:tc>
        <w:tc>
          <w:tcPr>
            <w:tcW w:w="1317" w:type="dxa"/>
            <w:noWrap/>
            <w:vAlign w:val="center"/>
          </w:tcPr>
          <w:p>
            <w:pPr>
              <w:spacing w:line="320" w:lineRule="exact"/>
              <w:jc w:val="center"/>
              <w:rPr>
                <w:rFonts w:ascii="Times New Roman" w:hAnsi="Times New Roman"/>
                <w:sz w:val="24"/>
                <w:szCs w:val="24"/>
              </w:rPr>
            </w:pPr>
            <w:r>
              <w:rPr>
                <w:rFonts w:ascii="Times New Roman" w:hAnsi="Times New Roman"/>
                <w:sz w:val="24"/>
                <w:szCs w:val="24"/>
              </w:rPr>
              <w:t>32.95</w:t>
            </w:r>
          </w:p>
        </w:tc>
        <w:tc>
          <w:tcPr>
            <w:tcW w:w="1111" w:type="dxa"/>
            <w:noWrap/>
            <w:vAlign w:val="center"/>
          </w:tcPr>
          <w:p>
            <w:pPr>
              <w:spacing w:line="320" w:lineRule="exact"/>
              <w:jc w:val="center"/>
              <w:rPr>
                <w:rFonts w:ascii="Times New Roman" w:hAnsi="Times New Roman"/>
                <w:sz w:val="24"/>
                <w:szCs w:val="24"/>
              </w:rPr>
            </w:pPr>
            <w:r>
              <w:rPr>
                <w:rFonts w:ascii="Times New Roman" w:hAnsi="Times New Roman"/>
                <w:sz w:val="24"/>
                <w:szCs w:val="24"/>
              </w:rPr>
              <w:t>25.93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242" w:type="dxa"/>
            <w:noWrap/>
            <w:vAlign w:val="center"/>
          </w:tcPr>
          <w:p>
            <w:pPr>
              <w:spacing w:line="320" w:lineRule="exact"/>
              <w:jc w:val="center"/>
              <w:rPr>
                <w:rFonts w:ascii="Times New Roman" w:hAnsi="Times New Roman"/>
                <w:sz w:val="24"/>
                <w:szCs w:val="24"/>
              </w:rPr>
            </w:pPr>
            <w:r>
              <w:rPr>
                <w:rFonts w:ascii="Times New Roman" w:hAnsi="Times New Roman"/>
                <w:sz w:val="24"/>
                <w:szCs w:val="24"/>
              </w:rPr>
              <w:t>2019年</w:t>
            </w:r>
          </w:p>
        </w:tc>
        <w:tc>
          <w:tcPr>
            <w:tcW w:w="1271" w:type="dxa"/>
            <w:noWrap/>
            <w:vAlign w:val="center"/>
          </w:tcPr>
          <w:p>
            <w:pPr>
              <w:spacing w:line="320" w:lineRule="exact"/>
              <w:jc w:val="center"/>
              <w:rPr>
                <w:rFonts w:ascii="Times New Roman" w:hAnsi="Times New Roman"/>
                <w:sz w:val="24"/>
                <w:szCs w:val="24"/>
              </w:rPr>
            </w:pPr>
            <w:r>
              <w:rPr>
                <w:rFonts w:ascii="Times New Roman" w:hAnsi="Times New Roman"/>
                <w:sz w:val="24"/>
                <w:szCs w:val="24"/>
              </w:rPr>
              <w:t>11.67</w:t>
            </w:r>
          </w:p>
        </w:tc>
        <w:tc>
          <w:tcPr>
            <w:tcW w:w="1401" w:type="dxa"/>
            <w:noWrap/>
            <w:vAlign w:val="center"/>
          </w:tcPr>
          <w:p>
            <w:pPr>
              <w:spacing w:line="320" w:lineRule="exact"/>
              <w:jc w:val="center"/>
              <w:rPr>
                <w:rFonts w:ascii="Times New Roman" w:hAnsi="Times New Roman"/>
                <w:sz w:val="24"/>
                <w:szCs w:val="24"/>
              </w:rPr>
            </w:pPr>
            <w:r>
              <w:rPr>
                <w:rFonts w:ascii="Times New Roman" w:hAnsi="Times New Roman"/>
                <w:sz w:val="24"/>
                <w:szCs w:val="24"/>
              </w:rPr>
              <w:t>25.90</w:t>
            </w:r>
          </w:p>
        </w:tc>
        <w:tc>
          <w:tcPr>
            <w:tcW w:w="1401" w:type="dxa"/>
            <w:noWrap/>
            <w:vAlign w:val="center"/>
          </w:tcPr>
          <w:p>
            <w:pPr>
              <w:spacing w:line="320" w:lineRule="exact"/>
              <w:jc w:val="center"/>
              <w:rPr>
                <w:rFonts w:ascii="Times New Roman" w:hAnsi="Times New Roman"/>
                <w:sz w:val="24"/>
                <w:szCs w:val="24"/>
              </w:rPr>
            </w:pPr>
            <w:r>
              <w:rPr>
                <w:rFonts w:ascii="Times New Roman" w:hAnsi="Times New Roman"/>
                <w:sz w:val="24"/>
                <w:szCs w:val="24"/>
              </w:rPr>
              <w:t>117.52</w:t>
            </w:r>
          </w:p>
        </w:tc>
        <w:tc>
          <w:tcPr>
            <w:tcW w:w="1317" w:type="dxa"/>
            <w:noWrap/>
            <w:vAlign w:val="center"/>
          </w:tcPr>
          <w:p>
            <w:pPr>
              <w:spacing w:line="320" w:lineRule="exact"/>
              <w:jc w:val="center"/>
              <w:rPr>
                <w:rFonts w:ascii="Times New Roman" w:hAnsi="Times New Roman"/>
                <w:sz w:val="24"/>
                <w:szCs w:val="24"/>
              </w:rPr>
            </w:pPr>
            <w:r>
              <w:rPr>
                <w:rFonts w:ascii="Times New Roman" w:hAnsi="Times New Roman"/>
                <w:sz w:val="24"/>
                <w:szCs w:val="24"/>
              </w:rPr>
              <w:t>123.92</w:t>
            </w:r>
          </w:p>
        </w:tc>
        <w:tc>
          <w:tcPr>
            <w:tcW w:w="1317" w:type="dxa"/>
            <w:noWrap/>
            <w:vAlign w:val="center"/>
          </w:tcPr>
          <w:p>
            <w:pPr>
              <w:spacing w:line="320" w:lineRule="exact"/>
              <w:jc w:val="center"/>
              <w:rPr>
                <w:rFonts w:ascii="Times New Roman" w:hAnsi="Times New Roman"/>
                <w:sz w:val="24"/>
                <w:szCs w:val="24"/>
              </w:rPr>
            </w:pPr>
            <w:r>
              <w:rPr>
                <w:rFonts w:ascii="Times New Roman" w:hAnsi="Times New Roman"/>
                <w:sz w:val="24"/>
                <w:szCs w:val="24"/>
              </w:rPr>
              <w:t>32.18</w:t>
            </w:r>
          </w:p>
        </w:tc>
        <w:tc>
          <w:tcPr>
            <w:tcW w:w="1111" w:type="dxa"/>
            <w:noWrap/>
            <w:vAlign w:val="center"/>
          </w:tcPr>
          <w:p>
            <w:pPr>
              <w:spacing w:line="320" w:lineRule="exact"/>
              <w:jc w:val="center"/>
              <w:rPr>
                <w:rFonts w:ascii="Times New Roman" w:hAnsi="Times New Roman"/>
                <w:sz w:val="24"/>
                <w:szCs w:val="24"/>
              </w:rPr>
            </w:pPr>
            <w:r>
              <w:rPr>
                <w:rFonts w:ascii="Times New Roman" w:hAnsi="Times New Roman"/>
                <w:sz w:val="24"/>
                <w:szCs w:val="24"/>
              </w:rPr>
              <w:t>26.84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242" w:type="dxa"/>
            <w:noWrap/>
            <w:vAlign w:val="center"/>
          </w:tcPr>
          <w:p>
            <w:pPr>
              <w:spacing w:line="320" w:lineRule="exact"/>
              <w:jc w:val="center"/>
              <w:rPr>
                <w:rFonts w:ascii="Times New Roman" w:hAnsi="Times New Roman"/>
                <w:sz w:val="24"/>
                <w:szCs w:val="24"/>
              </w:rPr>
            </w:pPr>
            <w:r>
              <w:rPr>
                <w:rFonts w:ascii="Times New Roman" w:hAnsi="Times New Roman"/>
                <w:sz w:val="24"/>
                <w:szCs w:val="24"/>
              </w:rPr>
              <w:t>2020年</w:t>
            </w:r>
          </w:p>
        </w:tc>
        <w:tc>
          <w:tcPr>
            <w:tcW w:w="1271" w:type="dxa"/>
            <w:noWrap/>
            <w:vAlign w:val="center"/>
          </w:tcPr>
          <w:p>
            <w:pPr>
              <w:spacing w:line="320" w:lineRule="exact"/>
              <w:jc w:val="center"/>
              <w:rPr>
                <w:rFonts w:ascii="Times New Roman" w:hAnsi="Times New Roman"/>
                <w:sz w:val="24"/>
                <w:szCs w:val="24"/>
              </w:rPr>
            </w:pPr>
            <w:r>
              <w:rPr>
                <w:rFonts w:ascii="Times New Roman" w:hAnsi="Times New Roman"/>
                <w:sz w:val="24"/>
                <w:szCs w:val="24"/>
              </w:rPr>
              <w:t>12.38</w:t>
            </w:r>
          </w:p>
        </w:tc>
        <w:tc>
          <w:tcPr>
            <w:tcW w:w="1401" w:type="dxa"/>
            <w:noWrap/>
            <w:vAlign w:val="center"/>
          </w:tcPr>
          <w:p>
            <w:pPr>
              <w:spacing w:line="320" w:lineRule="exact"/>
              <w:jc w:val="center"/>
              <w:rPr>
                <w:rFonts w:ascii="Times New Roman" w:hAnsi="Times New Roman"/>
                <w:sz w:val="24"/>
                <w:szCs w:val="24"/>
              </w:rPr>
            </w:pPr>
            <w:r>
              <w:rPr>
                <w:rFonts w:ascii="Times New Roman" w:hAnsi="Times New Roman"/>
                <w:sz w:val="24"/>
                <w:szCs w:val="24"/>
              </w:rPr>
              <w:t>31.80</w:t>
            </w:r>
          </w:p>
        </w:tc>
        <w:tc>
          <w:tcPr>
            <w:tcW w:w="1401" w:type="dxa"/>
            <w:noWrap/>
            <w:vAlign w:val="center"/>
          </w:tcPr>
          <w:p>
            <w:pPr>
              <w:spacing w:line="320" w:lineRule="exact"/>
              <w:jc w:val="center"/>
              <w:rPr>
                <w:rFonts w:ascii="Times New Roman" w:hAnsi="Times New Roman"/>
                <w:sz w:val="24"/>
                <w:szCs w:val="24"/>
              </w:rPr>
            </w:pPr>
            <w:r>
              <w:rPr>
                <w:rFonts w:ascii="Times New Roman" w:hAnsi="Times New Roman"/>
                <w:sz w:val="24"/>
                <w:szCs w:val="24"/>
              </w:rPr>
              <w:t>121.92</w:t>
            </w:r>
          </w:p>
        </w:tc>
        <w:tc>
          <w:tcPr>
            <w:tcW w:w="1317" w:type="dxa"/>
            <w:noWrap/>
            <w:vAlign w:val="center"/>
          </w:tcPr>
          <w:p>
            <w:pPr>
              <w:spacing w:line="320" w:lineRule="exact"/>
              <w:jc w:val="center"/>
              <w:rPr>
                <w:rFonts w:ascii="Times New Roman" w:hAnsi="Times New Roman"/>
                <w:sz w:val="24"/>
                <w:szCs w:val="24"/>
              </w:rPr>
            </w:pPr>
            <w:r>
              <w:rPr>
                <w:rFonts w:ascii="Times New Roman" w:hAnsi="Times New Roman"/>
                <w:sz w:val="24"/>
                <w:szCs w:val="24"/>
              </w:rPr>
              <w:t>125.80</w:t>
            </w:r>
          </w:p>
        </w:tc>
        <w:tc>
          <w:tcPr>
            <w:tcW w:w="1317" w:type="dxa"/>
            <w:noWrap/>
            <w:vAlign w:val="center"/>
          </w:tcPr>
          <w:p>
            <w:pPr>
              <w:spacing w:line="320" w:lineRule="exact"/>
              <w:jc w:val="center"/>
              <w:rPr>
                <w:rFonts w:ascii="Times New Roman" w:hAnsi="Times New Roman"/>
                <w:sz w:val="24"/>
                <w:szCs w:val="24"/>
              </w:rPr>
            </w:pPr>
            <w:r>
              <w:rPr>
                <w:rFonts w:ascii="Times New Roman" w:hAnsi="Times New Roman"/>
                <w:sz w:val="24"/>
                <w:szCs w:val="24"/>
              </w:rPr>
              <w:t>28.97</w:t>
            </w:r>
          </w:p>
        </w:tc>
        <w:tc>
          <w:tcPr>
            <w:tcW w:w="1111" w:type="dxa"/>
            <w:noWrap/>
            <w:vAlign w:val="center"/>
          </w:tcPr>
          <w:p>
            <w:pPr>
              <w:spacing w:line="320" w:lineRule="exact"/>
              <w:jc w:val="center"/>
              <w:rPr>
                <w:rFonts w:ascii="Times New Roman" w:hAnsi="Times New Roman"/>
                <w:sz w:val="24"/>
                <w:szCs w:val="24"/>
              </w:rPr>
            </w:pPr>
            <w:r>
              <w:rPr>
                <w:rFonts w:ascii="Times New Roman" w:hAnsi="Times New Roman"/>
                <w:sz w:val="24"/>
                <w:szCs w:val="24"/>
              </w:rPr>
              <w:t>28.29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242" w:type="dxa"/>
            <w:noWrap/>
            <w:vAlign w:val="center"/>
          </w:tcPr>
          <w:p>
            <w:pPr>
              <w:spacing w:line="320" w:lineRule="exact"/>
              <w:jc w:val="center"/>
              <w:rPr>
                <w:rFonts w:ascii="Times New Roman" w:hAnsi="Times New Roman"/>
                <w:sz w:val="24"/>
                <w:szCs w:val="24"/>
              </w:rPr>
            </w:pPr>
            <w:r>
              <w:rPr>
                <w:rFonts w:ascii="Times New Roman" w:hAnsi="Times New Roman"/>
                <w:sz w:val="24"/>
                <w:szCs w:val="24"/>
              </w:rPr>
              <w:t>总  计</w:t>
            </w:r>
          </w:p>
        </w:tc>
        <w:tc>
          <w:tcPr>
            <w:tcW w:w="1271" w:type="dxa"/>
            <w:noWrap/>
            <w:vAlign w:val="center"/>
          </w:tcPr>
          <w:p>
            <w:pPr>
              <w:spacing w:line="320" w:lineRule="exact"/>
              <w:jc w:val="center"/>
              <w:rPr>
                <w:rFonts w:ascii="Times New Roman" w:hAnsi="Times New Roman"/>
                <w:sz w:val="24"/>
                <w:szCs w:val="24"/>
              </w:rPr>
            </w:pPr>
            <w:r>
              <w:rPr>
                <w:rFonts w:ascii="Times New Roman" w:hAnsi="Times New Roman"/>
                <w:sz w:val="24"/>
                <w:szCs w:val="24"/>
              </w:rPr>
              <w:t>53.77</w:t>
            </w:r>
          </w:p>
        </w:tc>
        <w:tc>
          <w:tcPr>
            <w:tcW w:w="1401" w:type="dxa"/>
            <w:noWrap/>
            <w:vAlign w:val="center"/>
          </w:tcPr>
          <w:p>
            <w:pPr>
              <w:spacing w:line="320" w:lineRule="exact"/>
              <w:jc w:val="center"/>
              <w:rPr>
                <w:rFonts w:ascii="Times New Roman" w:hAnsi="Times New Roman"/>
                <w:sz w:val="24"/>
                <w:szCs w:val="24"/>
              </w:rPr>
            </w:pPr>
            <w:r>
              <w:rPr>
                <w:rFonts w:ascii="Times New Roman" w:hAnsi="Times New Roman"/>
                <w:sz w:val="24"/>
                <w:szCs w:val="24"/>
              </w:rPr>
              <w:t>118.79</w:t>
            </w:r>
          </w:p>
        </w:tc>
        <w:tc>
          <w:tcPr>
            <w:tcW w:w="1401" w:type="dxa"/>
            <w:noWrap/>
            <w:vAlign w:val="center"/>
          </w:tcPr>
          <w:p>
            <w:pPr>
              <w:spacing w:line="320" w:lineRule="exact"/>
              <w:jc w:val="center"/>
              <w:rPr>
                <w:rFonts w:ascii="Times New Roman" w:hAnsi="Times New Roman"/>
                <w:sz w:val="24"/>
                <w:szCs w:val="24"/>
              </w:rPr>
            </w:pPr>
            <w:r>
              <w:rPr>
                <w:rFonts w:ascii="Times New Roman" w:hAnsi="Times New Roman"/>
                <w:sz w:val="24"/>
                <w:szCs w:val="24"/>
              </w:rPr>
              <w:t>563.59</w:t>
            </w:r>
          </w:p>
        </w:tc>
        <w:tc>
          <w:tcPr>
            <w:tcW w:w="1317" w:type="dxa"/>
            <w:noWrap/>
            <w:vAlign w:val="center"/>
          </w:tcPr>
          <w:p>
            <w:pPr>
              <w:spacing w:line="320" w:lineRule="exact"/>
              <w:jc w:val="center"/>
              <w:rPr>
                <w:rFonts w:ascii="Times New Roman" w:hAnsi="Times New Roman"/>
                <w:sz w:val="24"/>
                <w:szCs w:val="24"/>
              </w:rPr>
            </w:pPr>
            <w:r>
              <w:rPr>
                <w:rFonts w:ascii="Times New Roman" w:hAnsi="Times New Roman"/>
                <w:sz w:val="24"/>
                <w:szCs w:val="24"/>
              </w:rPr>
              <w:t>593.4</w:t>
            </w:r>
          </w:p>
        </w:tc>
        <w:tc>
          <w:tcPr>
            <w:tcW w:w="1317" w:type="dxa"/>
            <w:noWrap/>
            <w:vAlign w:val="center"/>
          </w:tcPr>
          <w:p>
            <w:pPr>
              <w:spacing w:line="320" w:lineRule="exact"/>
              <w:jc w:val="center"/>
              <w:rPr>
                <w:rFonts w:ascii="Times New Roman" w:hAnsi="Times New Roman"/>
                <w:sz w:val="24"/>
                <w:szCs w:val="24"/>
              </w:rPr>
            </w:pPr>
            <w:r>
              <w:rPr>
                <w:rFonts w:ascii="Times New Roman" w:hAnsi="Times New Roman"/>
                <w:sz w:val="24"/>
                <w:szCs w:val="24"/>
              </w:rPr>
              <w:t>153.37</w:t>
            </w:r>
          </w:p>
        </w:tc>
        <w:tc>
          <w:tcPr>
            <w:tcW w:w="1111" w:type="dxa"/>
            <w:noWrap/>
            <w:vAlign w:val="center"/>
          </w:tcPr>
          <w:p>
            <w:pPr>
              <w:spacing w:line="320" w:lineRule="exact"/>
              <w:jc w:val="center"/>
              <w:rPr>
                <w:rFonts w:ascii="Times New Roman" w:hAnsi="Times New Roman"/>
                <w:sz w:val="24"/>
                <w:szCs w:val="24"/>
              </w:rPr>
            </w:pPr>
            <w:r>
              <w:rPr>
                <w:rFonts w:ascii="Times New Roman" w:hAnsi="Times New Roman"/>
                <w:sz w:val="24"/>
                <w:szCs w:val="24"/>
              </w:rPr>
              <w:t>132.25</w:t>
            </w:r>
          </w:p>
        </w:tc>
      </w:tr>
    </w:tbl>
    <w:p>
      <w:pPr>
        <w:rPr>
          <w:rFonts w:ascii="Times New Roman" w:hAnsi="Times New Roman"/>
        </w:rPr>
      </w:pPr>
    </w:p>
    <w:p>
      <w:pPr>
        <w:overflowPunct w:val="0"/>
        <w:autoSpaceDE w:val="0"/>
        <w:autoSpaceDN w:val="0"/>
        <w:adjustRightInd w:val="0"/>
        <w:snapToGrid w:val="0"/>
        <w:spacing w:line="570" w:lineRule="exact"/>
        <w:ind w:firstLine="641"/>
        <w:rPr>
          <w:rFonts w:ascii="Times New Roman" w:hAnsi="Times New Roman" w:eastAsia="方正仿宋_GBK"/>
          <w:snapToGrid w:val="0"/>
          <w:kern w:val="0"/>
          <w:sz w:val="32"/>
          <w:szCs w:val="32"/>
        </w:rPr>
      </w:pPr>
      <w:r>
        <w:rPr>
          <w:rFonts w:ascii="Times New Roman" w:hAnsi="Times New Roman" w:eastAsia="方正仿宋_GBK"/>
          <w:snapToGrid w:val="0"/>
          <w:kern w:val="0"/>
          <w:sz w:val="32"/>
          <w:szCs w:val="32"/>
        </w:rPr>
        <w:t>3. 外经合作稳步推进、层次提高。“十三五”时期，我市企业稳步“走出去”，共有249家企业在境外投资396个项目，累计中方协议投资额38.5亿美元，投资项目和投资额分别是“十二五”的1.4倍和1.6倍；全市在“一带一路”投资项目102个，中方协议投资额8.98亿美元；新签对外承包劳务合同额22.8亿美元，实现对外承包劳务营业额21.3亿美元。金昇乌兹别克斯坦江苏纺织产业园加快推进，天合光能累计投资近5亿美元，在泰国、越南等地设立生产基地，东奥服装、华利达、亚玛顿、常宝股份分别在柬埔寨、越南、阿联酋、阿曼布点。我市专门成立常州市</w:t>
      </w:r>
      <w:r>
        <w:rPr>
          <w:rFonts w:hint="eastAsia" w:ascii="Times New Roman" w:hAnsi="Times New Roman" w:eastAsia="方正仿宋_GBK"/>
          <w:snapToGrid w:val="0"/>
          <w:kern w:val="0"/>
          <w:sz w:val="32"/>
          <w:szCs w:val="32"/>
          <w:lang w:eastAsia="zh-CN"/>
        </w:rPr>
        <w:t>“一带一路”倡议</w:t>
      </w:r>
      <w:r>
        <w:rPr>
          <w:rFonts w:ascii="Times New Roman" w:hAnsi="Times New Roman" w:eastAsia="方正仿宋_GBK"/>
          <w:snapToGrid w:val="0"/>
          <w:kern w:val="0"/>
          <w:sz w:val="32"/>
          <w:szCs w:val="32"/>
        </w:rPr>
        <w:t>研究院，编发《100国（地区）投资环境要素指南》和《常州市“一带一路”经贸投资白皮书》，努力为企业提供有效指导和服务，支持我市有能力、有条件的企业稳步开展境外投资活动，提高企业国际化运营能力。</w:t>
      </w:r>
    </w:p>
    <w:p>
      <w:pPr>
        <w:adjustRightInd w:val="0"/>
        <w:spacing w:before="120" w:after="120" w:line="520" w:lineRule="exact"/>
        <w:jc w:val="center"/>
        <w:rPr>
          <w:rFonts w:ascii="Times New Roman" w:hAnsi="Times New Roman" w:eastAsia="方正黑体_GBK"/>
          <w:sz w:val="32"/>
          <w:szCs w:val="32"/>
        </w:rPr>
      </w:pPr>
      <w:r>
        <w:rPr>
          <w:rFonts w:ascii="Times New Roman" w:hAnsi="Times New Roman" w:eastAsia="方正黑体_GBK"/>
          <w:sz w:val="32"/>
          <w:szCs w:val="32"/>
        </w:rPr>
        <w:t>2016</w:t>
      </w:r>
      <w:r>
        <w:rPr>
          <w:rFonts w:ascii="黑体" w:hAnsi="黑体" w:eastAsia="黑体"/>
          <w:sz w:val="32"/>
          <w:szCs w:val="32"/>
        </w:rPr>
        <w:t>—</w:t>
      </w:r>
      <w:r>
        <w:rPr>
          <w:rFonts w:ascii="Times New Roman" w:hAnsi="Times New Roman" w:eastAsia="方正黑体_GBK"/>
          <w:sz w:val="32"/>
          <w:szCs w:val="32"/>
        </w:rPr>
        <w:t>2020年常州市境外投资及外经合作情况表</w:t>
      </w:r>
    </w:p>
    <w:p>
      <w:pPr>
        <w:adjustRightInd w:val="0"/>
        <w:spacing w:line="440" w:lineRule="exact"/>
        <w:jc w:val="right"/>
        <w:rPr>
          <w:rFonts w:ascii="Times New Roman" w:hAnsi="Times New Roman"/>
          <w:sz w:val="24"/>
          <w:szCs w:val="24"/>
        </w:rPr>
      </w:pPr>
      <w:r>
        <w:rPr>
          <w:rFonts w:ascii="Times New Roman" w:hAnsi="Times New Roman"/>
          <w:sz w:val="24"/>
          <w:szCs w:val="24"/>
        </w:rPr>
        <w:t>单位：个、亿美元</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10"/>
        <w:gridCol w:w="1854"/>
        <w:gridCol w:w="1855"/>
        <w:gridCol w:w="1854"/>
        <w:gridCol w:w="18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4" w:hRule="atLeast"/>
          <w:jc w:val="center"/>
        </w:trPr>
        <w:tc>
          <w:tcPr>
            <w:tcW w:w="1510" w:type="dxa"/>
            <w:tcBorders>
              <w:tl2br w:val="single" w:color="000000" w:sz="6" w:space="0"/>
            </w:tcBorders>
            <w:noWrap w:val="0"/>
            <w:vAlign w:val="center"/>
          </w:tcPr>
          <w:p>
            <w:pPr>
              <w:spacing w:line="320" w:lineRule="exact"/>
              <w:jc w:val="right"/>
              <w:rPr>
                <w:rFonts w:ascii="Times New Roman" w:hAnsi="Times New Roman" w:eastAsia="黑体"/>
                <w:sz w:val="24"/>
                <w:szCs w:val="24"/>
              </w:rPr>
            </w:pPr>
            <w:r>
              <w:rPr>
                <w:rFonts w:ascii="Times New Roman" w:hAnsi="Times New Roman" w:eastAsia="黑体"/>
                <w:sz w:val="24"/>
                <w:szCs w:val="24"/>
              </w:rPr>
              <w:t>项目</w:t>
            </w:r>
          </w:p>
          <w:p>
            <w:pPr>
              <w:spacing w:line="320" w:lineRule="exact"/>
              <w:rPr>
                <w:rFonts w:ascii="Times New Roman" w:hAnsi="Times New Roman" w:eastAsia="黑体"/>
                <w:sz w:val="24"/>
                <w:szCs w:val="24"/>
              </w:rPr>
            </w:pPr>
            <w:r>
              <w:rPr>
                <w:rFonts w:ascii="Times New Roman" w:hAnsi="Times New Roman" w:eastAsia="黑体"/>
                <w:sz w:val="24"/>
                <w:szCs w:val="24"/>
              </w:rPr>
              <w:t>年份</w:t>
            </w:r>
          </w:p>
        </w:tc>
        <w:tc>
          <w:tcPr>
            <w:tcW w:w="1854" w:type="dxa"/>
            <w:noWrap w:val="0"/>
            <w:vAlign w:val="center"/>
          </w:tcPr>
          <w:p>
            <w:pPr>
              <w:spacing w:line="320" w:lineRule="exact"/>
              <w:jc w:val="center"/>
              <w:rPr>
                <w:rFonts w:ascii="Times New Roman" w:hAnsi="Times New Roman" w:eastAsia="黑体"/>
                <w:sz w:val="24"/>
                <w:szCs w:val="24"/>
              </w:rPr>
            </w:pPr>
            <w:r>
              <w:rPr>
                <w:rFonts w:ascii="Times New Roman" w:hAnsi="Times New Roman" w:eastAsia="黑体"/>
                <w:sz w:val="24"/>
                <w:szCs w:val="24"/>
              </w:rPr>
              <w:t>新批境外</w:t>
            </w:r>
          </w:p>
          <w:p>
            <w:pPr>
              <w:spacing w:line="320" w:lineRule="exact"/>
              <w:jc w:val="center"/>
              <w:rPr>
                <w:rFonts w:ascii="Times New Roman" w:hAnsi="Times New Roman" w:eastAsia="黑体"/>
                <w:sz w:val="24"/>
                <w:szCs w:val="24"/>
              </w:rPr>
            </w:pPr>
            <w:r>
              <w:rPr>
                <w:rFonts w:ascii="Times New Roman" w:hAnsi="Times New Roman" w:eastAsia="黑体"/>
                <w:sz w:val="24"/>
                <w:szCs w:val="24"/>
              </w:rPr>
              <w:t>投资项目数</w:t>
            </w:r>
          </w:p>
        </w:tc>
        <w:tc>
          <w:tcPr>
            <w:tcW w:w="1855" w:type="dxa"/>
            <w:noWrap w:val="0"/>
            <w:vAlign w:val="center"/>
          </w:tcPr>
          <w:p>
            <w:pPr>
              <w:spacing w:line="320" w:lineRule="exact"/>
              <w:jc w:val="center"/>
              <w:rPr>
                <w:rFonts w:ascii="Times New Roman" w:hAnsi="Times New Roman" w:eastAsia="黑体"/>
                <w:sz w:val="24"/>
                <w:szCs w:val="24"/>
              </w:rPr>
            </w:pPr>
            <w:r>
              <w:rPr>
                <w:rFonts w:ascii="Times New Roman" w:hAnsi="Times New Roman" w:eastAsia="黑体"/>
                <w:sz w:val="24"/>
                <w:szCs w:val="24"/>
              </w:rPr>
              <w:t>中方协议</w:t>
            </w:r>
          </w:p>
          <w:p>
            <w:pPr>
              <w:spacing w:line="320" w:lineRule="exact"/>
              <w:jc w:val="center"/>
              <w:rPr>
                <w:rFonts w:ascii="Times New Roman" w:hAnsi="Times New Roman" w:eastAsia="黑体"/>
                <w:sz w:val="24"/>
                <w:szCs w:val="24"/>
              </w:rPr>
            </w:pPr>
            <w:r>
              <w:rPr>
                <w:rFonts w:ascii="Times New Roman" w:hAnsi="Times New Roman" w:eastAsia="黑体"/>
                <w:sz w:val="24"/>
                <w:szCs w:val="24"/>
              </w:rPr>
              <w:t>投资额</w:t>
            </w:r>
          </w:p>
        </w:tc>
        <w:tc>
          <w:tcPr>
            <w:tcW w:w="1854" w:type="dxa"/>
            <w:noWrap w:val="0"/>
            <w:vAlign w:val="center"/>
          </w:tcPr>
          <w:p>
            <w:pPr>
              <w:spacing w:line="320" w:lineRule="exact"/>
              <w:jc w:val="center"/>
              <w:rPr>
                <w:rFonts w:ascii="Times New Roman" w:hAnsi="Times New Roman" w:eastAsia="黑体"/>
                <w:sz w:val="24"/>
                <w:szCs w:val="24"/>
              </w:rPr>
            </w:pPr>
            <w:r>
              <w:rPr>
                <w:rFonts w:ascii="Times New Roman" w:hAnsi="Times New Roman" w:eastAsia="黑体"/>
                <w:sz w:val="24"/>
                <w:szCs w:val="24"/>
              </w:rPr>
              <w:t>新签对外承包</w:t>
            </w:r>
          </w:p>
          <w:p>
            <w:pPr>
              <w:spacing w:line="320" w:lineRule="exact"/>
              <w:jc w:val="center"/>
              <w:rPr>
                <w:rFonts w:ascii="Times New Roman" w:hAnsi="Times New Roman" w:eastAsia="黑体"/>
                <w:sz w:val="24"/>
                <w:szCs w:val="24"/>
              </w:rPr>
            </w:pPr>
            <w:r>
              <w:rPr>
                <w:rFonts w:ascii="Times New Roman" w:hAnsi="Times New Roman" w:eastAsia="黑体"/>
                <w:sz w:val="24"/>
                <w:szCs w:val="24"/>
              </w:rPr>
              <w:t>劳务合同额</w:t>
            </w:r>
          </w:p>
        </w:tc>
        <w:tc>
          <w:tcPr>
            <w:tcW w:w="1855" w:type="dxa"/>
            <w:noWrap w:val="0"/>
            <w:vAlign w:val="center"/>
          </w:tcPr>
          <w:p>
            <w:pPr>
              <w:spacing w:line="320" w:lineRule="exact"/>
              <w:jc w:val="center"/>
              <w:rPr>
                <w:rFonts w:ascii="Times New Roman" w:hAnsi="Times New Roman" w:eastAsia="黑体"/>
                <w:sz w:val="24"/>
                <w:szCs w:val="24"/>
              </w:rPr>
            </w:pPr>
            <w:r>
              <w:rPr>
                <w:rFonts w:ascii="Times New Roman" w:hAnsi="Times New Roman" w:eastAsia="黑体"/>
                <w:sz w:val="24"/>
                <w:szCs w:val="24"/>
              </w:rPr>
              <w:t>对外承包</w:t>
            </w:r>
          </w:p>
          <w:p>
            <w:pPr>
              <w:spacing w:line="320" w:lineRule="exact"/>
              <w:jc w:val="center"/>
              <w:rPr>
                <w:rFonts w:ascii="Times New Roman" w:hAnsi="Times New Roman" w:eastAsia="黑体"/>
                <w:sz w:val="24"/>
                <w:szCs w:val="24"/>
              </w:rPr>
            </w:pPr>
            <w:r>
              <w:rPr>
                <w:rFonts w:ascii="Times New Roman" w:hAnsi="Times New Roman" w:eastAsia="黑体"/>
                <w:sz w:val="24"/>
                <w:szCs w:val="24"/>
              </w:rPr>
              <w:t>劳务营业额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4" w:hRule="atLeast"/>
          <w:jc w:val="center"/>
        </w:trPr>
        <w:tc>
          <w:tcPr>
            <w:tcW w:w="1510" w:type="dxa"/>
            <w:noWrap w:val="0"/>
            <w:vAlign w:val="center"/>
          </w:tcPr>
          <w:p>
            <w:pPr>
              <w:spacing w:line="320" w:lineRule="exact"/>
              <w:jc w:val="center"/>
              <w:rPr>
                <w:rFonts w:ascii="Times New Roman" w:hAnsi="Times New Roman"/>
                <w:sz w:val="24"/>
                <w:szCs w:val="24"/>
              </w:rPr>
            </w:pPr>
            <w:bookmarkStart w:id="6" w:name="OLE_LINK3" w:colFirst="0" w:colLast="4"/>
            <w:r>
              <w:rPr>
                <w:rFonts w:ascii="Times New Roman" w:hAnsi="Times New Roman"/>
                <w:sz w:val="24"/>
                <w:szCs w:val="24"/>
              </w:rPr>
              <w:t>2016年</w:t>
            </w:r>
          </w:p>
        </w:tc>
        <w:tc>
          <w:tcPr>
            <w:tcW w:w="1854" w:type="dxa"/>
            <w:noWrap w:val="0"/>
            <w:vAlign w:val="center"/>
          </w:tcPr>
          <w:p>
            <w:pPr>
              <w:spacing w:line="320" w:lineRule="exact"/>
              <w:jc w:val="center"/>
              <w:rPr>
                <w:rFonts w:ascii="Times New Roman" w:hAnsi="Times New Roman"/>
                <w:sz w:val="24"/>
                <w:szCs w:val="24"/>
              </w:rPr>
            </w:pPr>
            <w:r>
              <w:rPr>
                <w:rFonts w:ascii="Times New Roman" w:hAnsi="Times New Roman"/>
                <w:sz w:val="24"/>
                <w:szCs w:val="24"/>
              </w:rPr>
              <w:t>91</w:t>
            </w:r>
          </w:p>
        </w:tc>
        <w:tc>
          <w:tcPr>
            <w:tcW w:w="1855" w:type="dxa"/>
            <w:noWrap w:val="0"/>
            <w:vAlign w:val="center"/>
          </w:tcPr>
          <w:p>
            <w:pPr>
              <w:spacing w:line="320" w:lineRule="exact"/>
              <w:jc w:val="center"/>
              <w:rPr>
                <w:rFonts w:ascii="Times New Roman" w:hAnsi="Times New Roman"/>
                <w:sz w:val="24"/>
                <w:szCs w:val="24"/>
              </w:rPr>
            </w:pPr>
            <w:r>
              <w:rPr>
                <w:rFonts w:ascii="Times New Roman" w:hAnsi="Times New Roman"/>
                <w:sz w:val="24"/>
                <w:szCs w:val="24"/>
              </w:rPr>
              <w:t>9.66</w:t>
            </w:r>
          </w:p>
        </w:tc>
        <w:tc>
          <w:tcPr>
            <w:tcW w:w="1854" w:type="dxa"/>
            <w:noWrap w:val="0"/>
            <w:vAlign w:val="center"/>
          </w:tcPr>
          <w:p>
            <w:pPr>
              <w:spacing w:line="320" w:lineRule="exact"/>
              <w:jc w:val="center"/>
              <w:rPr>
                <w:rFonts w:ascii="Times New Roman" w:hAnsi="Times New Roman"/>
                <w:sz w:val="24"/>
                <w:szCs w:val="24"/>
              </w:rPr>
            </w:pPr>
            <w:r>
              <w:rPr>
                <w:rFonts w:ascii="Times New Roman" w:hAnsi="Times New Roman"/>
                <w:sz w:val="24"/>
                <w:szCs w:val="24"/>
              </w:rPr>
              <w:t>5.36</w:t>
            </w:r>
          </w:p>
        </w:tc>
        <w:tc>
          <w:tcPr>
            <w:tcW w:w="1855" w:type="dxa"/>
            <w:noWrap w:val="0"/>
            <w:vAlign w:val="center"/>
          </w:tcPr>
          <w:p>
            <w:pPr>
              <w:spacing w:line="320" w:lineRule="exact"/>
              <w:jc w:val="center"/>
              <w:rPr>
                <w:rFonts w:ascii="Times New Roman" w:hAnsi="Times New Roman"/>
                <w:sz w:val="24"/>
                <w:szCs w:val="24"/>
              </w:rPr>
            </w:pPr>
            <w:r>
              <w:rPr>
                <w:rFonts w:ascii="Times New Roman" w:hAnsi="Times New Roman"/>
                <w:sz w:val="24"/>
                <w:szCs w:val="24"/>
              </w:rPr>
              <w:t>4.75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4" w:hRule="atLeast"/>
          <w:jc w:val="center"/>
        </w:trPr>
        <w:tc>
          <w:tcPr>
            <w:tcW w:w="1510" w:type="dxa"/>
            <w:noWrap w:val="0"/>
            <w:vAlign w:val="center"/>
          </w:tcPr>
          <w:p>
            <w:pPr>
              <w:spacing w:line="320" w:lineRule="exact"/>
              <w:jc w:val="center"/>
              <w:rPr>
                <w:rFonts w:ascii="Times New Roman" w:hAnsi="Times New Roman"/>
                <w:sz w:val="24"/>
                <w:szCs w:val="24"/>
              </w:rPr>
            </w:pPr>
            <w:r>
              <w:rPr>
                <w:rFonts w:ascii="Times New Roman" w:hAnsi="Times New Roman"/>
                <w:sz w:val="24"/>
                <w:szCs w:val="24"/>
              </w:rPr>
              <w:t>2017年</w:t>
            </w:r>
          </w:p>
        </w:tc>
        <w:tc>
          <w:tcPr>
            <w:tcW w:w="1854" w:type="dxa"/>
            <w:noWrap w:val="0"/>
            <w:vAlign w:val="center"/>
          </w:tcPr>
          <w:p>
            <w:pPr>
              <w:spacing w:line="320" w:lineRule="exact"/>
              <w:jc w:val="center"/>
              <w:rPr>
                <w:rFonts w:ascii="Times New Roman" w:hAnsi="Times New Roman"/>
                <w:sz w:val="24"/>
                <w:szCs w:val="24"/>
              </w:rPr>
            </w:pPr>
            <w:r>
              <w:rPr>
                <w:rFonts w:ascii="Times New Roman" w:hAnsi="Times New Roman"/>
                <w:sz w:val="24"/>
                <w:szCs w:val="24"/>
              </w:rPr>
              <w:t>67</w:t>
            </w:r>
          </w:p>
        </w:tc>
        <w:tc>
          <w:tcPr>
            <w:tcW w:w="1855" w:type="dxa"/>
            <w:noWrap w:val="0"/>
            <w:vAlign w:val="center"/>
          </w:tcPr>
          <w:p>
            <w:pPr>
              <w:spacing w:line="320" w:lineRule="exact"/>
              <w:jc w:val="center"/>
              <w:rPr>
                <w:rFonts w:ascii="Times New Roman" w:hAnsi="Times New Roman"/>
                <w:sz w:val="24"/>
                <w:szCs w:val="24"/>
              </w:rPr>
            </w:pPr>
            <w:r>
              <w:rPr>
                <w:rFonts w:ascii="Times New Roman" w:hAnsi="Times New Roman"/>
                <w:sz w:val="24"/>
                <w:szCs w:val="24"/>
              </w:rPr>
              <w:t>8.29</w:t>
            </w:r>
          </w:p>
        </w:tc>
        <w:tc>
          <w:tcPr>
            <w:tcW w:w="1854" w:type="dxa"/>
            <w:noWrap w:val="0"/>
            <w:vAlign w:val="center"/>
          </w:tcPr>
          <w:p>
            <w:pPr>
              <w:spacing w:line="320" w:lineRule="exact"/>
              <w:jc w:val="center"/>
              <w:rPr>
                <w:rFonts w:ascii="Times New Roman" w:hAnsi="Times New Roman"/>
                <w:sz w:val="24"/>
                <w:szCs w:val="24"/>
              </w:rPr>
            </w:pPr>
            <w:r>
              <w:rPr>
                <w:rFonts w:ascii="Times New Roman" w:hAnsi="Times New Roman"/>
                <w:sz w:val="24"/>
                <w:szCs w:val="24"/>
              </w:rPr>
              <w:t>8.84</w:t>
            </w:r>
          </w:p>
        </w:tc>
        <w:tc>
          <w:tcPr>
            <w:tcW w:w="1855" w:type="dxa"/>
            <w:noWrap w:val="0"/>
            <w:vAlign w:val="center"/>
          </w:tcPr>
          <w:p>
            <w:pPr>
              <w:spacing w:line="320" w:lineRule="exact"/>
              <w:jc w:val="center"/>
              <w:rPr>
                <w:rFonts w:ascii="Times New Roman" w:hAnsi="Times New Roman"/>
                <w:sz w:val="24"/>
                <w:szCs w:val="24"/>
              </w:rPr>
            </w:pPr>
            <w:r>
              <w:rPr>
                <w:rFonts w:ascii="Times New Roman" w:hAnsi="Times New Roman"/>
                <w:sz w:val="24"/>
                <w:szCs w:val="24"/>
              </w:rPr>
              <w:t>5.56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4" w:hRule="atLeast"/>
          <w:jc w:val="center"/>
        </w:trPr>
        <w:tc>
          <w:tcPr>
            <w:tcW w:w="1510" w:type="dxa"/>
            <w:noWrap w:val="0"/>
            <w:vAlign w:val="center"/>
          </w:tcPr>
          <w:p>
            <w:pPr>
              <w:spacing w:line="320" w:lineRule="exact"/>
              <w:jc w:val="center"/>
              <w:rPr>
                <w:rFonts w:ascii="Times New Roman" w:hAnsi="Times New Roman"/>
                <w:sz w:val="24"/>
                <w:szCs w:val="24"/>
              </w:rPr>
            </w:pPr>
            <w:r>
              <w:rPr>
                <w:rFonts w:ascii="Times New Roman" w:hAnsi="Times New Roman"/>
                <w:sz w:val="24"/>
                <w:szCs w:val="24"/>
              </w:rPr>
              <w:t>2018年</w:t>
            </w:r>
          </w:p>
        </w:tc>
        <w:tc>
          <w:tcPr>
            <w:tcW w:w="1854" w:type="dxa"/>
            <w:noWrap w:val="0"/>
            <w:vAlign w:val="center"/>
          </w:tcPr>
          <w:p>
            <w:pPr>
              <w:spacing w:line="320" w:lineRule="exact"/>
              <w:jc w:val="center"/>
              <w:rPr>
                <w:rFonts w:ascii="Times New Roman" w:hAnsi="Times New Roman"/>
                <w:sz w:val="24"/>
                <w:szCs w:val="24"/>
              </w:rPr>
            </w:pPr>
            <w:r>
              <w:rPr>
                <w:rFonts w:ascii="Times New Roman" w:hAnsi="Times New Roman"/>
                <w:sz w:val="24"/>
                <w:szCs w:val="24"/>
              </w:rPr>
              <w:t>84</w:t>
            </w:r>
          </w:p>
        </w:tc>
        <w:tc>
          <w:tcPr>
            <w:tcW w:w="1855" w:type="dxa"/>
            <w:noWrap w:val="0"/>
            <w:vAlign w:val="center"/>
          </w:tcPr>
          <w:p>
            <w:pPr>
              <w:spacing w:line="320" w:lineRule="exact"/>
              <w:jc w:val="center"/>
              <w:rPr>
                <w:rFonts w:ascii="Times New Roman" w:hAnsi="Times New Roman"/>
                <w:sz w:val="24"/>
                <w:szCs w:val="24"/>
              </w:rPr>
            </w:pPr>
            <w:r>
              <w:rPr>
                <w:rFonts w:ascii="Times New Roman" w:hAnsi="Times New Roman"/>
                <w:sz w:val="24"/>
                <w:szCs w:val="24"/>
              </w:rPr>
              <w:t>8.42</w:t>
            </w:r>
          </w:p>
        </w:tc>
        <w:tc>
          <w:tcPr>
            <w:tcW w:w="1854" w:type="dxa"/>
            <w:noWrap w:val="0"/>
            <w:vAlign w:val="center"/>
          </w:tcPr>
          <w:p>
            <w:pPr>
              <w:spacing w:line="320" w:lineRule="exact"/>
              <w:jc w:val="center"/>
              <w:rPr>
                <w:rFonts w:ascii="Times New Roman" w:hAnsi="Times New Roman"/>
                <w:sz w:val="24"/>
                <w:szCs w:val="24"/>
              </w:rPr>
            </w:pPr>
            <w:r>
              <w:rPr>
                <w:rFonts w:ascii="Times New Roman" w:hAnsi="Times New Roman"/>
                <w:sz w:val="24"/>
                <w:szCs w:val="24"/>
              </w:rPr>
              <w:t>4.01</w:t>
            </w:r>
          </w:p>
        </w:tc>
        <w:tc>
          <w:tcPr>
            <w:tcW w:w="1855" w:type="dxa"/>
            <w:noWrap w:val="0"/>
            <w:vAlign w:val="center"/>
          </w:tcPr>
          <w:p>
            <w:pPr>
              <w:spacing w:line="320" w:lineRule="exact"/>
              <w:jc w:val="center"/>
              <w:rPr>
                <w:rFonts w:ascii="Times New Roman" w:hAnsi="Times New Roman"/>
                <w:sz w:val="24"/>
                <w:szCs w:val="24"/>
              </w:rPr>
            </w:pPr>
            <w:r>
              <w:rPr>
                <w:rFonts w:ascii="Times New Roman" w:hAnsi="Times New Roman"/>
                <w:sz w:val="24"/>
                <w:szCs w:val="24"/>
              </w:rPr>
              <w:t>4.53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4" w:hRule="atLeast"/>
          <w:jc w:val="center"/>
        </w:trPr>
        <w:tc>
          <w:tcPr>
            <w:tcW w:w="1510" w:type="dxa"/>
            <w:noWrap w:val="0"/>
            <w:vAlign w:val="center"/>
          </w:tcPr>
          <w:p>
            <w:pPr>
              <w:spacing w:line="320" w:lineRule="exact"/>
              <w:jc w:val="center"/>
              <w:rPr>
                <w:rFonts w:ascii="Times New Roman" w:hAnsi="Times New Roman"/>
                <w:sz w:val="24"/>
                <w:szCs w:val="24"/>
              </w:rPr>
            </w:pPr>
            <w:r>
              <w:rPr>
                <w:rFonts w:ascii="Times New Roman" w:hAnsi="Times New Roman"/>
                <w:sz w:val="24"/>
                <w:szCs w:val="24"/>
              </w:rPr>
              <w:t>2019年</w:t>
            </w:r>
          </w:p>
        </w:tc>
        <w:tc>
          <w:tcPr>
            <w:tcW w:w="1854" w:type="dxa"/>
            <w:noWrap w:val="0"/>
            <w:vAlign w:val="center"/>
          </w:tcPr>
          <w:p>
            <w:pPr>
              <w:spacing w:line="320" w:lineRule="exact"/>
              <w:jc w:val="center"/>
              <w:rPr>
                <w:rFonts w:ascii="Times New Roman" w:hAnsi="Times New Roman"/>
                <w:sz w:val="24"/>
                <w:szCs w:val="24"/>
              </w:rPr>
            </w:pPr>
            <w:r>
              <w:rPr>
                <w:rFonts w:ascii="Times New Roman" w:hAnsi="Times New Roman"/>
                <w:sz w:val="24"/>
                <w:szCs w:val="24"/>
              </w:rPr>
              <w:t>85</w:t>
            </w:r>
          </w:p>
        </w:tc>
        <w:tc>
          <w:tcPr>
            <w:tcW w:w="1855" w:type="dxa"/>
            <w:noWrap w:val="0"/>
            <w:vAlign w:val="center"/>
          </w:tcPr>
          <w:p>
            <w:pPr>
              <w:spacing w:line="320" w:lineRule="exact"/>
              <w:jc w:val="center"/>
              <w:rPr>
                <w:rFonts w:ascii="Times New Roman" w:hAnsi="Times New Roman"/>
                <w:sz w:val="24"/>
                <w:szCs w:val="24"/>
              </w:rPr>
            </w:pPr>
            <w:r>
              <w:rPr>
                <w:rFonts w:ascii="Times New Roman" w:hAnsi="Times New Roman"/>
                <w:sz w:val="24"/>
                <w:szCs w:val="24"/>
              </w:rPr>
              <w:t>8.52</w:t>
            </w:r>
          </w:p>
        </w:tc>
        <w:tc>
          <w:tcPr>
            <w:tcW w:w="1854" w:type="dxa"/>
            <w:noWrap w:val="0"/>
            <w:vAlign w:val="center"/>
          </w:tcPr>
          <w:p>
            <w:pPr>
              <w:spacing w:line="320" w:lineRule="exact"/>
              <w:jc w:val="center"/>
              <w:rPr>
                <w:rFonts w:ascii="Times New Roman" w:hAnsi="Times New Roman"/>
                <w:sz w:val="24"/>
                <w:szCs w:val="24"/>
              </w:rPr>
            </w:pPr>
            <w:r>
              <w:rPr>
                <w:rFonts w:ascii="Times New Roman" w:hAnsi="Times New Roman"/>
                <w:sz w:val="24"/>
                <w:szCs w:val="24"/>
              </w:rPr>
              <w:t>3.32</w:t>
            </w:r>
          </w:p>
        </w:tc>
        <w:tc>
          <w:tcPr>
            <w:tcW w:w="1855" w:type="dxa"/>
            <w:noWrap w:val="0"/>
            <w:vAlign w:val="center"/>
          </w:tcPr>
          <w:p>
            <w:pPr>
              <w:spacing w:line="320" w:lineRule="exact"/>
              <w:jc w:val="center"/>
              <w:rPr>
                <w:rFonts w:ascii="Times New Roman" w:hAnsi="Times New Roman"/>
                <w:sz w:val="24"/>
                <w:szCs w:val="24"/>
              </w:rPr>
            </w:pPr>
            <w:r>
              <w:rPr>
                <w:rFonts w:ascii="Times New Roman" w:hAnsi="Times New Roman"/>
                <w:sz w:val="24"/>
                <w:szCs w:val="24"/>
              </w:rPr>
              <w:t>3.87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4" w:hRule="atLeast"/>
          <w:jc w:val="center"/>
        </w:trPr>
        <w:tc>
          <w:tcPr>
            <w:tcW w:w="1510" w:type="dxa"/>
            <w:noWrap w:val="0"/>
            <w:vAlign w:val="center"/>
          </w:tcPr>
          <w:p>
            <w:pPr>
              <w:spacing w:line="320" w:lineRule="exact"/>
              <w:jc w:val="center"/>
              <w:rPr>
                <w:rFonts w:ascii="Times New Roman" w:hAnsi="Times New Roman"/>
                <w:sz w:val="24"/>
                <w:szCs w:val="24"/>
              </w:rPr>
            </w:pPr>
            <w:r>
              <w:rPr>
                <w:rFonts w:ascii="Times New Roman" w:hAnsi="Times New Roman"/>
                <w:sz w:val="24"/>
                <w:szCs w:val="24"/>
              </w:rPr>
              <w:t>2020年</w:t>
            </w:r>
          </w:p>
        </w:tc>
        <w:tc>
          <w:tcPr>
            <w:tcW w:w="1854" w:type="dxa"/>
            <w:noWrap w:val="0"/>
            <w:vAlign w:val="center"/>
          </w:tcPr>
          <w:p>
            <w:pPr>
              <w:spacing w:line="320" w:lineRule="exact"/>
              <w:jc w:val="center"/>
              <w:rPr>
                <w:rFonts w:ascii="Times New Roman" w:hAnsi="Times New Roman"/>
                <w:sz w:val="24"/>
                <w:szCs w:val="24"/>
              </w:rPr>
            </w:pPr>
            <w:r>
              <w:rPr>
                <w:rFonts w:ascii="Times New Roman" w:hAnsi="Times New Roman"/>
                <w:sz w:val="24"/>
                <w:szCs w:val="24"/>
              </w:rPr>
              <w:t>69</w:t>
            </w:r>
          </w:p>
        </w:tc>
        <w:tc>
          <w:tcPr>
            <w:tcW w:w="1855" w:type="dxa"/>
            <w:noWrap w:val="0"/>
            <w:vAlign w:val="center"/>
          </w:tcPr>
          <w:p>
            <w:pPr>
              <w:spacing w:line="320" w:lineRule="exact"/>
              <w:jc w:val="center"/>
              <w:rPr>
                <w:rFonts w:ascii="Times New Roman" w:hAnsi="Times New Roman"/>
                <w:sz w:val="24"/>
                <w:szCs w:val="24"/>
              </w:rPr>
            </w:pPr>
            <w:r>
              <w:rPr>
                <w:rFonts w:ascii="Times New Roman" w:hAnsi="Times New Roman"/>
                <w:sz w:val="24"/>
                <w:szCs w:val="24"/>
              </w:rPr>
              <w:t>3.58</w:t>
            </w:r>
          </w:p>
        </w:tc>
        <w:tc>
          <w:tcPr>
            <w:tcW w:w="1854" w:type="dxa"/>
            <w:noWrap w:val="0"/>
            <w:vAlign w:val="center"/>
          </w:tcPr>
          <w:p>
            <w:pPr>
              <w:spacing w:line="320" w:lineRule="exact"/>
              <w:jc w:val="center"/>
              <w:rPr>
                <w:rFonts w:ascii="Times New Roman" w:hAnsi="Times New Roman"/>
                <w:sz w:val="24"/>
                <w:szCs w:val="24"/>
              </w:rPr>
            </w:pPr>
            <w:r>
              <w:rPr>
                <w:rFonts w:ascii="Times New Roman" w:hAnsi="Times New Roman"/>
                <w:sz w:val="24"/>
                <w:szCs w:val="24"/>
              </w:rPr>
              <w:t>1.28</w:t>
            </w:r>
          </w:p>
        </w:tc>
        <w:tc>
          <w:tcPr>
            <w:tcW w:w="1855" w:type="dxa"/>
            <w:noWrap w:val="0"/>
            <w:vAlign w:val="center"/>
          </w:tcPr>
          <w:p>
            <w:pPr>
              <w:spacing w:line="320" w:lineRule="exact"/>
              <w:jc w:val="center"/>
              <w:rPr>
                <w:rFonts w:ascii="Times New Roman" w:hAnsi="Times New Roman"/>
                <w:sz w:val="24"/>
                <w:szCs w:val="24"/>
              </w:rPr>
            </w:pPr>
            <w:r>
              <w:rPr>
                <w:rFonts w:ascii="Times New Roman" w:hAnsi="Times New Roman"/>
                <w:sz w:val="24"/>
                <w:szCs w:val="24"/>
              </w:rPr>
              <w:t>2.62</w:t>
            </w:r>
          </w:p>
        </w:tc>
      </w:tr>
      <w:bookmarkEnd w:id="6"/>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4" w:hRule="atLeast"/>
          <w:jc w:val="center"/>
        </w:trPr>
        <w:tc>
          <w:tcPr>
            <w:tcW w:w="1510" w:type="dxa"/>
            <w:noWrap w:val="0"/>
            <w:vAlign w:val="center"/>
          </w:tcPr>
          <w:p>
            <w:pPr>
              <w:spacing w:line="320" w:lineRule="exact"/>
              <w:jc w:val="center"/>
              <w:rPr>
                <w:rFonts w:ascii="Times New Roman" w:hAnsi="Times New Roman"/>
                <w:sz w:val="24"/>
                <w:szCs w:val="24"/>
              </w:rPr>
            </w:pPr>
            <w:r>
              <w:rPr>
                <w:rFonts w:ascii="Times New Roman" w:hAnsi="Times New Roman"/>
                <w:sz w:val="24"/>
                <w:szCs w:val="24"/>
              </w:rPr>
              <w:t>总  计</w:t>
            </w:r>
          </w:p>
        </w:tc>
        <w:tc>
          <w:tcPr>
            <w:tcW w:w="1854" w:type="dxa"/>
            <w:noWrap w:val="0"/>
            <w:vAlign w:val="center"/>
          </w:tcPr>
          <w:p>
            <w:pPr>
              <w:spacing w:line="320" w:lineRule="exact"/>
              <w:jc w:val="center"/>
              <w:rPr>
                <w:rFonts w:ascii="Times New Roman" w:hAnsi="Times New Roman"/>
                <w:sz w:val="24"/>
                <w:szCs w:val="24"/>
              </w:rPr>
            </w:pPr>
            <w:r>
              <w:rPr>
                <w:rFonts w:ascii="Times New Roman" w:hAnsi="Times New Roman"/>
                <w:sz w:val="24"/>
                <w:szCs w:val="24"/>
              </w:rPr>
              <w:t>396</w:t>
            </w:r>
          </w:p>
        </w:tc>
        <w:tc>
          <w:tcPr>
            <w:tcW w:w="1855" w:type="dxa"/>
            <w:noWrap w:val="0"/>
            <w:vAlign w:val="center"/>
          </w:tcPr>
          <w:p>
            <w:pPr>
              <w:spacing w:line="320" w:lineRule="exact"/>
              <w:jc w:val="center"/>
              <w:rPr>
                <w:rFonts w:ascii="Times New Roman" w:hAnsi="Times New Roman"/>
                <w:sz w:val="24"/>
                <w:szCs w:val="24"/>
              </w:rPr>
            </w:pPr>
            <w:r>
              <w:rPr>
                <w:rFonts w:ascii="Times New Roman" w:hAnsi="Times New Roman"/>
                <w:sz w:val="24"/>
                <w:szCs w:val="24"/>
              </w:rPr>
              <w:t>38.47</w:t>
            </w:r>
          </w:p>
        </w:tc>
        <w:tc>
          <w:tcPr>
            <w:tcW w:w="1854" w:type="dxa"/>
            <w:noWrap w:val="0"/>
            <w:vAlign w:val="center"/>
          </w:tcPr>
          <w:p>
            <w:pPr>
              <w:spacing w:line="320" w:lineRule="exact"/>
              <w:jc w:val="center"/>
              <w:rPr>
                <w:rFonts w:ascii="Times New Roman" w:hAnsi="Times New Roman"/>
                <w:sz w:val="24"/>
                <w:szCs w:val="24"/>
              </w:rPr>
            </w:pPr>
            <w:r>
              <w:rPr>
                <w:rFonts w:ascii="Times New Roman" w:hAnsi="Times New Roman"/>
                <w:sz w:val="24"/>
                <w:szCs w:val="24"/>
              </w:rPr>
              <w:t>22.81</w:t>
            </w:r>
          </w:p>
        </w:tc>
        <w:tc>
          <w:tcPr>
            <w:tcW w:w="1855" w:type="dxa"/>
            <w:noWrap w:val="0"/>
            <w:vAlign w:val="center"/>
          </w:tcPr>
          <w:p>
            <w:pPr>
              <w:spacing w:line="320" w:lineRule="exact"/>
              <w:jc w:val="center"/>
              <w:rPr>
                <w:rFonts w:ascii="Times New Roman" w:hAnsi="Times New Roman"/>
                <w:sz w:val="24"/>
                <w:szCs w:val="24"/>
              </w:rPr>
            </w:pPr>
            <w:r>
              <w:rPr>
                <w:rFonts w:ascii="Times New Roman" w:hAnsi="Times New Roman"/>
                <w:sz w:val="24"/>
                <w:szCs w:val="24"/>
              </w:rPr>
              <w:t>21.33</w:t>
            </w:r>
          </w:p>
        </w:tc>
      </w:tr>
    </w:tbl>
    <w:p>
      <w:pPr>
        <w:adjustRightInd w:val="0"/>
        <w:spacing w:before="120" w:after="120" w:line="520" w:lineRule="exact"/>
        <w:jc w:val="center"/>
        <w:rPr>
          <w:rFonts w:ascii="Times New Roman" w:hAnsi="Times New Roman" w:eastAsia="方正黑体_GBK"/>
          <w:sz w:val="32"/>
          <w:szCs w:val="32"/>
        </w:rPr>
      </w:pPr>
      <w:r>
        <w:rPr>
          <w:rFonts w:ascii="Times New Roman" w:hAnsi="Times New Roman" w:eastAsia="方正黑体_GBK"/>
          <w:sz w:val="32"/>
          <w:szCs w:val="32"/>
        </w:rPr>
        <w:br w:type="page"/>
      </w:r>
      <w:r>
        <w:rPr>
          <w:rFonts w:ascii="Times New Roman" w:hAnsi="Times New Roman" w:eastAsia="方正黑体_GBK"/>
          <w:sz w:val="32"/>
          <w:szCs w:val="32"/>
        </w:rPr>
        <w:t>2016</w:t>
      </w:r>
      <w:r>
        <w:rPr>
          <w:rFonts w:ascii="黑体" w:hAnsi="黑体" w:eastAsia="黑体"/>
          <w:sz w:val="32"/>
          <w:szCs w:val="32"/>
        </w:rPr>
        <w:t>—</w:t>
      </w:r>
      <w:r>
        <w:rPr>
          <w:rFonts w:ascii="Times New Roman" w:hAnsi="Times New Roman" w:eastAsia="方正黑体_GBK"/>
          <w:sz w:val="32"/>
          <w:szCs w:val="32"/>
        </w:rPr>
        <w:t>2020年常州市各辖市区中方协议投资情况表</w:t>
      </w:r>
    </w:p>
    <w:p>
      <w:pPr>
        <w:adjustRightInd w:val="0"/>
        <w:spacing w:line="440" w:lineRule="exact"/>
        <w:jc w:val="right"/>
        <w:rPr>
          <w:rFonts w:ascii="Times New Roman" w:hAnsi="Times New Roman"/>
          <w:sz w:val="24"/>
          <w:szCs w:val="24"/>
        </w:rPr>
      </w:pPr>
      <w:r>
        <w:rPr>
          <w:rFonts w:ascii="Times New Roman" w:hAnsi="Times New Roman"/>
          <w:sz w:val="24"/>
          <w:szCs w:val="24"/>
        </w:rPr>
        <w:t>单位：万美元</w:t>
      </w:r>
    </w:p>
    <w:tbl>
      <w:tblPr>
        <w:tblStyle w:val="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384"/>
        <w:gridCol w:w="1280"/>
        <w:gridCol w:w="1280"/>
        <w:gridCol w:w="1279"/>
        <w:gridCol w:w="1279"/>
        <w:gridCol w:w="1279"/>
        <w:gridCol w:w="127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77" w:hRule="atLeast"/>
          <w:jc w:val="center"/>
        </w:trPr>
        <w:tc>
          <w:tcPr>
            <w:tcW w:w="1384" w:type="dxa"/>
            <w:tcBorders>
              <w:tl2br w:val="single" w:color="auto" w:sz="6" w:space="0"/>
            </w:tcBorders>
            <w:noWrap/>
            <w:vAlign w:val="center"/>
          </w:tcPr>
          <w:p>
            <w:pPr>
              <w:spacing w:line="320" w:lineRule="exact"/>
              <w:jc w:val="right"/>
              <w:rPr>
                <w:rFonts w:ascii="Times New Roman" w:hAnsi="Times New Roman" w:eastAsia="黑体"/>
                <w:sz w:val="24"/>
                <w:szCs w:val="24"/>
              </w:rPr>
            </w:pPr>
            <w:r>
              <w:rPr>
                <w:rFonts w:ascii="Times New Roman" w:hAnsi="Times New Roman" w:eastAsia="黑体"/>
                <w:sz w:val="24"/>
                <w:szCs w:val="24"/>
              </w:rPr>
              <w:t>辖市区</w:t>
            </w:r>
          </w:p>
          <w:p>
            <w:pPr>
              <w:widowControl/>
              <w:rPr>
                <w:rFonts w:ascii="Times New Roman" w:hAnsi="Times New Roman" w:eastAsia="黑体"/>
                <w:sz w:val="24"/>
                <w:szCs w:val="24"/>
              </w:rPr>
            </w:pPr>
          </w:p>
          <w:p>
            <w:pPr>
              <w:widowControl/>
              <w:jc w:val="left"/>
              <w:rPr>
                <w:rFonts w:ascii="Times New Roman" w:hAnsi="Times New Roman"/>
                <w:sz w:val="24"/>
                <w:szCs w:val="24"/>
              </w:rPr>
            </w:pPr>
            <w:r>
              <w:rPr>
                <w:rFonts w:ascii="Times New Roman" w:hAnsi="Times New Roman" w:eastAsia="黑体"/>
                <w:sz w:val="24"/>
                <w:szCs w:val="24"/>
              </w:rPr>
              <w:t>年份</w:t>
            </w:r>
          </w:p>
        </w:tc>
        <w:tc>
          <w:tcPr>
            <w:tcW w:w="1280" w:type="dxa"/>
            <w:noWrap w:val="0"/>
            <w:vAlign w:val="center"/>
          </w:tcPr>
          <w:p>
            <w:pPr>
              <w:spacing w:line="320" w:lineRule="exact"/>
              <w:jc w:val="center"/>
              <w:rPr>
                <w:rFonts w:ascii="Times New Roman" w:hAnsi="Times New Roman" w:eastAsia="黑体"/>
                <w:sz w:val="24"/>
                <w:szCs w:val="24"/>
              </w:rPr>
            </w:pPr>
            <w:r>
              <w:rPr>
                <w:rFonts w:ascii="Times New Roman" w:hAnsi="Times New Roman" w:eastAsia="黑体"/>
                <w:sz w:val="24"/>
                <w:szCs w:val="24"/>
              </w:rPr>
              <w:t>溧阳市</w:t>
            </w:r>
          </w:p>
        </w:tc>
        <w:tc>
          <w:tcPr>
            <w:tcW w:w="1280" w:type="dxa"/>
            <w:noWrap w:val="0"/>
            <w:vAlign w:val="center"/>
          </w:tcPr>
          <w:p>
            <w:pPr>
              <w:spacing w:line="320" w:lineRule="exact"/>
              <w:jc w:val="center"/>
              <w:rPr>
                <w:rFonts w:ascii="Times New Roman" w:hAnsi="Times New Roman" w:eastAsia="黑体"/>
                <w:sz w:val="24"/>
                <w:szCs w:val="24"/>
              </w:rPr>
            </w:pPr>
            <w:r>
              <w:rPr>
                <w:rFonts w:ascii="Times New Roman" w:hAnsi="Times New Roman" w:eastAsia="黑体"/>
                <w:sz w:val="24"/>
                <w:szCs w:val="24"/>
              </w:rPr>
              <w:t>金坛区</w:t>
            </w:r>
          </w:p>
        </w:tc>
        <w:tc>
          <w:tcPr>
            <w:tcW w:w="1279" w:type="dxa"/>
            <w:noWrap w:val="0"/>
            <w:vAlign w:val="center"/>
          </w:tcPr>
          <w:p>
            <w:pPr>
              <w:spacing w:line="320" w:lineRule="exact"/>
              <w:jc w:val="center"/>
              <w:rPr>
                <w:rFonts w:ascii="Times New Roman" w:hAnsi="Times New Roman" w:eastAsia="黑体"/>
                <w:sz w:val="24"/>
                <w:szCs w:val="24"/>
              </w:rPr>
            </w:pPr>
            <w:r>
              <w:rPr>
                <w:rFonts w:ascii="Times New Roman" w:hAnsi="Times New Roman" w:eastAsia="黑体"/>
                <w:sz w:val="24"/>
                <w:szCs w:val="24"/>
              </w:rPr>
              <w:t>武进区</w:t>
            </w:r>
          </w:p>
          <w:p>
            <w:pPr>
              <w:spacing w:line="320" w:lineRule="exact"/>
              <w:jc w:val="center"/>
              <w:rPr>
                <w:rFonts w:ascii="Times New Roman" w:hAnsi="Times New Roman" w:eastAsia="黑体"/>
                <w:sz w:val="18"/>
                <w:szCs w:val="18"/>
              </w:rPr>
            </w:pPr>
            <w:r>
              <w:rPr>
                <w:rFonts w:ascii="Times New Roman" w:hAnsi="Times New Roman" w:eastAsia="黑体"/>
                <w:sz w:val="18"/>
                <w:szCs w:val="18"/>
              </w:rPr>
              <w:t>（含常经开）</w:t>
            </w:r>
          </w:p>
        </w:tc>
        <w:tc>
          <w:tcPr>
            <w:tcW w:w="1279" w:type="dxa"/>
            <w:noWrap w:val="0"/>
            <w:vAlign w:val="center"/>
          </w:tcPr>
          <w:p>
            <w:pPr>
              <w:spacing w:line="320" w:lineRule="exact"/>
              <w:jc w:val="center"/>
              <w:rPr>
                <w:rFonts w:ascii="Times New Roman" w:hAnsi="Times New Roman" w:eastAsia="黑体"/>
                <w:sz w:val="24"/>
                <w:szCs w:val="24"/>
              </w:rPr>
            </w:pPr>
            <w:r>
              <w:rPr>
                <w:rFonts w:ascii="Times New Roman" w:hAnsi="Times New Roman" w:eastAsia="黑体"/>
                <w:sz w:val="24"/>
                <w:szCs w:val="24"/>
              </w:rPr>
              <w:t>新北区</w:t>
            </w:r>
          </w:p>
        </w:tc>
        <w:tc>
          <w:tcPr>
            <w:tcW w:w="1279" w:type="dxa"/>
            <w:noWrap w:val="0"/>
            <w:vAlign w:val="center"/>
          </w:tcPr>
          <w:p>
            <w:pPr>
              <w:spacing w:line="320" w:lineRule="exact"/>
              <w:jc w:val="center"/>
              <w:rPr>
                <w:rFonts w:ascii="Times New Roman" w:hAnsi="Times New Roman" w:eastAsia="黑体"/>
                <w:sz w:val="24"/>
                <w:szCs w:val="24"/>
              </w:rPr>
            </w:pPr>
            <w:r>
              <w:rPr>
                <w:rFonts w:ascii="Times New Roman" w:hAnsi="Times New Roman" w:eastAsia="黑体"/>
                <w:sz w:val="24"/>
                <w:szCs w:val="24"/>
              </w:rPr>
              <w:t>天宁区</w:t>
            </w:r>
          </w:p>
        </w:tc>
        <w:tc>
          <w:tcPr>
            <w:tcW w:w="1279" w:type="dxa"/>
            <w:noWrap w:val="0"/>
            <w:vAlign w:val="center"/>
          </w:tcPr>
          <w:p>
            <w:pPr>
              <w:spacing w:line="320" w:lineRule="exact"/>
              <w:jc w:val="center"/>
              <w:rPr>
                <w:rFonts w:ascii="Times New Roman" w:hAnsi="Times New Roman" w:eastAsia="黑体"/>
                <w:sz w:val="24"/>
                <w:szCs w:val="24"/>
              </w:rPr>
            </w:pPr>
            <w:r>
              <w:rPr>
                <w:rFonts w:ascii="Times New Roman" w:hAnsi="Times New Roman" w:eastAsia="黑体"/>
                <w:sz w:val="24"/>
                <w:szCs w:val="24"/>
              </w:rPr>
              <w:t>钟楼区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384" w:type="dxa"/>
            <w:noWrap/>
            <w:vAlign w:val="center"/>
          </w:tcPr>
          <w:p>
            <w:pPr>
              <w:spacing w:line="320" w:lineRule="exact"/>
              <w:jc w:val="center"/>
              <w:rPr>
                <w:rFonts w:ascii="Times New Roman" w:hAnsi="Times New Roman"/>
                <w:sz w:val="24"/>
                <w:szCs w:val="24"/>
              </w:rPr>
            </w:pPr>
            <w:r>
              <w:rPr>
                <w:rFonts w:ascii="Times New Roman" w:hAnsi="Times New Roman"/>
                <w:sz w:val="24"/>
                <w:szCs w:val="24"/>
              </w:rPr>
              <w:t>2016年</w:t>
            </w:r>
          </w:p>
        </w:tc>
        <w:tc>
          <w:tcPr>
            <w:tcW w:w="1280" w:type="dxa"/>
            <w:noWrap/>
            <w:vAlign w:val="center"/>
          </w:tcPr>
          <w:p>
            <w:pPr>
              <w:spacing w:line="320" w:lineRule="exact"/>
              <w:jc w:val="center"/>
              <w:rPr>
                <w:rFonts w:ascii="Times New Roman" w:hAnsi="Times New Roman"/>
                <w:sz w:val="24"/>
                <w:szCs w:val="24"/>
              </w:rPr>
            </w:pPr>
            <w:r>
              <w:rPr>
                <w:rFonts w:ascii="Times New Roman" w:hAnsi="Times New Roman"/>
                <w:sz w:val="24"/>
                <w:szCs w:val="24"/>
              </w:rPr>
              <w:t>1440.3</w:t>
            </w:r>
          </w:p>
        </w:tc>
        <w:tc>
          <w:tcPr>
            <w:tcW w:w="1280" w:type="dxa"/>
            <w:noWrap/>
            <w:vAlign w:val="center"/>
          </w:tcPr>
          <w:p>
            <w:pPr>
              <w:spacing w:line="320" w:lineRule="exact"/>
              <w:jc w:val="center"/>
              <w:rPr>
                <w:rFonts w:ascii="Times New Roman" w:hAnsi="Times New Roman"/>
                <w:sz w:val="24"/>
                <w:szCs w:val="24"/>
              </w:rPr>
            </w:pPr>
            <w:r>
              <w:rPr>
                <w:rFonts w:ascii="Times New Roman" w:hAnsi="Times New Roman"/>
                <w:sz w:val="24"/>
                <w:szCs w:val="24"/>
              </w:rPr>
              <w:t>10464.0</w:t>
            </w:r>
          </w:p>
        </w:tc>
        <w:tc>
          <w:tcPr>
            <w:tcW w:w="1279" w:type="dxa"/>
            <w:noWrap/>
            <w:vAlign w:val="center"/>
          </w:tcPr>
          <w:p>
            <w:pPr>
              <w:spacing w:line="320" w:lineRule="exact"/>
              <w:jc w:val="center"/>
              <w:rPr>
                <w:rFonts w:ascii="Times New Roman" w:hAnsi="Times New Roman"/>
                <w:sz w:val="24"/>
                <w:szCs w:val="24"/>
              </w:rPr>
            </w:pPr>
            <w:r>
              <w:rPr>
                <w:rFonts w:ascii="Times New Roman" w:hAnsi="Times New Roman"/>
                <w:sz w:val="24"/>
                <w:szCs w:val="24"/>
              </w:rPr>
              <w:t>18996.6</w:t>
            </w:r>
          </w:p>
        </w:tc>
        <w:tc>
          <w:tcPr>
            <w:tcW w:w="1279" w:type="dxa"/>
            <w:noWrap/>
            <w:vAlign w:val="center"/>
          </w:tcPr>
          <w:p>
            <w:pPr>
              <w:spacing w:line="320" w:lineRule="exact"/>
              <w:jc w:val="center"/>
              <w:rPr>
                <w:rFonts w:ascii="Times New Roman" w:hAnsi="Times New Roman"/>
                <w:sz w:val="24"/>
                <w:szCs w:val="24"/>
              </w:rPr>
            </w:pPr>
            <w:r>
              <w:rPr>
                <w:rFonts w:ascii="Times New Roman" w:hAnsi="Times New Roman"/>
                <w:sz w:val="24"/>
                <w:szCs w:val="24"/>
              </w:rPr>
              <w:t>44172.4</w:t>
            </w:r>
          </w:p>
        </w:tc>
        <w:tc>
          <w:tcPr>
            <w:tcW w:w="1279" w:type="dxa"/>
            <w:noWrap/>
            <w:vAlign w:val="center"/>
          </w:tcPr>
          <w:p>
            <w:pPr>
              <w:spacing w:line="320" w:lineRule="exact"/>
              <w:jc w:val="center"/>
              <w:rPr>
                <w:rFonts w:ascii="Times New Roman" w:hAnsi="Times New Roman"/>
                <w:sz w:val="24"/>
                <w:szCs w:val="24"/>
              </w:rPr>
            </w:pPr>
            <w:r>
              <w:rPr>
                <w:rFonts w:ascii="Times New Roman" w:hAnsi="Times New Roman"/>
                <w:sz w:val="24"/>
                <w:szCs w:val="24"/>
              </w:rPr>
              <w:t>19577.0</w:t>
            </w:r>
          </w:p>
        </w:tc>
        <w:tc>
          <w:tcPr>
            <w:tcW w:w="1279" w:type="dxa"/>
            <w:noWrap/>
            <w:vAlign w:val="center"/>
          </w:tcPr>
          <w:p>
            <w:pPr>
              <w:spacing w:line="320" w:lineRule="exact"/>
              <w:jc w:val="center"/>
              <w:rPr>
                <w:rFonts w:ascii="Times New Roman" w:hAnsi="Times New Roman"/>
                <w:sz w:val="24"/>
                <w:szCs w:val="24"/>
              </w:rPr>
            </w:pPr>
            <w:r>
              <w:rPr>
                <w:rFonts w:ascii="Times New Roman" w:hAnsi="Times New Roman"/>
                <w:sz w:val="24"/>
                <w:szCs w:val="24"/>
              </w:rPr>
              <w:t>1980.8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384" w:type="dxa"/>
            <w:noWrap/>
            <w:vAlign w:val="center"/>
          </w:tcPr>
          <w:p>
            <w:pPr>
              <w:spacing w:line="320" w:lineRule="exact"/>
              <w:jc w:val="center"/>
              <w:rPr>
                <w:rFonts w:ascii="Times New Roman" w:hAnsi="Times New Roman"/>
                <w:sz w:val="24"/>
                <w:szCs w:val="24"/>
              </w:rPr>
            </w:pPr>
            <w:r>
              <w:rPr>
                <w:rFonts w:ascii="Times New Roman" w:hAnsi="Times New Roman"/>
                <w:sz w:val="24"/>
                <w:szCs w:val="24"/>
              </w:rPr>
              <w:t>2017年</w:t>
            </w:r>
          </w:p>
        </w:tc>
        <w:tc>
          <w:tcPr>
            <w:tcW w:w="1280" w:type="dxa"/>
            <w:noWrap/>
            <w:vAlign w:val="center"/>
          </w:tcPr>
          <w:p>
            <w:pPr>
              <w:spacing w:line="320" w:lineRule="exact"/>
              <w:jc w:val="center"/>
              <w:rPr>
                <w:rFonts w:ascii="Times New Roman" w:hAnsi="Times New Roman"/>
                <w:sz w:val="24"/>
                <w:szCs w:val="24"/>
              </w:rPr>
            </w:pPr>
            <w:r>
              <w:rPr>
                <w:rFonts w:ascii="Times New Roman" w:hAnsi="Times New Roman"/>
                <w:sz w:val="24"/>
                <w:szCs w:val="24"/>
              </w:rPr>
              <w:t>23.8</w:t>
            </w:r>
          </w:p>
        </w:tc>
        <w:tc>
          <w:tcPr>
            <w:tcW w:w="1280" w:type="dxa"/>
            <w:noWrap/>
            <w:vAlign w:val="center"/>
          </w:tcPr>
          <w:p>
            <w:pPr>
              <w:spacing w:line="320" w:lineRule="exact"/>
              <w:jc w:val="center"/>
              <w:rPr>
                <w:rFonts w:ascii="Times New Roman" w:hAnsi="Times New Roman"/>
                <w:sz w:val="24"/>
                <w:szCs w:val="24"/>
              </w:rPr>
            </w:pPr>
            <w:r>
              <w:rPr>
                <w:rFonts w:ascii="Times New Roman" w:hAnsi="Times New Roman"/>
                <w:sz w:val="24"/>
                <w:szCs w:val="24"/>
              </w:rPr>
              <w:t>13854.3</w:t>
            </w:r>
          </w:p>
        </w:tc>
        <w:tc>
          <w:tcPr>
            <w:tcW w:w="1279" w:type="dxa"/>
            <w:noWrap/>
            <w:vAlign w:val="center"/>
          </w:tcPr>
          <w:p>
            <w:pPr>
              <w:spacing w:line="320" w:lineRule="exact"/>
              <w:jc w:val="center"/>
              <w:rPr>
                <w:rFonts w:ascii="Times New Roman" w:hAnsi="Times New Roman"/>
                <w:sz w:val="24"/>
                <w:szCs w:val="24"/>
              </w:rPr>
            </w:pPr>
            <w:r>
              <w:rPr>
                <w:rFonts w:ascii="Times New Roman" w:hAnsi="Times New Roman"/>
                <w:sz w:val="24"/>
                <w:szCs w:val="24"/>
              </w:rPr>
              <w:t>25326.2</w:t>
            </w:r>
          </w:p>
        </w:tc>
        <w:tc>
          <w:tcPr>
            <w:tcW w:w="1279" w:type="dxa"/>
            <w:noWrap/>
            <w:vAlign w:val="center"/>
          </w:tcPr>
          <w:p>
            <w:pPr>
              <w:spacing w:line="320" w:lineRule="exact"/>
              <w:jc w:val="center"/>
              <w:rPr>
                <w:rFonts w:ascii="Times New Roman" w:hAnsi="Times New Roman"/>
                <w:sz w:val="24"/>
                <w:szCs w:val="24"/>
              </w:rPr>
            </w:pPr>
            <w:r>
              <w:rPr>
                <w:rFonts w:ascii="Times New Roman" w:hAnsi="Times New Roman"/>
                <w:sz w:val="24"/>
                <w:szCs w:val="24"/>
              </w:rPr>
              <w:t>16397.9</w:t>
            </w:r>
          </w:p>
        </w:tc>
        <w:tc>
          <w:tcPr>
            <w:tcW w:w="1279" w:type="dxa"/>
            <w:noWrap/>
            <w:vAlign w:val="center"/>
          </w:tcPr>
          <w:p>
            <w:pPr>
              <w:spacing w:line="320" w:lineRule="exact"/>
              <w:jc w:val="center"/>
              <w:rPr>
                <w:rFonts w:ascii="Times New Roman" w:hAnsi="Times New Roman"/>
                <w:sz w:val="24"/>
                <w:szCs w:val="24"/>
              </w:rPr>
            </w:pPr>
            <w:r>
              <w:rPr>
                <w:rFonts w:ascii="Times New Roman" w:hAnsi="Times New Roman"/>
                <w:sz w:val="24"/>
                <w:szCs w:val="24"/>
              </w:rPr>
              <w:t>17786.6</w:t>
            </w:r>
          </w:p>
        </w:tc>
        <w:tc>
          <w:tcPr>
            <w:tcW w:w="1279" w:type="dxa"/>
            <w:noWrap/>
            <w:vAlign w:val="center"/>
          </w:tcPr>
          <w:p>
            <w:pPr>
              <w:spacing w:line="320" w:lineRule="exact"/>
              <w:jc w:val="center"/>
              <w:rPr>
                <w:rFonts w:ascii="Times New Roman" w:hAnsi="Times New Roman"/>
                <w:sz w:val="24"/>
                <w:szCs w:val="24"/>
              </w:rPr>
            </w:pPr>
            <w:r>
              <w:rPr>
                <w:rFonts w:ascii="Times New Roman" w:hAnsi="Times New Roman"/>
                <w:sz w:val="24"/>
                <w:szCs w:val="24"/>
              </w:rPr>
              <w:t>9500.0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384" w:type="dxa"/>
            <w:noWrap/>
            <w:vAlign w:val="center"/>
          </w:tcPr>
          <w:p>
            <w:pPr>
              <w:spacing w:line="320" w:lineRule="exact"/>
              <w:jc w:val="center"/>
              <w:rPr>
                <w:rFonts w:ascii="Times New Roman" w:hAnsi="Times New Roman"/>
                <w:sz w:val="24"/>
                <w:szCs w:val="24"/>
              </w:rPr>
            </w:pPr>
            <w:r>
              <w:rPr>
                <w:rFonts w:ascii="Times New Roman" w:hAnsi="Times New Roman"/>
                <w:sz w:val="24"/>
                <w:szCs w:val="24"/>
              </w:rPr>
              <w:t>2018年</w:t>
            </w:r>
          </w:p>
        </w:tc>
        <w:tc>
          <w:tcPr>
            <w:tcW w:w="1280" w:type="dxa"/>
            <w:noWrap/>
            <w:vAlign w:val="center"/>
          </w:tcPr>
          <w:p>
            <w:pPr>
              <w:spacing w:line="320" w:lineRule="exact"/>
              <w:jc w:val="center"/>
              <w:rPr>
                <w:rFonts w:ascii="Times New Roman" w:hAnsi="Times New Roman"/>
                <w:sz w:val="24"/>
                <w:szCs w:val="24"/>
              </w:rPr>
            </w:pPr>
            <w:r>
              <w:rPr>
                <w:rFonts w:ascii="Times New Roman" w:hAnsi="Times New Roman"/>
                <w:sz w:val="24"/>
                <w:szCs w:val="24"/>
              </w:rPr>
              <w:t>231.4</w:t>
            </w:r>
          </w:p>
        </w:tc>
        <w:tc>
          <w:tcPr>
            <w:tcW w:w="1280" w:type="dxa"/>
            <w:noWrap/>
            <w:vAlign w:val="center"/>
          </w:tcPr>
          <w:p>
            <w:pPr>
              <w:spacing w:line="320" w:lineRule="exact"/>
              <w:jc w:val="center"/>
              <w:rPr>
                <w:rFonts w:ascii="Times New Roman" w:hAnsi="Times New Roman"/>
                <w:sz w:val="24"/>
                <w:szCs w:val="24"/>
              </w:rPr>
            </w:pPr>
            <w:r>
              <w:rPr>
                <w:rFonts w:ascii="Times New Roman" w:hAnsi="Times New Roman"/>
                <w:sz w:val="24"/>
                <w:szCs w:val="24"/>
              </w:rPr>
              <w:t>36825.6</w:t>
            </w:r>
          </w:p>
        </w:tc>
        <w:tc>
          <w:tcPr>
            <w:tcW w:w="1279" w:type="dxa"/>
            <w:noWrap/>
            <w:vAlign w:val="center"/>
          </w:tcPr>
          <w:p>
            <w:pPr>
              <w:spacing w:line="320" w:lineRule="exact"/>
              <w:jc w:val="center"/>
              <w:rPr>
                <w:rFonts w:ascii="Times New Roman" w:hAnsi="Times New Roman"/>
                <w:sz w:val="24"/>
                <w:szCs w:val="24"/>
              </w:rPr>
            </w:pPr>
            <w:r>
              <w:rPr>
                <w:rFonts w:ascii="Times New Roman" w:hAnsi="Times New Roman"/>
                <w:sz w:val="24"/>
                <w:szCs w:val="24"/>
              </w:rPr>
              <w:t>37738.9</w:t>
            </w:r>
          </w:p>
        </w:tc>
        <w:tc>
          <w:tcPr>
            <w:tcW w:w="1279" w:type="dxa"/>
            <w:noWrap/>
            <w:vAlign w:val="center"/>
          </w:tcPr>
          <w:p>
            <w:pPr>
              <w:spacing w:line="320" w:lineRule="exact"/>
              <w:jc w:val="center"/>
              <w:rPr>
                <w:rFonts w:ascii="Times New Roman" w:hAnsi="Times New Roman"/>
                <w:sz w:val="24"/>
                <w:szCs w:val="24"/>
              </w:rPr>
            </w:pPr>
            <w:r>
              <w:rPr>
                <w:rFonts w:ascii="Times New Roman" w:hAnsi="Times New Roman"/>
                <w:sz w:val="24"/>
                <w:szCs w:val="24"/>
              </w:rPr>
              <w:t>5549.9</w:t>
            </w:r>
          </w:p>
        </w:tc>
        <w:tc>
          <w:tcPr>
            <w:tcW w:w="1279" w:type="dxa"/>
            <w:noWrap/>
            <w:vAlign w:val="center"/>
          </w:tcPr>
          <w:p>
            <w:pPr>
              <w:spacing w:line="320" w:lineRule="exact"/>
              <w:jc w:val="center"/>
              <w:rPr>
                <w:rFonts w:ascii="Times New Roman" w:hAnsi="Times New Roman"/>
                <w:sz w:val="24"/>
                <w:szCs w:val="24"/>
              </w:rPr>
            </w:pPr>
            <w:r>
              <w:rPr>
                <w:rFonts w:ascii="Times New Roman" w:hAnsi="Times New Roman"/>
                <w:sz w:val="24"/>
                <w:szCs w:val="24"/>
              </w:rPr>
              <w:t>1100.0</w:t>
            </w:r>
          </w:p>
        </w:tc>
        <w:tc>
          <w:tcPr>
            <w:tcW w:w="1279" w:type="dxa"/>
            <w:noWrap/>
            <w:vAlign w:val="center"/>
          </w:tcPr>
          <w:p>
            <w:pPr>
              <w:spacing w:line="320" w:lineRule="exact"/>
              <w:jc w:val="center"/>
              <w:rPr>
                <w:rFonts w:ascii="Times New Roman" w:hAnsi="Times New Roman"/>
                <w:sz w:val="24"/>
                <w:szCs w:val="24"/>
              </w:rPr>
            </w:pPr>
            <w:r>
              <w:rPr>
                <w:rFonts w:ascii="Times New Roman" w:hAnsi="Times New Roman"/>
                <w:sz w:val="24"/>
                <w:szCs w:val="24"/>
              </w:rPr>
              <w:t>2706.1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384" w:type="dxa"/>
            <w:noWrap/>
            <w:vAlign w:val="center"/>
          </w:tcPr>
          <w:p>
            <w:pPr>
              <w:spacing w:line="320" w:lineRule="exact"/>
              <w:jc w:val="center"/>
              <w:rPr>
                <w:rFonts w:ascii="Times New Roman" w:hAnsi="Times New Roman"/>
                <w:sz w:val="24"/>
                <w:szCs w:val="24"/>
              </w:rPr>
            </w:pPr>
            <w:r>
              <w:rPr>
                <w:rFonts w:ascii="Times New Roman" w:hAnsi="Times New Roman"/>
                <w:sz w:val="24"/>
                <w:szCs w:val="24"/>
              </w:rPr>
              <w:t>2019年</w:t>
            </w:r>
          </w:p>
        </w:tc>
        <w:tc>
          <w:tcPr>
            <w:tcW w:w="1280" w:type="dxa"/>
            <w:noWrap/>
            <w:vAlign w:val="center"/>
          </w:tcPr>
          <w:p>
            <w:pPr>
              <w:spacing w:line="320" w:lineRule="exact"/>
              <w:jc w:val="center"/>
              <w:rPr>
                <w:rFonts w:ascii="Times New Roman" w:hAnsi="Times New Roman"/>
                <w:sz w:val="24"/>
                <w:szCs w:val="24"/>
              </w:rPr>
            </w:pPr>
            <w:r>
              <w:rPr>
                <w:rFonts w:ascii="Times New Roman" w:hAnsi="Times New Roman"/>
                <w:sz w:val="24"/>
                <w:szCs w:val="24"/>
              </w:rPr>
              <w:t>5897.0</w:t>
            </w:r>
          </w:p>
        </w:tc>
        <w:tc>
          <w:tcPr>
            <w:tcW w:w="1280" w:type="dxa"/>
            <w:noWrap/>
            <w:vAlign w:val="center"/>
          </w:tcPr>
          <w:p>
            <w:pPr>
              <w:spacing w:line="320" w:lineRule="exact"/>
              <w:jc w:val="center"/>
              <w:rPr>
                <w:rFonts w:ascii="Times New Roman" w:hAnsi="Times New Roman"/>
                <w:sz w:val="24"/>
                <w:szCs w:val="24"/>
              </w:rPr>
            </w:pPr>
            <w:r>
              <w:rPr>
                <w:rFonts w:ascii="Times New Roman" w:hAnsi="Times New Roman"/>
                <w:sz w:val="24"/>
                <w:szCs w:val="24"/>
              </w:rPr>
              <w:t>37722.4</w:t>
            </w:r>
          </w:p>
        </w:tc>
        <w:tc>
          <w:tcPr>
            <w:tcW w:w="1279" w:type="dxa"/>
            <w:noWrap/>
            <w:vAlign w:val="center"/>
          </w:tcPr>
          <w:p>
            <w:pPr>
              <w:spacing w:line="320" w:lineRule="exact"/>
              <w:jc w:val="center"/>
              <w:rPr>
                <w:rFonts w:ascii="Times New Roman" w:hAnsi="Times New Roman"/>
                <w:sz w:val="24"/>
                <w:szCs w:val="24"/>
              </w:rPr>
            </w:pPr>
            <w:r>
              <w:rPr>
                <w:rFonts w:ascii="Times New Roman" w:hAnsi="Times New Roman"/>
                <w:sz w:val="24"/>
                <w:szCs w:val="24"/>
              </w:rPr>
              <w:t>18834.3</w:t>
            </w:r>
          </w:p>
        </w:tc>
        <w:tc>
          <w:tcPr>
            <w:tcW w:w="1279" w:type="dxa"/>
            <w:noWrap/>
            <w:vAlign w:val="center"/>
          </w:tcPr>
          <w:p>
            <w:pPr>
              <w:spacing w:line="320" w:lineRule="exact"/>
              <w:jc w:val="center"/>
              <w:rPr>
                <w:rFonts w:ascii="Times New Roman" w:hAnsi="Times New Roman"/>
                <w:sz w:val="24"/>
                <w:szCs w:val="24"/>
              </w:rPr>
            </w:pPr>
            <w:r>
              <w:rPr>
                <w:rFonts w:ascii="Times New Roman" w:hAnsi="Times New Roman"/>
                <w:sz w:val="24"/>
                <w:szCs w:val="24"/>
              </w:rPr>
              <w:t>17656.7</w:t>
            </w:r>
          </w:p>
        </w:tc>
        <w:tc>
          <w:tcPr>
            <w:tcW w:w="1279" w:type="dxa"/>
            <w:noWrap/>
            <w:vAlign w:val="center"/>
          </w:tcPr>
          <w:p>
            <w:pPr>
              <w:spacing w:line="320" w:lineRule="exact"/>
              <w:jc w:val="center"/>
              <w:rPr>
                <w:rFonts w:ascii="Times New Roman" w:hAnsi="Times New Roman"/>
                <w:sz w:val="24"/>
                <w:szCs w:val="24"/>
              </w:rPr>
            </w:pPr>
            <w:r>
              <w:rPr>
                <w:rFonts w:ascii="Times New Roman" w:hAnsi="Times New Roman"/>
                <w:sz w:val="24"/>
                <w:szCs w:val="24"/>
              </w:rPr>
              <w:t>2209.0</w:t>
            </w:r>
          </w:p>
        </w:tc>
        <w:tc>
          <w:tcPr>
            <w:tcW w:w="1279" w:type="dxa"/>
            <w:noWrap/>
            <w:vAlign w:val="center"/>
          </w:tcPr>
          <w:p>
            <w:pPr>
              <w:spacing w:line="320" w:lineRule="exact"/>
              <w:jc w:val="center"/>
              <w:rPr>
                <w:rFonts w:ascii="Times New Roman" w:hAnsi="Times New Roman"/>
                <w:sz w:val="24"/>
                <w:szCs w:val="24"/>
              </w:rPr>
            </w:pPr>
            <w:r>
              <w:rPr>
                <w:rFonts w:ascii="Times New Roman" w:hAnsi="Times New Roman"/>
                <w:sz w:val="24"/>
                <w:szCs w:val="24"/>
              </w:rPr>
              <w:t>2921.1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384" w:type="dxa"/>
            <w:noWrap/>
            <w:vAlign w:val="center"/>
          </w:tcPr>
          <w:p>
            <w:pPr>
              <w:spacing w:line="320" w:lineRule="exact"/>
              <w:jc w:val="center"/>
              <w:rPr>
                <w:rFonts w:ascii="Times New Roman" w:hAnsi="Times New Roman"/>
                <w:sz w:val="24"/>
                <w:szCs w:val="24"/>
              </w:rPr>
            </w:pPr>
            <w:r>
              <w:rPr>
                <w:rFonts w:ascii="Times New Roman" w:hAnsi="Times New Roman"/>
                <w:sz w:val="24"/>
                <w:szCs w:val="24"/>
              </w:rPr>
              <w:t>2020年</w:t>
            </w:r>
          </w:p>
        </w:tc>
        <w:tc>
          <w:tcPr>
            <w:tcW w:w="1280" w:type="dxa"/>
            <w:noWrap/>
            <w:vAlign w:val="center"/>
          </w:tcPr>
          <w:p>
            <w:pPr>
              <w:spacing w:line="320" w:lineRule="exact"/>
              <w:jc w:val="center"/>
              <w:rPr>
                <w:rFonts w:ascii="Times New Roman" w:hAnsi="Times New Roman"/>
                <w:sz w:val="24"/>
                <w:szCs w:val="24"/>
              </w:rPr>
            </w:pPr>
            <w:r>
              <w:rPr>
                <w:rFonts w:ascii="Times New Roman" w:hAnsi="Times New Roman"/>
                <w:sz w:val="24"/>
                <w:szCs w:val="24"/>
              </w:rPr>
              <w:t>2370.7</w:t>
            </w:r>
          </w:p>
        </w:tc>
        <w:tc>
          <w:tcPr>
            <w:tcW w:w="1280" w:type="dxa"/>
            <w:noWrap/>
            <w:vAlign w:val="center"/>
          </w:tcPr>
          <w:p>
            <w:pPr>
              <w:spacing w:line="320" w:lineRule="exact"/>
              <w:jc w:val="center"/>
              <w:rPr>
                <w:rFonts w:ascii="Times New Roman" w:hAnsi="Times New Roman"/>
                <w:sz w:val="24"/>
                <w:szCs w:val="24"/>
              </w:rPr>
            </w:pPr>
            <w:r>
              <w:rPr>
                <w:rFonts w:ascii="Times New Roman" w:hAnsi="Times New Roman"/>
                <w:sz w:val="24"/>
                <w:szCs w:val="24"/>
              </w:rPr>
              <w:t>1286.7</w:t>
            </w:r>
          </w:p>
        </w:tc>
        <w:tc>
          <w:tcPr>
            <w:tcW w:w="1279" w:type="dxa"/>
            <w:noWrap/>
            <w:vAlign w:val="center"/>
          </w:tcPr>
          <w:p>
            <w:pPr>
              <w:spacing w:line="320" w:lineRule="exact"/>
              <w:jc w:val="center"/>
              <w:rPr>
                <w:rFonts w:ascii="Times New Roman" w:hAnsi="Times New Roman"/>
                <w:sz w:val="24"/>
                <w:szCs w:val="24"/>
              </w:rPr>
            </w:pPr>
            <w:r>
              <w:rPr>
                <w:rFonts w:ascii="Times New Roman" w:hAnsi="Times New Roman"/>
                <w:sz w:val="24"/>
                <w:szCs w:val="24"/>
              </w:rPr>
              <w:t>17350.9</w:t>
            </w:r>
          </w:p>
        </w:tc>
        <w:tc>
          <w:tcPr>
            <w:tcW w:w="1279" w:type="dxa"/>
            <w:noWrap/>
            <w:vAlign w:val="center"/>
          </w:tcPr>
          <w:p>
            <w:pPr>
              <w:spacing w:line="320" w:lineRule="exact"/>
              <w:jc w:val="center"/>
              <w:rPr>
                <w:rFonts w:ascii="Times New Roman" w:hAnsi="Times New Roman"/>
                <w:sz w:val="24"/>
                <w:szCs w:val="24"/>
              </w:rPr>
            </w:pPr>
            <w:r>
              <w:rPr>
                <w:rFonts w:ascii="Times New Roman" w:hAnsi="Times New Roman"/>
                <w:sz w:val="24"/>
                <w:szCs w:val="24"/>
              </w:rPr>
              <w:t>13891.3</w:t>
            </w:r>
          </w:p>
        </w:tc>
        <w:tc>
          <w:tcPr>
            <w:tcW w:w="1279" w:type="dxa"/>
            <w:noWrap/>
            <w:vAlign w:val="center"/>
          </w:tcPr>
          <w:p>
            <w:pPr>
              <w:spacing w:line="320" w:lineRule="exact"/>
              <w:jc w:val="center"/>
              <w:rPr>
                <w:rFonts w:ascii="Times New Roman" w:hAnsi="Times New Roman"/>
                <w:sz w:val="24"/>
                <w:szCs w:val="24"/>
              </w:rPr>
            </w:pPr>
            <w:r>
              <w:rPr>
                <w:rFonts w:ascii="Times New Roman" w:hAnsi="Times New Roman"/>
                <w:sz w:val="24"/>
                <w:szCs w:val="24"/>
              </w:rPr>
              <w:t>175.1</w:t>
            </w:r>
          </w:p>
        </w:tc>
        <w:tc>
          <w:tcPr>
            <w:tcW w:w="1279" w:type="dxa"/>
            <w:noWrap/>
            <w:vAlign w:val="center"/>
          </w:tcPr>
          <w:p>
            <w:pPr>
              <w:spacing w:line="320" w:lineRule="exact"/>
              <w:jc w:val="center"/>
              <w:rPr>
                <w:rFonts w:ascii="Times New Roman" w:hAnsi="Times New Roman"/>
                <w:sz w:val="24"/>
                <w:szCs w:val="24"/>
              </w:rPr>
            </w:pPr>
            <w:r>
              <w:rPr>
                <w:rFonts w:ascii="Times New Roman" w:hAnsi="Times New Roman"/>
                <w:sz w:val="24"/>
                <w:szCs w:val="24"/>
              </w:rPr>
              <w:t>718.9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384" w:type="dxa"/>
            <w:noWrap/>
            <w:vAlign w:val="center"/>
          </w:tcPr>
          <w:p>
            <w:pPr>
              <w:spacing w:line="320" w:lineRule="exact"/>
              <w:jc w:val="center"/>
              <w:rPr>
                <w:rFonts w:ascii="Times New Roman" w:hAnsi="Times New Roman"/>
                <w:sz w:val="24"/>
                <w:szCs w:val="24"/>
              </w:rPr>
            </w:pPr>
            <w:r>
              <w:rPr>
                <w:rFonts w:ascii="Times New Roman" w:hAnsi="Times New Roman"/>
                <w:sz w:val="24"/>
                <w:szCs w:val="24"/>
              </w:rPr>
              <w:t>总计</w:t>
            </w:r>
          </w:p>
        </w:tc>
        <w:tc>
          <w:tcPr>
            <w:tcW w:w="1280" w:type="dxa"/>
            <w:noWrap/>
            <w:vAlign w:val="center"/>
          </w:tcPr>
          <w:p>
            <w:pPr>
              <w:spacing w:line="320" w:lineRule="exact"/>
              <w:jc w:val="center"/>
              <w:rPr>
                <w:rFonts w:ascii="Times New Roman" w:hAnsi="Times New Roman"/>
                <w:sz w:val="24"/>
                <w:szCs w:val="24"/>
              </w:rPr>
            </w:pPr>
            <w:r>
              <w:rPr>
                <w:rFonts w:ascii="Times New Roman" w:hAnsi="Times New Roman"/>
                <w:sz w:val="24"/>
                <w:szCs w:val="24"/>
              </w:rPr>
              <w:t>9963.2</w:t>
            </w:r>
          </w:p>
        </w:tc>
        <w:tc>
          <w:tcPr>
            <w:tcW w:w="1280" w:type="dxa"/>
            <w:noWrap/>
            <w:vAlign w:val="center"/>
          </w:tcPr>
          <w:p>
            <w:pPr>
              <w:spacing w:line="320" w:lineRule="exact"/>
              <w:jc w:val="center"/>
              <w:rPr>
                <w:rFonts w:ascii="Times New Roman" w:hAnsi="Times New Roman"/>
                <w:sz w:val="24"/>
                <w:szCs w:val="24"/>
              </w:rPr>
            </w:pPr>
            <w:r>
              <w:rPr>
                <w:rFonts w:ascii="Times New Roman" w:hAnsi="Times New Roman"/>
                <w:sz w:val="24"/>
                <w:szCs w:val="24"/>
              </w:rPr>
              <w:t>100153</w:t>
            </w:r>
          </w:p>
        </w:tc>
        <w:tc>
          <w:tcPr>
            <w:tcW w:w="1279" w:type="dxa"/>
            <w:noWrap/>
            <w:vAlign w:val="center"/>
          </w:tcPr>
          <w:p>
            <w:pPr>
              <w:spacing w:line="320" w:lineRule="exact"/>
              <w:jc w:val="center"/>
              <w:rPr>
                <w:rFonts w:ascii="Times New Roman" w:hAnsi="Times New Roman"/>
                <w:sz w:val="24"/>
                <w:szCs w:val="24"/>
              </w:rPr>
            </w:pPr>
            <w:r>
              <w:rPr>
                <w:rFonts w:ascii="Times New Roman" w:hAnsi="Times New Roman"/>
                <w:sz w:val="24"/>
                <w:szCs w:val="24"/>
              </w:rPr>
              <w:t>118246.9</w:t>
            </w:r>
          </w:p>
        </w:tc>
        <w:tc>
          <w:tcPr>
            <w:tcW w:w="1279" w:type="dxa"/>
            <w:noWrap/>
            <w:vAlign w:val="center"/>
          </w:tcPr>
          <w:p>
            <w:pPr>
              <w:spacing w:line="320" w:lineRule="exact"/>
              <w:jc w:val="center"/>
              <w:rPr>
                <w:rFonts w:ascii="Times New Roman" w:hAnsi="Times New Roman"/>
                <w:sz w:val="24"/>
                <w:szCs w:val="24"/>
              </w:rPr>
            </w:pPr>
            <w:r>
              <w:rPr>
                <w:rFonts w:ascii="Times New Roman" w:hAnsi="Times New Roman"/>
                <w:sz w:val="24"/>
                <w:szCs w:val="24"/>
              </w:rPr>
              <w:t>97668.2</w:t>
            </w:r>
          </w:p>
        </w:tc>
        <w:tc>
          <w:tcPr>
            <w:tcW w:w="1279" w:type="dxa"/>
            <w:noWrap/>
            <w:vAlign w:val="center"/>
          </w:tcPr>
          <w:p>
            <w:pPr>
              <w:spacing w:line="320" w:lineRule="exact"/>
              <w:jc w:val="center"/>
              <w:rPr>
                <w:rFonts w:ascii="Times New Roman" w:hAnsi="Times New Roman"/>
                <w:sz w:val="24"/>
                <w:szCs w:val="24"/>
              </w:rPr>
            </w:pPr>
            <w:r>
              <w:rPr>
                <w:rFonts w:ascii="Times New Roman" w:hAnsi="Times New Roman"/>
                <w:sz w:val="24"/>
                <w:szCs w:val="24"/>
              </w:rPr>
              <w:t>40847.7</w:t>
            </w:r>
          </w:p>
        </w:tc>
        <w:tc>
          <w:tcPr>
            <w:tcW w:w="1279" w:type="dxa"/>
            <w:noWrap/>
            <w:vAlign w:val="center"/>
          </w:tcPr>
          <w:p>
            <w:pPr>
              <w:spacing w:line="320" w:lineRule="exact"/>
              <w:jc w:val="center"/>
              <w:rPr>
                <w:rFonts w:ascii="Times New Roman" w:hAnsi="Times New Roman"/>
                <w:sz w:val="24"/>
                <w:szCs w:val="24"/>
              </w:rPr>
            </w:pPr>
            <w:r>
              <w:rPr>
                <w:rFonts w:ascii="Times New Roman" w:hAnsi="Times New Roman"/>
                <w:sz w:val="24"/>
                <w:szCs w:val="24"/>
              </w:rPr>
              <w:t>17826.9</w:t>
            </w:r>
          </w:p>
        </w:tc>
      </w:tr>
    </w:tbl>
    <w:p>
      <w:pPr>
        <w:rPr>
          <w:rFonts w:ascii="Times New Roman" w:hAnsi="Times New Roman"/>
        </w:rPr>
      </w:pPr>
    </w:p>
    <w:p>
      <w:pPr>
        <w:overflowPunct w:val="0"/>
        <w:autoSpaceDE w:val="0"/>
        <w:autoSpaceDN w:val="0"/>
        <w:adjustRightInd w:val="0"/>
        <w:snapToGrid w:val="0"/>
        <w:spacing w:line="550" w:lineRule="exact"/>
        <w:ind w:firstLine="641"/>
        <w:rPr>
          <w:rFonts w:ascii="Times New Roman" w:hAnsi="Times New Roman" w:eastAsia="方正仿宋_GBK"/>
          <w:snapToGrid w:val="0"/>
          <w:kern w:val="0"/>
          <w:sz w:val="32"/>
          <w:szCs w:val="32"/>
        </w:rPr>
      </w:pPr>
      <w:r>
        <w:rPr>
          <w:rFonts w:ascii="Times New Roman" w:hAnsi="Times New Roman" w:eastAsia="方正仿宋_GBK"/>
          <w:snapToGrid w:val="0"/>
          <w:kern w:val="0"/>
          <w:sz w:val="32"/>
          <w:szCs w:val="32"/>
        </w:rPr>
        <w:t>4. 开发园区转型创新、提档升级。“十三五”时期，我市着力完善各类开发区产业规划、功能配套及平台建设，推动开发园区成为开放型经济高质量发展的主阵地。“十三五”末，全市共有2个国家级高新区和8个省级开发区，常州高新区、武进高新区在全省国家级高新区中分列第4位和第9位，溧阳高新区位列省级高新区综合排名第1位，常州经开区、金坛开发区在省级经开区中跻身前十强，排名分别跃升至第4位和第10位；全市开发区利用外资贡献份额占全市的84%，工业开票销售、进出口贡献份额超过70%，公共财政预算收入贡献份额超过54%。国际合作园区加快发展，中以（常州）创新园实施新一轮发展规划，中德（常州）产业创新园全面推进；中以、中德、中欧、中瑞4家园区被认定为省级国际合作园区，获评数居全省第一；新获批省级特色创新示范园区8家，覆盖率居全省前列。</w:t>
      </w:r>
    </w:p>
    <w:p>
      <w:pPr>
        <w:overflowPunct w:val="0"/>
        <w:autoSpaceDE w:val="0"/>
        <w:autoSpaceDN w:val="0"/>
        <w:adjustRightInd w:val="0"/>
        <w:snapToGrid w:val="0"/>
        <w:spacing w:line="550" w:lineRule="exact"/>
        <w:ind w:firstLine="641"/>
        <w:rPr>
          <w:rFonts w:ascii="Times New Roman" w:hAnsi="Times New Roman" w:eastAsia="方正仿宋_GBK"/>
          <w:snapToGrid w:val="0"/>
          <w:kern w:val="0"/>
          <w:sz w:val="32"/>
          <w:szCs w:val="32"/>
        </w:rPr>
        <w:sectPr>
          <w:pgSz w:w="11906" w:h="16838"/>
          <w:pgMar w:top="1814" w:right="1531" w:bottom="1985" w:left="1531" w:header="720" w:footer="1474" w:gutter="0"/>
          <w:cols w:space="720" w:num="1"/>
          <w:docGrid w:linePitch="312" w:charSpace="0"/>
        </w:sectPr>
      </w:pPr>
    </w:p>
    <w:p>
      <w:pPr>
        <w:overflowPunct w:val="0"/>
        <w:autoSpaceDE w:val="0"/>
        <w:autoSpaceDN w:val="0"/>
        <w:adjustRightInd w:val="0"/>
        <w:snapToGrid w:val="0"/>
        <w:spacing w:before="240" w:after="240" w:line="560" w:lineRule="exact"/>
        <w:jc w:val="center"/>
        <w:rPr>
          <w:rFonts w:hint="eastAsia" w:ascii="方正小标宋_GBK" w:hAnsi="Times New Roman" w:eastAsia="方正小标宋_GBK"/>
          <w:sz w:val="44"/>
          <w:szCs w:val="44"/>
        </w:rPr>
      </w:pPr>
      <w:r>
        <w:rPr>
          <w:rFonts w:hint="eastAsia" w:ascii="方正小标宋_GBK" w:hAnsi="Times New Roman" w:eastAsia="方正小标宋_GBK"/>
          <w:sz w:val="44"/>
          <w:szCs w:val="44"/>
        </w:rPr>
        <w:t>江苏省开发区科学发展综合评价常州开发区排名情况</w:t>
      </w:r>
    </w:p>
    <w:tbl>
      <w:tblPr>
        <w:tblStyle w:val="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665"/>
        <w:gridCol w:w="706"/>
        <w:gridCol w:w="989"/>
        <w:gridCol w:w="717"/>
        <w:gridCol w:w="848"/>
        <w:gridCol w:w="989"/>
        <w:gridCol w:w="706"/>
        <w:gridCol w:w="848"/>
        <w:gridCol w:w="989"/>
        <w:gridCol w:w="703"/>
        <w:gridCol w:w="848"/>
        <w:gridCol w:w="984"/>
        <w:gridCol w:w="706"/>
        <w:gridCol w:w="706"/>
        <w:gridCol w:w="989"/>
        <w:gridCol w:w="78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96" w:hRule="atLeast"/>
          <w:jc w:val="center"/>
        </w:trPr>
        <w:tc>
          <w:tcPr>
            <w:tcW w:w="1665" w:type="dxa"/>
            <w:vMerge w:val="restart"/>
            <w:noWrap w:val="0"/>
            <w:vAlign w:val="center"/>
          </w:tcPr>
          <w:p>
            <w:pPr>
              <w:widowControl/>
              <w:spacing w:line="300" w:lineRule="exact"/>
              <w:jc w:val="center"/>
              <w:rPr>
                <w:rFonts w:ascii="Times New Roman" w:hAnsi="Times New Roman" w:eastAsia="黑体"/>
                <w:bCs/>
                <w:sz w:val="24"/>
              </w:rPr>
            </w:pPr>
            <w:r>
              <w:rPr>
                <w:rFonts w:ascii="Times New Roman" w:eastAsia="黑体"/>
                <w:bCs/>
                <w:sz w:val="24"/>
              </w:rPr>
              <w:t>开发区名称</w:t>
            </w:r>
          </w:p>
        </w:tc>
        <w:tc>
          <w:tcPr>
            <w:tcW w:w="2412" w:type="dxa"/>
            <w:gridSpan w:val="3"/>
            <w:noWrap w:val="0"/>
            <w:vAlign w:val="center"/>
          </w:tcPr>
          <w:p>
            <w:pPr>
              <w:widowControl/>
              <w:spacing w:line="300" w:lineRule="exact"/>
              <w:jc w:val="center"/>
              <w:rPr>
                <w:rFonts w:ascii="Times New Roman" w:hAnsi="Times New Roman" w:eastAsia="黑体"/>
                <w:bCs/>
                <w:sz w:val="24"/>
              </w:rPr>
            </w:pPr>
            <w:r>
              <w:rPr>
                <w:rFonts w:ascii="Times New Roman" w:hAnsi="Times New Roman" w:eastAsia="黑体"/>
                <w:bCs/>
                <w:sz w:val="24"/>
              </w:rPr>
              <w:t>2016</w:t>
            </w:r>
            <w:r>
              <w:rPr>
                <w:rFonts w:ascii="Times New Roman" w:eastAsia="黑体"/>
                <w:bCs/>
                <w:sz w:val="24"/>
              </w:rPr>
              <w:t>年</w:t>
            </w:r>
          </w:p>
        </w:tc>
        <w:tc>
          <w:tcPr>
            <w:tcW w:w="2543" w:type="dxa"/>
            <w:gridSpan w:val="3"/>
            <w:noWrap w:val="0"/>
            <w:vAlign w:val="center"/>
          </w:tcPr>
          <w:p>
            <w:pPr>
              <w:widowControl/>
              <w:spacing w:line="300" w:lineRule="exact"/>
              <w:jc w:val="center"/>
              <w:rPr>
                <w:rFonts w:ascii="Times New Roman" w:hAnsi="Times New Roman" w:eastAsia="黑体"/>
                <w:bCs/>
                <w:sz w:val="24"/>
              </w:rPr>
            </w:pPr>
            <w:r>
              <w:rPr>
                <w:rFonts w:ascii="Times New Roman" w:hAnsi="Times New Roman" w:eastAsia="黑体"/>
                <w:bCs/>
                <w:sz w:val="24"/>
              </w:rPr>
              <w:t>2017</w:t>
            </w:r>
            <w:r>
              <w:rPr>
                <w:rFonts w:ascii="Times New Roman" w:eastAsia="黑体"/>
                <w:bCs/>
                <w:sz w:val="24"/>
              </w:rPr>
              <w:t>年</w:t>
            </w:r>
          </w:p>
        </w:tc>
        <w:tc>
          <w:tcPr>
            <w:tcW w:w="2540" w:type="dxa"/>
            <w:gridSpan w:val="3"/>
            <w:noWrap w:val="0"/>
            <w:vAlign w:val="center"/>
          </w:tcPr>
          <w:p>
            <w:pPr>
              <w:widowControl/>
              <w:spacing w:line="300" w:lineRule="exact"/>
              <w:jc w:val="center"/>
              <w:rPr>
                <w:rFonts w:ascii="Times New Roman" w:hAnsi="Times New Roman" w:eastAsia="黑体"/>
                <w:bCs/>
                <w:sz w:val="24"/>
              </w:rPr>
            </w:pPr>
            <w:r>
              <w:rPr>
                <w:rFonts w:ascii="Times New Roman" w:hAnsi="Times New Roman" w:eastAsia="黑体"/>
                <w:bCs/>
                <w:sz w:val="24"/>
              </w:rPr>
              <w:t>2018</w:t>
            </w:r>
            <w:r>
              <w:rPr>
                <w:rFonts w:ascii="Times New Roman" w:eastAsia="黑体"/>
                <w:bCs/>
                <w:sz w:val="24"/>
              </w:rPr>
              <w:t>年</w:t>
            </w:r>
          </w:p>
        </w:tc>
        <w:tc>
          <w:tcPr>
            <w:tcW w:w="2538" w:type="dxa"/>
            <w:gridSpan w:val="3"/>
            <w:noWrap w:val="0"/>
            <w:vAlign w:val="center"/>
          </w:tcPr>
          <w:p>
            <w:pPr>
              <w:widowControl/>
              <w:spacing w:line="300" w:lineRule="exact"/>
              <w:jc w:val="center"/>
              <w:rPr>
                <w:rFonts w:ascii="Times New Roman" w:hAnsi="Times New Roman" w:eastAsia="黑体"/>
                <w:bCs/>
                <w:sz w:val="24"/>
              </w:rPr>
            </w:pPr>
            <w:r>
              <w:rPr>
                <w:rFonts w:ascii="Times New Roman" w:hAnsi="Times New Roman" w:eastAsia="黑体"/>
                <w:bCs/>
                <w:sz w:val="24"/>
              </w:rPr>
              <w:t>2019</w:t>
            </w:r>
            <w:r>
              <w:rPr>
                <w:rFonts w:ascii="Times New Roman" w:eastAsia="黑体"/>
                <w:bCs/>
                <w:sz w:val="24"/>
              </w:rPr>
              <w:t>年</w:t>
            </w:r>
          </w:p>
        </w:tc>
        <w:tc>
          <w:tcPr>
            <w:tcW w:w="2477" w:type="dxa"/>
            <w:gridSpan w:val="3"/>
            <w:noWrap w:val="0"/>
            <w:vAlign w:val="center"/>
          </w:tcPr>
          <w:p>
            <w:pPr>
              <w:widowControl/>
              <w:spacing w:line="300" w:lineRule="exact"/>
              <w:jc w:val="center"/>
              <w:rPr>
                <w:rFonts w:ascii="Times New Roman" w:hAnsi="Times New Roman" w:eastAsia="黑体"/>
                <w:bCs/>
                <w:sz w:val="24"/>
              </w:rPr>
            </w:pPr>
            <w:r>
              <w:rPr>
                <w:rFonts w:ascii="Times New Roman" w:hAnsi="Times New Roman" w:eastAsia="黑体"/>
                <w:bCs/>
                <w:sz w:val="24"/>
              </w:rPr>
              <w:t>2020</w:t>
            </w:r>
            <w:r>
              <w:rPr>
                <w:rFonts w:ascii="Times New Roman" w:eastAsia="黑体"/>
                <w:bCs/>
                <w:sz w:val="24"/>
              </w:rPr>
              <w:t>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70" w:hRule="atLeast"/>
          <w:jc w:val="center"/>
        </w:trPr>
        <w:tc>
          <w:tcPr>
            <w:tcW w:w="1665" w:type="dxa"/>
            <w:vMerge w:val="continue"/>
            <w:noWrap w:val="0"/>
            <w:vAlign w:val="center"/>
          </w:tcPr>
          <w:p>
            <w:pPr>
              <w:widowControl/>
              <w:spacing w:line="300" w:lineRule="exact"/>
              <w:jc w:val="center"/>
              <w:rPr>
                <w:rFonts w:ascii="Times New Roman" w:hAnsi="Times New Roman" w:eastAsia="黑体"/>
                <w:bCs/>
                <w:sz w:val="24"/>
              </w:rPr>
            </w:pPr>
          </w:p>
        </w:tc>
        <w:tc>
          <w:tcPr>
            <w:tcW w:w="706" w:type="dxa"/>
            <w:noWrap w:val="0"/>
            <w:vAlign w:val="center"/>
          </w:tcPr>
          <w:p>
            <w:pPr>
              <w:widowControl/>
              <w:spacing w:line="300" w:lineRule="exact"/>
              <w:jc w:val="center"/>
              <w:rPr>
                <w:rFonts w:ascii="Times New Roman" w:hAnsi="Times New Roman" w:eastAsia="黑体"/>
                <w:bCs/>
                <w:sz w:val="24"/>
              </w:rPr>
            </w:pPr>
            <w:r>
              <w:rPr>
                <w:rFonts w:ascii="Times New Roman" w:eastAsia="黑体"/>
                <w:bCs/>
                <w:sz w:val="24"/>
              </w:rPr>
              <w:t>全省</w:t>
            </w:r>
          </w:p>
          <w:p>
            <w:pPr>
              <w:widowControl/>
              <w:spacing w:line="300" w:lineRule="exact"/>
              <w:jc w:val="center"/>
              <w:rPr>
                <w:rFonts w:ascii="Times New Roman" w:hAnsi="Times New Roman" w:eastAsia="黑体"/>
                <w:bCs/>
                <w:sz w:val="24"/>
              </w:rPr>
            </w:pPr>
            <w:r>
              <w:rPr>
                <w:rFonts w:ascii="Times New Roman" w:eastAsia="黑体"/>
                <w:bCs/>
                <w:sz w:val="24"/>
              </w:rPr>
              <w:t>排名</w:t>
            </w:r>
          </w:p>
        </w:tc>
        <w:tc>
          <w:tcPr>
            <w:tcW w:w="989" w:type="dxa"/>
            <w:noWrap w:val="0"/>
            <w:vAlign w:val="center"/>
          </w:tcPr>
          <w:p>
            <w:pPr>
              <w:widowControl/>
              <w:spacing w:line="300" w:lineRule="exact"/>
              <w:jc w:val="center"/>
              <w:rPr>
                <w:rFonts w:ascii="Times New Roman" w:hAnsi="Times New Roman" w:eastAsia="黑体"/>
                <w:bCs/>
                <w:sz w:val="24"/>
              </w:rPr>
            </w:pPr>
            <w:r>
              <w:rPr>
                <w:rFonts w:ascii="Times New Roman" w:eastAsia="黑体"/>
                <w:bCs/>
                <w:sz w:val="24"/>
              </w:rPr>
              <w:t>国家级排名</w:t>
            </w:r>
          </w:p>
        </w:tc>
        <w:tc>
          <w:tcPr>
            <w:tcW w:w="717" w:type="dxa"/>
            <w:noWrap w:val="0"/>
            <w:vAlign w:val="center"/>
          </w:tcPr>
          <w:p>
            <w:pPr>
              <w:widowControl/>
              <w:spacing w:line="300" w:lineRule="exact"/>
              <w:jc w:val="center"/>
              <w:rPr>
                <w:rFonts w:ascii="Times New Roman" w:hAnsi="Times New Roman" w:eastAsia="黑体"/>
                <w:bCs/>
                <w:sz w:val="24"/>
              </w:rPr>
            </w:pPr>
            <w:r>
              <w:rPr>
                <w:rFonts w:ascii="Times New Roman" w:eastAsia="黑体"/>
                <w:bCs/>
                <w:sz w:val="24"/>
              </w:rPr>
              <w:t>省级排名</w:t>
            </w:r>
          </w:p>
        </w:tc>
        <w:tc>
          <w:tcPr>
            <w:tcW w:w="848" w:type="dxa"/>
            <w:noWrap w:val="0"/>
            <w:vAlign w:val="center"/>
          </w:tcPr>
          <w:p>
            <w:pPr>
              <w:widowControl/>
              <w:spacing w:line="300" w:lineRule="exact"/>
              <w:jc w:val="center"/>
              <w:rPr>
                <w:rFonts w:ascii="Times New Roman" w:hAnsi="Times New Roman" w:eastAsia="黑体"/>
                <w:bCs/>
                <w:sz w:val="24"/>
              </w:rPr>
            </w:pPr>
            <w:r>
              <w:rPr>
                <w:rFonts w:ascii="Times New Roman" w:eastAsia="黑体"/>
                <w:bCs/>
                <w:sz w:val="24"/>
              </w:rPr>
              <w:t>全省</w:t>
            </w:r>
          </w:p>
          <w:p>
            <w:pPr>
              <w:widowControl/>
              <w:spacing w:line="300" w:lineRule="exact"/>
              <w:jc w:val="center"/>
              <w:rPr>
                <w:rFonts w:ascii="Times New Roman" w:hAnsi="Times New Roman" w:eastAsia="黑体"/>
                <w:bCs/>
                <w:sz w:val="24"/>
              </w:rPr>
            </w:pPr>
            <w:r>
              <w:rPr>
                <w:rFonts w:ascii="Times New Roman" w:eastAsia="黑体"/>
                <w:bCs/>
                <w:sz w:val="24"/>
              </w:rPr>
              <w:t>排名</w:t>
            </w:r>
          </w:p>
        </w:tc>
        <w:tc>
          <w:tcPr>
            <w:tcW w:w="989" w:type="dxa"/>
            <w:noWrap w:val="0"/>
            <w:vAlign w:val="center"/>
          </w:tcPr>
          <w:p>
            <w:pPr>
              <w:widowControl/>
              <w:spacing w:line="300" w:lineRule="exact"/>
              <w:jc w:val="center"/>
              <w:rPr>
                <w:rFonts w:ascii="Times New Roman" w:hAnsi="Times New Roman" w:eastAsia="黑体"/>
                <w:bCs/>
                <w:sz w:val="24"/>
              </w:rPr>
            </w:pPr>
            <w:r>
              <w:rPr>
                <w:rFonts w:ascii="Times New Roman" w:eastAsia="黑体"/>
                <w:bCs/>
                <w:sz w:val="24"/>
              </w:rPr>
              <w:t>国家级排名</w:t>
            </w:r>
          </w:p>
        </w:tc>
        <w:tc>
          <w:tcPr>
            <w:tcW w:w="706" w:type="dxa"/>
            <w:noWrap w:val="0"/>
            <w:vAlign w:val="center"/>
          </w:tcPr>
          <w:p>
            <w:pPr>
              <w:widowControl/>
              <w:spacing w:line="300" w:lineRule="exact"/>
              <w:jc w:val="center"/>
              <w:rPr>
                <w:rFonts w:ascii="Times New Roman" w:hAnsi="Times New Roman" w:eastAsia="黑体"/>
                <w:bCs/>
                <w:sz w:val="24"/>
              </w:rPr>
            </w:pPr>
            <w:r>
              <w:rPr>
                <w:rFonts w:ascii="Times New Roman" w:eastAsia="黑体"/>
                <w:bCs/>
                <w:sz w:val="24"/>
              </w:rPr>
              <w:t>省级</w:t>
            </w:r>
          </w:p>
          <w:p>
            <w:pPr>
              <w:widowControl/>
              <w:spacing w:line="300" w:lineRule="exact"/>
              <w:jc w:val="center"/>
              <w:rPr>
                <w:rFonts w:ascii="Times New Roman" w:hAnsi="Times New Roman" w:eastAsia="黑体"/>
                <w:bCs/>
                <w:sz w:val="24"/>
              </w:rPr>
            </w:pPr>
            <w:r>
              <w:rPr>
                <w:rFonts w:ascii="Times New Roman" w:eastAsia="黑体"/>
                <w:bCs/>
                <w:sz w:val="24"/>
              </w:rPr>
              <w:t>排名</w:t>
            </w:r>
          </w:p>
        </w:tc>
        <w:tc>
          <w:tcPr>
            <w:tcW w:w="848" w:type="dxa"/>
            <w:noWrap w:val="0"/>
            <w:vAlign w:val="center"/>
          </w:tcPr>
          <w:p>
            <w:pPr>
              <w:widowControl/>
              <w:spacing w:line="300" w:lineRule="exact"/>
              <w:jc w:val="center"/>
              <w:rPr>
                <w:rFonts w:ascii="Times New Roman" w:hAnsi="Times New Roman" w:eastAsia="黑体"/>
                <w:bCs/>
                <w:sz w:val="24"/>
              </w:rPr>
            </w:pPr>
            <w:r>
              <w:rPr>
                <w:rFonts w:ascii="Times New Roman" w:eastAsia="黑体"/>
                <w:bCs/>
                <w:sz w:val="24"/>
              </w:rPr>
              <w:t>全省</w:t>
            </w:r>
          </w:p>
          <w:p>
            <w:pPr>
              <w:widowControl/>
              <w:spacing w:line="300" w:lineRule="exact"/>
              <w:jc w:val="center"/>
              <w:rPr>
                <w:rFonts w:ascii="Times New Roman" w:hAnsi="Times New Roman" w:eastAsia="黑体"/>
                <w:bCs/>
                <w:sz w:val="24"/>
              </w:rPr>
            </w:pPr>
            <w:r>
              <w:rPr>
                <w:rFonts w:ascii="Times New Roman" w:eastAsia="黑体"/>
                <w:bCs/>
                <w:sz w:val="24"/>
              </w:rPr>
              <w:t>排名</w:t>
            </w:r>
          </w:p>
        </w:tc>
        <w:tc>
          <w:tcPr>
            <w:tcW w:w="989" w:type="dxa"/>
            <w:noWrap w:val="0"/>
            <w:vAlign w:val="center"/>
          </w:tcPr>
          <w:p>
            <w:pPr>
              <w:widowControl/>
              <w:spacing w:line="300" w:lineRule="exact"/>
              <w:jc w:val="center"/>
              <w:rPr>
                <w:rFonts w:ascii="Times New Roman" w:hAnsi="Times New Roman" w:eastAsia="黑体"/>
                <w:bCs/>
                <w:sz w:val="24"/>
              </w:rPr>
            </w:pPr>
            <w:r>
              <w:rPr>
                <w:rFonts w:ascii="Times New Roman" w:eastAsia="黑体"/>
                <w:bCs/>
                <w:sz w:val="24"/>
              </w:rPr>
              <w:t>国家级</w:t>
            </w:r>
          </w:p>
          <w:p>
            <w:pPr>
              <w:widowControl/>
              <w:spacing w:line="300" w:lineRule="exact"/>
              <w:jc w:val="center"/>
              <w:rPr>
                <w:rFonts w:ascii="Times New Roman" w:hAnsi="Times New Roman" w:eastAsia="黑体"/>
                <w:bCs/>
                <w:sz w:val="24"/>
              </w:rPr>
            </w:pPr>
            <w:r>
              <w:rPr>
                <w:rFonts w:ascii="Times New Roman" w:eastAsia="黑体"/>
                <w:bCs/>
                <w:sz w:val="24"/>
              </w:rPr>
              <w:t>排名</w:t>
            </w:r>
          </w:p>
        </w:tc>
        <w:tc>
          <w:tcPr>
            <w:tcW w:w="703" w:type="dxa"/>
            <w:noWrap w:val="0"/>
            <w:vAlign w:val="center"/>
          </w:tcPr>
          <w:p>
            <w:pPr>
              <w:widowControl/>
              <w:spacing w:line="300" w:lineRule="exact"/>
              <w:jc w:val="center"/>
              <w:rPr>
                <w:rFonts w:hint="eastAsia" w:ascii="Times New Roman" w:eastAsia="黑体"/>
                <w:bCs/>
                <w:sz w:val="24"/>
              </w:rPr>
            </w:pPr>
            <w:r>
              <w:rPr>
                <w:rFonts w:ascii="Times New Roman" w:eastAsia="黑体"/>
                <w:bCs/>
                <w:sz w:val="24"/>
              </w:rPr>
              <w:t>省级</w:t>
            </w:r>
          </w:p>
          <w:p>
            <w:pPr>
              <w:widowControl/>
              <w:spacing w:line="300" w:lineRule="exact"/>
              <w:jc w:val="center"/>
              <w:rPr>
                <w:rFonts w:ascii="Times New Roman" w:eastAsia="黑体"/>
                <w:bCs/>
                <w:sz w:val="24"/>
              </w:rPr>
            </w:pPr>
            <w:r>
              <w:rPr>
                <w:rFonts w:ascii="Times New Roman" w:eastAsia="黑体"/>
                <w:bCs/>
                <w:sz w:val="24"/>
              </w:rPr>
              <w:t>排名</w:t>
            </w:r>
          </w:p>
        </w:tc>
        <w:tc>
          <w:tcPr>
            <w:tcW w:w="848" w:type="dxa"/>
            <w:noWrap w:val="0"/>
            <w:vAlign w:val="center"/>
          </w:tcPr>
          <w:p>
            <w:pPr>
              <w:widowControl/>
              <w:spacing w:line="300" w:lineRule="exact"/>
              <w:jc w:val="center"/>
              <w:rPr>
                <w:rFonts w:ascii="Times New Roman" w:hAnsi="Times New Roman" w:eastAsia="黑体"/>
                <w:bCs/>
                <w:sz w:val="24"/>
              </w:rPr>
            </w:pPr>
            <w:r>
              <w:rPr>
                <w:rFonts w:ascii="Times New Roman" w:eastAsia="黑体"/>
                <w:bCs/>
                <w:sz w:val="24"/>
              </w:rPr>
              <w:t>全省</w:t>
            </w:r>
          </w:p>
          <w:p>
            <w:pPr>
              <w:widowControl/>
              <w:spacing w:line="300" w:lineRule="exact"/>
              <w:jc w:val="center"/>
              <w:rPr>
                <w:rFonts w:ascii="Times New Roman" w:hAnsi="Times New Roman" w:eastAsia="黑体"/>
                <w:bCs/>
                <w:sz w:val="24"/>
              </w:rPr>
            </w:pPr>
            <w:r>
              <w:rPr>
                <w:rFonts w:ascii="Times New Roman" w:eastAsia="黑体"/>
                <w:bCs/>
                <w:sz w:val="24"/>
              </w:rPr>
              <w:t>排名</w:t>
            </w:r>
          </w:p>
        </w:tc>
        <w:tc>
          <w:tcPr>
            <w:tcW w:w="984" w:type="dxa"/>
            <w:noWrap w:val="0"/>
            <w:vAlign w:val="center"/>
          </w:tcPr>
          <w:p>
            <w:pPr>
              <w:widowControl/>
              <w:spacing w:line="300" w:lineRule="exact"/>
              <w:jc w:val="center"/>
              <w:rPr>
                <w:rFonts w:ascii="Times New Roman" w:hAnsi="Times New Roman" w:eastAsia="黑体"/>
                <w:bCs/>
                <w:sz w:val="24"/>
              </w:rPr>
            </w:pPr>
            <w:r>
              <w:rPr>
                <w:rFonts w:ascii="Times New Roman" w:eastAsia="黑体"/>
                <w:bCs/>
                <w:sz w:val="24"/>
              </w:rPr>
              <w:t>国家级</w:t>
            </w:r>
          </w:p>
          <w:p>
            <w:pPr>
              <w:widowControl/>
              <w:spacing w:line="300" w:lineRule="exact"/>
              <w:jc w:val="center"/>
              <w:rPr>
                <w:rFonts w:ascii="Times New Roman" w:hAnsi="Times New Roman" w:eastAsia="黑体"/>
                <w:bCs/>
                <w:sz w:val="24"/>
              </w:rPr>
            </w:pPr>
            <w:r>
              <w:rPr>
                <w:rFonts w:ascii="Times New Roman" w:eastAsia="黑体"/>
                <w:bCs/>
                <w:sz w:val="24"/>
              </w:rPr>
              <w:t>排名</w:t>
            </w:r>
          </w:p>
        </w:tc>
        <w:tc>
          <w:tcPr>
            <w:tcW w:w="706" w:type="dxa"/>
            <w:noWrap w:val="0"/>
            <w:vAlign w:val="center"/>
          </w:tcPr>
          <w:p>
            <w:pPr>
              <w:widowControl/>
              <w:spacing w:line="300" w:lineRule="exact"/>
              <w:jc w:val="center"/>
              <w:rPr>
                <w:rFonts w:ascii="Times New Roman" w:hAnsi="Times New Roman" w:eastAsia="黑体"/>
                <w:bCs/>
                <w:sz w:val="24"/>
              </w:rPr>
            </w:pPr>
            <w:r>
              <w:rPr>
                <w:rFonts w:ascii="Times New Roman" w:eastAsia="黑体"/>
                <w:bCs/>
                <w:sz w:val="24"/>
              </w:rPr>
              <w:t>省级排名</w:t>
            </w:r>
          </w:p>
        </w:tc>
        <w:tc>
          <w:tcPr>
            <w:tcW w:w="706" w:type="dxa"/>
            <w:noWrap w:val="0"/>
            <w:vAlign w:val="center"/>
          </w:tcPr>
          <w:p>
            <w:pPr>
              <w:widowControl/>
              <w:spacing w:line="300" w:lineRule="exact"/>
              <w:jc w:val="center"/>
              <w:rPr>
                <w:rFonts w:ascii="Times New Roman" w:hAnsi="Times New Roman" w:eastAsia="黑体"/>
                <w:bCs/>
                <w:sz w:val="24"/>
              </w:rPr>
            </w:pPr>
            <w:r>
              <w:rPr>
                <w:rFonts w:ascii="Times New Roman" w:eastAsia="黑体"/>
                <w:bCs/>
                <w:sz w:val="24"/>
              </w:rPr>
              <w:t>全省</w:t>
            </w:r>
          </w:p>
          <w:p>
            <w:pPr>
              <w:widowControl/>
              <w:spacing w:line="300" w:lineRule="exact"/>
              <w:jc w:val="center"/>
              <w:rPr>
                <w:rFonts w:ascii="Times New Roman" w:hAnsi="Times New Roman" w:eastAsia="黑体"/>
                <w:bCs/>
                <w:sz w:val="24"/>
              </w:rPr>
            </w:pPr>
            <w:r>
              <w:rPr>
                <w:rFonts w:ascii="Times New Roman" w:eastAsia="黑体"/>
                <w:bCs/>
                <w:sz w:val="24"/>
              </w:rPr>
              <w:t>排名</w:t>
            </w:r>
          </w:p>
        </w:tc>
        <w:tc>
          <w:tcPr>
            <w:tcW w:w="989" w:type="dxa"/>
            <w:noWrap w:val="0"/>
            <w:vAlign w:val="center"/>
          </w:tcPr>
          <w:p>
            <w:pPr>
              <w:widowControl/>
              <w:spacing w:line="300" w:lineRule="exact"/>
              <w:jc w:val="center"/>
              <w:rPr>
                <w:rFonts w:ascii="Times New Roman" w:hAnsi="Times New Roman" w:eastAsia="黑体"/>
                <w:bCs/>
                <w:sz w:val="24"/>
              </w:rPr>
            </w:pPr>
            <w:r>
              <w:rPr>
                <w:rFonts w:ascii="Times New Roman" w:eastAsia="黑体"/>
                <w:bCs/>
                <w:sz w:val="24"/>
              </w:rPr>
              <w:t>国家级</w:t>
            </w:r>
          </w:p>
          <w:p>
            <w:pPr>
              <w:widowControl/>
              <w:spacing w:line="300" w:lineRule="exact"/>
              <w:jc w:val="center"/>
              <w:rPr>
                <w:rFonts w:ascii="Times New Roman" w:hAnsi="Times New Roman" w:eastAsia="黑体"/>
                <w:bCs/>
                <w:sz w:val="24"/>
              </w:rPr>
            </w:pPr>
            <w:r>
              <w:rPr>
                <w:rFonts w:ascii="Times New Roman" w:eastAsia="黑体"/>
                <w:bCs/>
                <w:sz w:val="24"/>
              </w:rPr>
              <w:t>排名</w:t>
            </w:r>
          </w:p>
        </w:tc>
        <w:tc>
          <w:tcPr>
            <w:tcW w:w="782" w:type="dxa"/>
            <w:noWrap w:val="0"/>
            <w:vAlign w:val="center"/>
          </w:tcPr>
          <w:p>
            <w:pPr>
              <w:widowControl/>
              <w:spacing w:line="300" w:lineRule="exact"/>
              <w:jc w:val="center"/>
              <w:rPr>
                <w:rFonts w:ascii="Times New Roman" w:hAnsi="Times New Roman" w:eastAsia="黑体"/>
                <w:bCs/>
                <w:sz w:val="24"/>
              </w:rPr>
            </w:pPr>
            <w:r>
              <w:rPr>
                <w:rFonts w:ascii="Times New Roman" w:eastAsia="黑体"/>
                <w:bCs/>
                <w:sz w:val="24"/>
              </w:rPr>
              <w:t>省级排名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665" w:type="dxa"/>
            <w:noWrap w:val="0"/>
            <w:vAlign w:val="center"/>
          </w:tcPr>
          <w:p>
            <w:pPr>
              <w:widowControl/>
              <w:jc w:val="center"/>
              <w:rPr>
                <w:rFonts w:ascii="Times New Roman" w:hAnsi="Times New Roman"/>
                <w:bCs/>
                <w:sz w:val="24"/>
              </w:rPr>
            </w:pPr>
            <w:r>
              <w:rPr>
                <w:rFonts w:ascii="Times New Roman"/>
                <w:bCs/>
                <w:sz w:val="24"/>
              </w:rPr>
              <w:t>常州高新区</w:t>
            </w:r>
          </w:p>
        </w:tc>
        <w:tc>
          <w:tcPr>
            <w:tcW w:w="706" w:type="dxa"/>
            <w:noWrap w:val="0"/>
            <w:vAlign w:val="center"/>
          </w:tcPr>
          <w:p>
            <w:pPr>
              <w:jc w:val="center"/>
              <w:rPr>
                <w:rFonts w:ascii="Times New Roman" w:hAnsi="Times New Roman"/>
                <w:sz w:val="22"/>
              </w:rPr>
            </w:pPr>
            <w:r>
              <w:rPr>
                <w:rFonts w:ascii="Times New Roman" w:hAnsi="Times New Roman"/>
                <w:sz w:val="22"/>
              </w:rPr>
              <w:t>4</w:t>
            </w:r>
          </w:p>
        </w:tc>
        <w:tc>
          <w:tcPr>
            <w:tcW w:w="989" w:type="dxa"/>
            <w:noWrap w:val="0"/>
            <w:vAlign w:val="center"/>
          </w:tcPr>
          <w:p>
            <w:pPr>
              <w:jc w:val="center"/>
              <w:rPr>
                <w:rFonts w:ascii="Times New Roman" w:hAnsi="Times New Roman"/>
                <w:sz w:val="22"/>
              </w:rPr>
            </w:pPr>
            <w:r>
              <w:rPr>
                <w:rFonts w:ascii="Times New Roman" w:hAnsi="Times New Roman"/>
                <w:sz w:val="22"/>
              </w:rPr>
              <w:t>25</w:t>
            </w:r>
          </w:p>
        </w:tc>
        <w:tc>
          <w:tcPr>
            <w:tcW w:w="717" w:type="dxa"/>
            <w:noWrap w:val="0"/>
            <w:vAlign w:val="center"/>
          </w:tcPr>
          <w:p>
            <w:pPr>
              <w:jc w:val="center"/>
              <w:rPr>
                <w:rFonts w:ascii="Times New Roman" w:hAnsi="Times New Roman"/>
                <w:sz w:val="22"/>
              </w:rPr>
            </w:pPr>
            <w:r>
              <w:rPr>
                <w:rFonts w:ascii="Times New Roman" w:hAnsi="Times New Roman"/>
                <w:sz w:val="22"/>
              </w:rPr>
              <w:t>——</w:t>
            </w:r>
          </w:p>
        </w:tc>
        <w:tc>
          <w:tcPr>
            <w:tcW w:w="848" w:type="dxa"/>
            <w:noWrap w:val="0"/>
            <w:vAlign w:val="center"/>
          </w:tcPr>
          <w:p>
            <w:pPr>
              <w:jc w:val="center"/>
              <w:rPr>
                <w:rFonts w:ascii="Times New Roman" w:hAnsi="Times New Roman"/>
                <w:sz w:val="22"/>
              </w:rPr>
            </w:pPr>
            <w:r>
              <w:rPr>
                <w:rFonts w:ascii="Times New Roman" w:hAnsi="Times New Roman"/>
                <w:sz w:val="22"/>
              </w:rPr>
              <w:t>3</w:t>
            </w:r>
          </w:p>
        </w:tc>
        <w:tc>
          <w:tcPr>
            <w:tcW w:w="989" w:type="dxa"/>
            <w:noWrap w:val="0"/>
            <w:vAlign w:val="center"/>
          </w:tcPr>
          <w:p>
            <w:pPr>
              <w:jc w:val="center"/>
              <w:rPr>
                <w:rFonts w:ascii="Times New Roman" w:hAnsi="Times New Roman"/>
                <w:sz w:val="22"/>
              </w:rPr>
            </w:pPr>
            <w:r>
              <w:rPr>
                <w:rFonts w:ascii="Times New Roman" w:hAnsi="Times New Roman"/>
                <w:sz w:val="22"/>
              </w:rPr>
              <w:t>28</w:t>
            </w:r>
          </w:p>
        </w:tc>
        <w:tc>
          <w:tcPr>
            <w:tcW w:w="706" w:type="dxa"/>
            <w:noWrap w:val="0"/>
            <w:vAlign w:val="center"/>
          </w:tcPr>
          <w:p>
            <w:pPr>
              <w:jc w:val="center"/>
              <w:rPr>
                <w:rFonts w:ascii="Times New Roman" w:hAnsi="Times New Roman"/>
                <w:sz w:val="22"/>
              </w:rPr>
            </w:pPr>
            <w:r>
              <w:rPr>
                <w:rFonts w:ascii="Times New Roman" w:hAnsi="Times New Roman"/>
                <w:sz w:val="22"/>
              </w:rPr>
              <w:t>——</w:t>
            </w:r>
          </w:p>
        </w:tc>
        <w:tc>
          <w:tcPr>
            <w:tcW w:w="848" w:type="dxa"/>
            <w:noWrap w:val="0"/>
            <w:vAlign w:val="center"/>
          </w:tcPr>
          <w:p>
            <w:pPr>
              <w:jc w:val="center"/>
              <w:rPr>
                <w:rFonts w:ascii="Times New Roman" w:hAnsi="Times New Roman"/>
                <w:sz w:val="22"/>
              </w:rPr>
            </w:pPr>
            <w:r>
              <w:rPr>
                <w:rFonts w:ascii="Times New Roman" w:hAnsi="Times New Roman"/>
                <w:sz w:val="22"/>
              </w:rPr>
              <w:t>5</w:t>
            </w:r>
          </w:p>
        </w:tc>
        <w:tc>
          <w:tcPr>
            <w:tcW w:w="989" w:type="dxa"/>
            <w:noWrap w:val="0"/>
            <w:vAlign w:val="center"/>
          </w:tcPr>
          <w:p>
            <w:pPr>
              <w:jc w:val="center"/>
              <w:rPr>
                <w:rFonts w:ascii="Times New Roman" w:hAnsi="Times New Roman"/>
                <w:sz w:val="22"/>
              </w:rPr>
            </w:pPr>
            <w:r>
              <w:rPr>
                <w:rFonts w:ascii="Times New Roman" w:hAnsi="Times New Roman"/>
                <w:sz w:val="22"/>
              </w:rPr>
              <w:t>24</w:t>
            </w:r>
          </w:p>
        </w:tc>
        <w:tc>
          <w:tcPr>
            <w:tcW w:w="703" w:type="dxa"/>
            <w:noWrap w:val="0"/>
            <w:vAlign w:val="center"/>
          </w:tcPr>
          <w:p>
            <w:pPr>
              <w:jc w:val="center"/>
              <w:rPr>
                <w:rFonts w:ascii="Times New Roman" w:hAnsi="Times New Roman"/>
                <w:sz w:val="22"/>
              </w:rPr>
            </w:pPr>
            <w:r>
              <w:rPr>
                <w:rFonts w:ascii="Times New Roman" w:hAnsi="Times New Roman"/>
                <w:sz w:val="22"/>
              </w:rPr>
              <w:t>——</w:t>
            </w:r>
          </w:p>
        </w:tc>
        <w:tc>
          <w:tcPr>
            <w:tcW w:w="848" w:type="dxa"/>
            <w:noWrap w:val="0"/>
            <w:vAlign w:val="center"/>
          </w:tcPr>
          <w:p>
            <w:pPr>
              <w:jc w:val="center"/>
              <w:rPr>
                <w:rFonts w:ascii="Times New Roman" w:hAnsi="Times New Roman"/>
                <w:sz w:val="22"/>
              </w:rPr>
            </w:pPr>
            <w:r>
              <w:rPr>
                <w:rFonts w:ascii="Times New Roman" w:hAnsi="Times New Roman"/>
                <w:sz w:val="22"/>
              </w:rPr>
              <w:t>3</w:t>
            </w:r>
          </w:p>
        </w:tc>
        <w:tc>
          <w:tcPr>
            <w:tcW w:w="984" w:type="dxa"/>
            <w:noWrap w:val="0"/>
            <w:vAlign w:val="center"/>
          </w:tcPr>
          <w:p>
            <w:pPr>
              <w:jc w:val="center"/>
              <w:rPr>
                <w:rFonts w:ascii="Times New Roman" w:hAnsi="Times New Roman"/>
                <w:sz w:val="22"/>
              </w:rPr>
            </w:pPr>
            <w:r>
              <w:rPr>
                <w:rFonts w:ascii="Times New Roman" w:hAnsi="Times New Roman"/>
                <w:sz w:val="22"/>
              </w:rPr>
              <w:t>23</w:t>
            </w:r>
          </w:p>
        </w:tc>
        <w:tc>
          <w:tcPr>
            <w:tcW w:w="706" w:type="dxa"/>
            <w:noWrap w:val="0"/>
            <w:vAlign w:val="center"/>
          </w:tcPr>
          <w:p>
            <w:pPr>
              <w:jc w:val="center"/>
              <w:rPr>
                <w:rFonts w:ascii="Times New Roman" w:hAnsi="Times New Roman"/>
                <w:sz w:val="22"/>
              </w:rPr>
            </w:pPr>
            <w:r>
              <w:rPr>
                <w:rFonts w:ascii="Times New Roman" w:hAnsi="Times New Roman"/>
                <w:sz w:val="22"/>
              </w:rPr>
              <w:t>——</w:t>
            </w:r>
          </w:p>
        </w:tc>
        <w:tc>
          <w:tcPr>
            <w:tcW w:w="706" w:type="dxa"/>
            <w:noWrap w:val="0"/>
            <w:vAlign w:val="center"/>
          </w:tcPr>
          <w:p>
            <w:pPr>
              <w:jc w:val="center"/>
              <w:rPr>
                <w:rFonts w:ascii="Times New Roman" w:hAnsi="Times New Roman"/>
                <w:sz w:val="22"/>
              </w:rPr>
            </w:pPr>
            <w:r>
              <w:rPr>
                <w:rFonts w:ascii="Times New Roman" w:hAnsi="Times New Roman"/>
                <w:sz w:val="22"/>
              </w:rPr>
              <w:t>4</w:t>
            </w:r>
          </w:p>
        </w:tc>
        <w:tc>
          <w:tcPr>
            <w:tcW w:w="989" w:type="dxa"/>
            <w:noWrap w:val="0"/>
            <w:vAlign w:val="center"/>
          </w:tcPr>
          <w:p>
            <w:pPr>
              <w:jc w:val="center"/>
              <w:rPr>
                <w:rFonts w:ascii="Times New Roman" w:hAnsi="Times New Roman"/>
                <w:sz w:val="22"/>
              </w:rPr>
            </w:pPr>
          </w:p>
        </w:tc>
        <w:tc>
          <w:tcPr>
            <w:tcW w:w="782" w:type="dxa"/>
            <w:noWrap w:val="0"/>
            <w:vAlign w:val="center"/>
          </w:tcPr>
          <w:p>
            <w:pPr>
              <w:jc w:val="center"/>
              <w:rPr>
                <w:rFonts w:ascii="Times New Roman" w:hAnsi="Times New Roman"/>
                <w:sz w:val="22"/>
              </w:rPr>
            </w:pPr>
            <w:r>
              <w:rPr>
                <w:rFonts w:ascii="Times New Roman" w:hAnsi="Times New Roman"/>
                <w:sz w:val="22"/>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665" w:type="dxa"/>
            <w:noWrap w:val="0"/>
            <w:vAlign w:val="center"/>
          </w:tcPr>
          <w:p>
            <w:pPr>
              <w:widowControl/>
              <w:jc w:val="center"/>
              <w:rPr>
                <w:rFonts w:ascii="Times New Roman" w:hAnsi="Times New Roman"/>
                <w:bCs/>
                <w:sz w:val="24"/>
              </w:rPr>
            </w:pPr>
            <w:r>
              <w:rPr>
                <w:rFonts w:ascii="Times New Roman"/>
                <w:bCs/>
                <w:sz w:val="24"/>
              </w:rPr>
              <w:t>武进高新区</w:t>
            </w:r>
          </w:p>
        </w:tc>
        <w:tc>
          <w:tcPr>
            <w:tcW w:w="706" w:type="dxa"/>
            <w:noWrap w:val="0"/>
            <w:vAlign w:val="center"/>
          </w:tcPr>
          <w:p>
            <w:pPr>
              <w:jc w:val="center"/>
              <w:rPr>
                <w:rFonts w:ascii="Times New Roman" w:hAnsi="Times New Roman"/>
                <w:sz w:val="22"/>
              </w:rPr>
            </w:pPr>
            <w:r>
              <w:rPr>
                <w:rFonts w:ascii="Times New Roman" w:hAnsi="Times New Roman"/>
                <w:sz w:val="22"/>
              </w:rPr>
              <w:t>6</w:t>
            </w:r>
          </w:p>
        </w:tc>
        <w:tc>
          <w:tcPr>
            <w:tcW w:w="989" w:type="dxa"/>
            <w:noWrap w:val="0"/>
            <w:vAlign w:val="center"/>
          </w:tcPr>
          <w:p>
            <w:pPr>
              <w:jc w:val="center"/>
              <w:rPr>
                <w:rFonts w:ascii="Times New Roman" w:hAnsi="Times New Roman"/>
                <w:sz w:val="22"/>
              </w:rPr>
            </w:pPr>
            <w:r>
              <w:rPr>
                <w:rFonts w:ascii="Times New Roman" w:hAnsi="Times New Roman"/>
                <w:sz w:val="22"/>
              </w:rPr>
              <w:t>51</w:t>
            </w:r>
          </w:p>
        </w:tc>
        <w:tc>
          <w:tcPr>
            <w:tcW w:w="717" w:type="dxa"/>
            <w:noWrap w:val="0"/>
            <w:vAlign w:val="center"/>
          </w:tcPr>
          <w:p>
            <w:pPr>
              <w:jc w:val="center"/>
              <w:rPr>
                <w:rFonts w:ascii="Times New Roman" w:hAnsi="Times New Roman"/>
                <w:sz w:val="22"/>
              </w:rPr>
            </w:pPr>
            <w:r>
              <w:rPr>
                <w:rFonts w:ascii="Times New Roman" w:hAnsi="Times New Roman"/>
                <w:sz w:val="22"/>
              </w:rPr>
              <w:t>——</w:t>
            </w:r>
          </w:p>
        </w:tc>
        <w:tc>
          <w:tcPr>
            <w:tcW w:w="848" w:type="dxa"/>
            <w:noWrap w:val="0"/>
            <w:vAlign w:val="center"/>
          </w:tcPr>
          <w:p>
            <w:pPr>
              <w:jc w:val="center"/>
              <w:rPr>
                <w:rFonts w:ascii="Times New Roman" w:hAnsi="Times New Roman"/>
                <w:sz w:val="22"/>
              </w:rPr>
            </w:pPr>
            <w:r>
              <w:rPr>
                <w:rFonts w:ascii="Times New Roman" w:hAnsi="Times New Roman"/>
                <w:sz w:val="22"/>
              </w:rPr>
              <w:t>7</w:t>
            </w:r>
          </w:p>
        </w:tc>
        <w:tc>
          <w:tcPr>
            <w:tcW w:w="989" w:type="dxa"/>
            <w:noWrap w:val="0"/>
            <w:vAlign w:val="center"/>
          </w:tcPr>
          <w:p>
            <w:pPr>
              <w:jc w:val="center"/>
              <w:rPr>
                <w:rFonts w:ascii="Times New Roman" w:hAnsi="Times New Roman"/>
                <w:sz w:val="22"/>
              </w:rPr>
            </w:pPr>
            <w:r>
              <w:rPr>
                <w:rFonts w:ascii="Times New Roman" w:hAnsi="Times New Roman"/>
                <w:sz w:val="22"/>
              </w:rPr>
              <w:t>45</w:t>
            </w:r>
          </w:p>
        </w:tc>
        <w:tc>
          <w:tcPr>
            <w:tcW w:w="706" w:type="dxa"/>
            <w:noWrap w:val="0"/>
            <w:vAlign w:val="center"/>
          </w:tcPr>
          <w:p>
            <w:pPr>
              <w:jc w:val="center"/>
              <w:rPr>
                <w:rFonts w:ascii="Times New Roman" w:hAnsi="Times New Roman"/>
                <w:sz w:val="22"/>
              </w:rPr>
            </w:pPr>
            <w:r>
              <w:rPr>
                <w:rFonts w:ascii="Times New Roman" w:hAnsi="Times New Roman"/>
                <w:sz w:val="22"/>
              </w:rPr>
              <w:t>——</w:t>
            </w:r>
          </w:p>
        </w:tc>
        <w:tc>
          <w:tcPr>
            <w:tcW w:w="848" w:type="dxa"/>
            <w:noWrap w:val="0"/>
            <w:vAlign w:val="center"/>
          </w:tcPr>
          <w:p>
            <w:pPr>
              <w:jc w:val="center"/>
              <w:rPr>
                <w:rFonts w:ascii="Times New Roman" w:hAnsi="Times New Roman"/>
                <w:sz w:val="22"/>
              </w:rPr>
            </w:pPr>
            <w:r>
              <w:rPr>
                <w:rFonts w:ascii="Times New Roman" w:hAnsi="Times New Roman"/>
                <w:sz w:val="22"/>
              </w:rPr>
              <w:t>8</w:t>
            </w:r>
          </w:p>
        </w:tc>
        <w:tc>
          <w:tcPr>
            <w:tcW w:w="989" w:type="dxa"/>
            <w:noWrap w:val="0"/>
            <w:vAlign w:val="center"/>
          </w:tcPr>
          <w:p>
            <w:pPr>
              <w:jc w:val="center"/>
              <w:rPr>
                <w:rFonts w:ascii="Times New Roman" w:hAnsi="Times New Roman"/>
                <w:sz w:val="22"/>
              </w:rPr>
            </w:pPr>
            <w:r>
              <w:rPr>
                <w:rFonts w:ascii="Times New Roman" w:hAnsi="Times New Roman"/>
                <w:sz w:val="22"/>
              </w:rPr>
              <w:t>39</w:t>
            </w:r>
          </w:p>
        </w:tc>
        <w:tc>
          <w:tcPr>
            <w:tcW w:w="703" w:type="dxa"/>
            <w:noWrap w:val="0"/>
            <w:vAlign w:val="center"/>
          </w:tcPr>
          <w:p>
            <w:pPr>
              <w:jc w:val="center"/>
              <w:rPr>
                <w:rFonts w:ascii="Times New Roman" w:hAnsi="Times New Roman"/>
                <w:sz w:val="22"/>
              </w:rPr>
            </w:pPr>
            <w:r>
              <w:rPr>
                <w:rFonts w:ascii="Times New Roman" w:hAnsi="Times New Roman"/>
                <w:sz w:val="22"/>
              </w:rPr>
              <w:t>——</w:t>
            </w:r>
          </w:p>
        </w:tc>
        <w:tc>
          <w:tcPr>
            <w:tcW w:w="848" w:type="dxa"/>
            <w:noWrap w:val="0"/>
            <w:vAlign w:val="center"/>
          </w:tcPr>
          <w:p>
            <w:pPr>
              <w:jc w:val="center"/>
              <w:rPr>
                <w:rFonts w:ascii="Times New Roman" w:hAnsi="Times New Roman"/>
                <w:sz w:val="22"/>
              </w:rPr>
            </w:pPr>
            <w:r>
              <w:rPr>
                <w:rFonts w:ascii="Times New Roman" w:hAnsi="Times New Roman"/>
                <w:sz w:val="22"/>
              </w:rPr>
              <w:t>11</w:t>
            </w:r>
          </w:p>
        </w:tc>
        <w:tc>
          <w:tcPr>
            <w:tcW w:w="984" w:type="dxa"/>
            <w:noWrap w:val="0"/>
            <w:vAlign w:val="center"/>
          </w:tcPr>
          <w:p>
            <w:pPr>
              <w:jc w:val="center"/>
              <w:rPr>
                <w:rFonts w:ascii="Times New Roman" w:hAnsi="Times New Roman"/>
                <w:sz w:val="22"/>
              </w:rPr>
            </w:pPr>
            <w:r>
              <w:rPr>
                <w:rFonts w:ascii="Times New Roman" w:hAnsi="Times New Roman"/>
                <w:sz w:val="22"/>
              </w:rPr>
              <w:t>38</w:t>
            </w:r>
          </w:p>
        </w:tc>
        <w:tc>
          <w:tcPr>
            <w:tcW w:w="706" w:type="dxa"/>
            <w:noWrap w:val="0"/>
            <w:vAlign w:val="center"/>
          </w:tcPr>
          <w:p>
            <w:pPr>
              <w:jc w:val="center"/>
              <w:rPr>
                <w:rFonts w:ascii="Times New Roman" w:hAnsi="Times New Roman"/>
                <w:sz w:val="22"/>
              </w:rPr>
            </w:pPr>
            <w:r>
              <w:rPr>
                <w:rFonts w:ascii="Times New Roman" w:hAnsi="Times New Roman"/>
                <w:sz w:val="22"/>
              </w:rPr>
              <w:t>——</w:t>
            </w:r>
          </w:p>
        </w:tc>
        <w:tc>
          <w:tcPr>
            <w:tcW w:w="706" w:type="dxa"/>
            <w:noWrap w:val="0"/>
            <w:vAlign w:val="center"/>
          </w:tcPr>
          <w:p>
            <w:pPr>
              <w:jc w:val="center"/>
              <w:rPr>
                <w:rFonts w:ascii="Times New Roman" w:hAnsi="Times New Roman"/>
                <w:sz w:val="22"/>
              </w:rPr>
            </w:pPr>
            <w:r>
              <w:rPr>
                <w:rFonts w:ascii="Times New Roman" w:hAnsi="Times New Roman"/>
                <w:sz w:val="22"/>
              </w:rPr>
              <w:t>9</w:t>
            </w:r>
          </w:p>
        </w:tc>
        <w:tc>
          <w:tcPr>
            <w:tcW w:w="989" w:type="dxa"/>
            <w:noWrap w:val="0"/>
            <w:vAlign w:val="center"/>
          </w:tcPr>
          <w:p>
            <w:pPr>
              <w:jc w:val="center"/>
              <w:rPr>
                <w:rFonts w:ascii="Times New Roman" w:hAnsi="Times New Roman"/>
                <w:sz w:val="22"/>
              </w:rPr>
            </w:pPr>
          </w:p>
        </w:tc>
        <w:tc>
          <w:tcPr>
            <w:tcW w:w="782" w:type="dxa"/>
            <w:noWrap w:val="0"/>
            <w:vAlign w:val="center"/>
          </w:tcPr>
          <w:p>
            <w:pPr>
              <w:jc w:val="center"/>
              <w:rPr>
                <w:rFonts w:ascii="Times New Roman" w:hAnsi="Times New Roman"/>
                <w:sz w:val="22"/>
              </w:rPr>
            </w:pPr>
            <w:r>
              <w:rPr>
                <w:rFonts w:ascii="Times New Roman" w:hAnsi="Times New Roman"/>
                <w:sz w:val="22"/>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665" w:type="dxa"/>
            <w:noWrap w:val="0"/>
            <w:vAlign w:val="center"/>
          </w:tcPr>
          <w:p>
            <w:pPr>
              <w:widowControl/>
              <w:jc w:val="center"/>
              <w:rPr>
                <w:rFonts w:ascii="Times New Roman" w:hAnsi="Times New Roman"/>
                <w:bCs/>
                <w:sz w:val="24"/>
              </w:rPr>
            </w:pPr>
            <w:r>
              <w:rPr>
                <w:rFonts w:ascii="Times New Roman"/>
                <w:bCs/>
                <w:sz w:val="24"/>
              </w:rPr>
              <w:t>常州经开区</w:t>
            </w:r>
          </w:p>
        </w:tc>
        <w:tc>
          <w:tcPr>
            <w:tcW w:w="706" w:type="dxa"/>
            <w:noWrap w:val="0"/>
            <w:vAlign w:val="center"/>
          </w:tcPr>
          <w:p>
            <w:pPr>
              <w:jc w:val="center"/>
              <w:rPr>
                <w:rFonts w:ascii="Times New Roman" w:hAnsi="Times New Roman"/>
                <w:sz w:val="22"/>
              </w:rPr>
            </w:pPr>
            <w:r>
              <w:rPr>
                <w:rFonts w:ascii="Times New Roman" w:hAnsi="Times New Roman"/>
                <w:sz w:val="22"/>
              </w:rPr>
              <w:t>51</w:t>
            </w:r>
          </w:p>
        </w:tc>
        <w:tc>
          <w:tcPr>
            <w:tcW w:w="989" w:type="dxa"/>
            <w:noWrap w:val="0"/>
            <w:vAlign w:val="center"/>
          </w:tcPr>
          <w:p>
            <w:pPr>
              <w:jc w:val="center"/>
              <w:rPr>
                <w:rFonts w:ascii="Times New Roman" w:hAnsi="Times New Roman"/>
                <w:sz w:val="22"/>
              </w:rPr>
            </w:pPr>
            <w:r>
              <w:rPr>
                <w:rFonts w:ascii="Times New Roman" w:hAnsi="Times New Roman"/>
                <w:sz w:val="22"/>
              </w:rPr>
              <w:t>——</w:t>
            </w:r>
          </w:p>
        </w:tc>
        <w:tc>
          <w:tcPr>
            <w:tcW w:w="717" w:type="dxa"/>
            <w:noWrap w:val="0"/>
            <w:vAlign w:val="center"/>
          </w:tcPr>
          <w:p>
            <w:pPr>
              <w:jc w:val="center"/>
              <w:rPr>
                <w:rFonts w:ascii="Times New Roman" w:hAnsi="Times New Roman"/>
                <w:sz w:val="22"/>
              </w:rPr>
            </w:pPr>
            <w:r>
              <w:rPr>
                <w:rFonts w:ascii="Times New Roman" w:hAnsi="Times New Roman"/>
                <w:sz w:val="22"/>
              </w:rPr>
              <w:t>26</w:t>
            </w:r>
          </w:p>
        </w:tc>
        <w:tc>
          <w:tcPr>
            <w:tcW w:w="848" w:type="dxa"/>
            <w:noWrap w:val="0"/>
            <w:vAlign w:val="center"/>
          </w:tcPr>
          <w:p>
            <w:pPr>
              <w:jc w:val="center"/>
              <w:rPr>
                <w:rFonts w:ascii="Times New Roman" w:hAnsi="Times New Roman"/>
                <w:sz w:val="22"/>
              </w:rPr>
            </w:pPr>
            <w:r>
              <w:rPr>
                <w:rFonts w:ascii="Times New Roman" w:hAnsi="Times New Roman"/>
                <w:sz w:val="22"/>
              </w:rPr>
              <w:t>36</w:t>
            </w:r>
          </w:p>
        </w:tc>
        <w:tc>
          <w:tcPr>
            <w:tcW w:w="989" w:type="dxa"/>
            <w:noWrap w:val="0"/>
            <w:vAlign w:val="center"/>
          </w:tcPr>
          <w:p>
            <w:pPr>
              <w:jc w:val="center"/>
              <w:rPr>
                <w:rFonts w:ascii="Times New Roman" w:hAnsi="Times New Roman"/>
                <w:sz w:val="22"/>
              </w:rPr>
            </w:pPr>
            <w:r>
              <w:rPr>
                <w:rFonts w:ascii="Times New Roman" w:hAnsi="Times New Roman"/>
                <w:sz w:val="22"/>
              </w:rPr>
              <w:t>——</w:t>
            </w:r>
          </w:p>
        </w:tc>
        <w:tc>
          <w:tcPr>
            <w:tcW w:w="706" w:type="dxa"/>
            <w:noWrap w:val="0"/>
            <w:vAlign w:val="center"/>
          </w:tcPr>
          <w:p>
            <w:pPr>
              <w:jc w:val="center"/>
              <w:rPr>
                <w:rFonts w:ascii="Times New Roman" w:hAnsi="Times New Roman"/>
                <w:sz w:val="22"/>
              </w:rPr>
            </w:pPr>
            <w:r>
              <w:rPr>
                <w:rFonts w:ascii="Times New Roman" w:hAnsi="Times New Roman"/>
                <w:sz w:val="22"/>
              </w:rPr>
              <w:t>13</w:t>
            </w:r>
          </w:p>
        </w:tc>
        <w:tc>
          <w:tcPr>
            <w:tcW w:w="848" w:type="dxa"/>
            <w:noWrap w:val="0"/>
            <w:vAlign w:val="center"/>
          </w:tcPr>
          <w:p>
            <w:pPr>
              <w:jc w:val="center"/>
              <w:rPr>
                <w:rFonts w:ascii="Times New Roman" w:hAnsi="Times New Roman"/>
                <w:sz w:val="22"/>
              </w:rPr>
            </w:pPr>
            <w:r>
              <w:rPr>
                <w:rFonts w:ascii="Times New Roman" w:hAnsi="Times New Roman"/>
                <w:sz w:val="22"/>
              </w:rPr>
              <w:t>31</w:t>
            </w:r>
          </w:p>
        </w:tc>
        <w:tc>
          <w:tcPr>
            <w:tcW w:w="989" w:type="dxa"/>
            <w:noWrap w:val="0"/>
            <w:vAlign w:val="center"/>
          </w:tcPr>
          <w:p>
            <w:pPr>
              <w:jc w:val="center"/>
              <w:rPr>
                <w:rFonts w:ascii="Times New Roman" w:hAnsi="Times New Roman"/>
                <w:sz w:val="22"/>
              </w:rPr>
            </w:pPr>
            <w:r>
              <w:rPr>
                <w:rFonts w:ascii="Times New Roman" w:hAnsi="Times New Roman"/>
                <w:sz w:val="22"/>
              </w:rPr>
              <w:t>——</w:t>
            </w:r>
          </w:p>
        </w:tc>
        <w:tc>
          <w:tcPr>
            <w:tcW w:w="703" w:type="dxa"/>
            <w:noWrap w:val="0"/>
            <w:vAlign w:val="center"/>
          </w:tcPr>
          <w:p>
            <w:pPr>
              <w:jc w:val="center"/>
              <w:rPr>
                <w:rFonts w:ascii="Times New Roman" w:hAnsi="Times New Roman"/>
                <w:sz w:val="22"/>
              </w:rPr>
            </w:pPr>
            <w:r>
              <w:rPr>
                <w:rFonts w:ascii="Times New Roman" w:hAnsi="Times New Roman"/>
                <w:sz w:val="22"/>
              </w:rPr>
              <w:t>9</w:t>
            </w:r>
          </w:p>
        </w:tc>
        <w:tc>
          <w:tcPr>
            <w:tcW w:w="848" w:type="dxa"/>
            <w:noWrap w:val="0"/>
            <w:vAlign w:val="center"/>
          </w:tcPr>
          <w:p>
            <w:pPr>
              <w:jc w:val="center"/>
              <w:rPr>
                <w:rFonts w:ascii="Times New Roman" w:hAnsi="Times New Roman"/>
                <w:sz w:val="22"/>
              </w:rPr>
            </w:pPr>
            <w:r>
              <w:rPr>
                <w:rFonts w:ascii="Times New Roman" w:hAnsi="Times New Roman"/>
                <w:sz w:val="22"/>
              </w:rPr>
              <w:t>29</w:t>
            </w:r>
          </w:p>
        </w:tc>
        <w:tc>
          <w:tcPr>
            <w:tcW w:w="984" w:type="dxa"/>
            <w:noWrap w:val="0"/>
            <w:vAlign w:val="center"/>
          </w:tcPr>
          <w:p>
            <w:pPr>
              <w:jc w:val="center"/>
              <w:rPr>
                <w:rFonts w:ascii="Times New Roman" w:hAnsi="Times New Roman"/>
                <w:sz w:val="22"/>
              </w:rPr>
            </w:pPr>
            <w:r>
              <w:rPr>
                <w:rFonts w:ascii="Times New Roman" w:hAnsi="Times New Roman"/>
                <w:sz w:val="22"/>
              </w:rPr>
              <w:t>——</w:t>
            </w:r>
          </w:p>
        </w:tc>
        <w:tc>
          <w:tcPr>
            <w:tcW w:w="706" w:type="dxa"/>
            <w:noWrap w:val="0"/>
            <w:vAlign w:val="center"/>
          </w:tcPr>
          <w:p>
            <w:pPr>
              <w:jc w:val="center"/>
              <w:rPr>
                <w:rFonts w:ascii="Times New Roman" w:hAnsi="Times New Roman"/>
                <w:sz w:val="22"/>
              </w:rPr>
            </w:pPr>
            <w:r>
              <w:rPr>
                <w:rFonts w:ascii="Times New Roman" w:hAnsi="Times New Roman"/>
                <w:sz w:val="22"/>
              </w:rPr>
              <w:t>6</w:t>
            </w:r>
          </w:p>
        </w:tc>
        <w:tc>
          <w:tcPr>
            <w:tcW w:w="706" w:type="dxa"/>
            <w:noWrap w:val="0"/>
            <w:vAlign w:val="center"/>
          </w:tcPr>
          <w:p>
            <w:pPr>
              <w:jc w:val="center"/>
              <w:rPr>
                <w:rFonts w:ascii="Times New Roman" w:hAnsi="Times New Roman"/>
                <w:sz w:val="22"/>
              </w:rPr>
            </w:pPr>
            <w:r>
              <w:rPr>
                <w:rFonts w:ascii="Times New Roman" w:hAnsi="Times New Roman"/>
                <w:sz w:val="22"/>
              </w:rPr>
              <w:t>24</w:t>
            </w:r>
          </w:p>
        </w:tc>
        <w:tc>
          <w:tcPr>
            <w:tcW w:w="989" w:type="dxa"/>
            <w:noWrap w:val="0"/>
            <w:vAlign w:val="center"/>
          </w:tcPr>
          <w:p>
            <w:pPr>
              <w:jc w:val="center"/>
              <w:rPr>
                <w:rFonts w:ascii="Times New Roman" w:hAnsi="Times New Roman"/>
                <w:sz w:val="22"/>
              </w:rPr>
            </w:pPr>
            <w:r>
              <w:rPr>
                <w:rFonts w:ascii="Times New Roman" w:hAnsi="Times New Roman"/>
                <w:sz w:val="22"/>
              </w:rPr>
              <w:t>——</w:t>
            </w:r>
          </w:p>
        </w:tc>
        <w:tc>
          <w:tcPr>
            <w:tcW w:w="782" w:type="dxa"/>
            <w:noWrap w:val="0"/>
            <w:vAlign w:val="center"/>
          </w:tcPr>
          <w:p>
            <w:pPr>
              <w:jc w:val="center"/>
              <w:rPr>
                <w:rFonts w:ascii="Times New Roman" w:hAnsi="Times New Roman"/>
                <w:sz w:val="22"/>
              </w:rPr>
            </w:pPr>
            <w:r>
              <w:rPr>
                <w:rFonts w:ascii="Times New Roman" w:hAnsi="Times New Roman"/>
                <w:sz w:val="22"/>
              </w:rP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665" w:type="dxa"/>
            <w:noWrap w:val="0"/>
            <w:vAlign w:val="center"/>
          </w:tcPr>
          <w:p>
            <w:pPr>
              <w:widowControl/>
              <w:jc w:val="center"/>
              <w:rPr>
                <w:rFonts w:ascii="Times New Roman" w:hAnsi="Times New Roman"/>
                <w:bCs/>
                <w:sz w:val="24"/>
              </w:rPr>
            </w:pPr>
            <w:r>
              <w:rPr>
                <w:rFonts w:ascii="Times New Roman"/>
                <w:bCs/>
                <w:sz w:val="24"/>
              </w:rPr>
              <w:t>金坛经开区</w:t>
            </w:r>
          </w:p>
        </w:tc>
        <w:tc>
          <w:tcPr>
            <w:tcW w:w="706" w:type="dxa"/>
            <w:noWrap w:val="0"/>
            <w:vAlign w:val="center"/>
          </w:tcPr>
          <w:p>
            <w:pPr>
              <w:jc w:val="center"/>
              <w:rPr>
                <w:rFonts w:ascii="Times New Roman" w:hAnsi="Times New Roman"/>
                <w:sz w:val="22"/>
              </w:rPr>
            </w:pPr>
            <w:r>
              <w:rPr>
                <w:rFonts w:ascii="Times New Roman" w:hAnsi="Times New Roman"/>
                <w:sz w:val="22"/>
              </w:rPr>
              <w:t>45</w:t>
            </w:r>
          </w:p>
        </w:tc>
        <w:tc>
          <w:tcPr>
            <w:tcW w:w="989" w:type="dxa"/>
            <w:noWrap w:val="0"/>
            <w:vAlign w:val="center"/>
          </w:tcPr>
          <w:p>
            <w:pPr>
              <w:jc w:val="center"/>
              <w:rPr>
                <w:rFonts w:ascii="Times New Roman" w:hAnsi="Times New Roman"/>
                <w:sz w:val="22"/>
              </w:rPr>
            </w:pPr>
            <w:r>
              <w:rPr>
                <w:rFonts w:ascii="Times New Roman" w:hAnsi="Times New Roman"/>
                <w:sz w:val="22"/>
              </w:rPr>
              <w:t>——</w:t>
            </w:r>
          </w:p>
        </w:tc>
        <w:tc>
          <w:tcPr>
            <w:tcW w:w="717" w:type="dxa"/>
            <w:noWrap w:val="0"/>
            <w:vAlign w:val="center"/>
          </w:tcPr>
          <w:p>
            <w:pPr>
              <w:jc w:val="center"/>
              <w:rPr>
                <w:rFonts w:ascii="Times New Roman" w:hAnsi="Times New Roman"/>
                <w:sz w:val="22"/>
              </w:rPr>
            </w:pPr>
            <w:r>
              <w:rPr>
                <w:rFonts w:ascii="Times New Roman" w:hAnsi="Times New Roman"/>
                <w:sz w:val="22"/>
              </w:rPr>
              <w:t>20</w:t>
            </w:r>
          </w:p>
        </w:tc>
        <w:tc>
          <w:tcPr>
            <w:tcW w:w="848" w:type="dxa"/>
            <w:noWrap w:val="0"/>
            <w:vAlign w:val="center"/>
          </w:tcPr>
          <w:p>
            <w:pPr>
              <w:jc w:val="center"/>
              <w:rPr>
                <w:rFonts w:ascii="Times New Roman" w:hAnsi="Times New Roman"/>
                <w:sz w:val="22"/>
              </w:rPr>
            </w:pPr>
            <w:r>
              <w:rPr>
                <w:rFonts w:ascii="Times New Roman" w:hAnsi="Times New Roman"/>
                <w:sz w:val="22"/>
              </w:rPr>
              <w:t>68</w:t>
            </w:r>
          </w:p>
        </w:tc>
        <w:tc>
          <w:tcPr>
            <w:tcW w:w="989" w:type="dxa"/>
            <w:noWrap w:val="0"/>
            <w:vAlign w:val="center"/>
          </w:tcPr>
          <w:p>
            <w:pPr>
              <w:jc w:val="center"/>
              <w:rPr>
                <w:rFonts w:ascii="Times New Roman" w:hAnsi="Times New Roman"/>
                <w:sz w:val="22"/>
              </w:rPr>
            </w:pPr>
            <w:r>
              <w:rPr>
                <w:rFonts w:ascii="Times New Roman" w:hAnsi="Times New Roman"/>
                <w:sz w:val="22"/>
              </w:rPr>
              <w:t>——</w:t>
            </w:r>
          </w:p>
        </w:tc>
        <w:tc>
          <w:tcPr>
            <w:tcW w:w="706" w:type="dxa"/>
            <w:noWrap w:val="0"/>
            <w:vAlign w:val="center"/>
          </w:tcPr>
          <w:p>
            <w:pPr>
              <w:jc w:val="center"/>
              <w:rPr>
                <w:rFonts w:ascii="Times New Roman" w:hAnsi="Times New Roman"/>
                <w:sz w:val="22"/>
              </w:rPr>
            </w:pPr>
            <w:r>
              <w:rPr>
                <w:rFonts w:ascii="Times New Roman" w:hAnsi="Times New Roman"/>
                <w:sz w:val="22"/>
              </w:rPr>
              <w:t>41</w:t>
            </w:r>
          </w:p>
        </w:tc>
        <w:tc>
          <w:tcPr>
            <w:tcW w:w="848" w:type="dxa"/>
            <w:noWrap w:val="0"/>
            <w:vAlign w:val="center"/>
          </w:tcPr>
          <w:p>
            <w:pPr>
              <w:jc w:val="center"/>
              <w:rPr>
                <w:rFonts w:ascii="Times New Roman" w:hAnsi="Times New Roman"/>
                <w:sz w:val="22"/>
              </w:rPr>
            </w:pPr>
            <w:r>
              <w:rPr>
                <w:rFonts w:ascii="Times New Roman" w:hAnsi="Times New Roman"/>
                <w:sz w:val="22"/>
              </w:rPr>
              <w:t>41</w:t>
            </w:r>
          </w:p>
        </w:tc>
        <w:tc>
          <w:tcPr>
            <w:tcW w:w="989" w:type="dxa"/>
            <w:noWrap w:val="0"/>
            <w:vAlign w:val="center"/>
          </w:tcPr>
          <w:p>
            <w:pPr>
              <w:jc w:val="center"/>
              <w:rPr>
                <w:rFonts w:ascii="Times New Roman" w:hAnsi="Times New Roman"/>
                <w:sz w:val="22"/>
              </w:rPr>
            </w:pPr>
            <w:r>
              <w:rPr>
                <w:rFonts w:ascii="Times New Roman" w:hAnsi="Times New Roman"/>
                <w:sz w:val="22"/>
              </w:rPr>
              <w:t>——</w:t>
            </w:r>
          </w:p>
        </w:tc>
        <w:tc>
          <w:tcPr>
            <w:tcW w:w="703" w:type="dxa"/>
            <w:noWrap w:val="0"/>
            <w:vAlign w:val="center"/>
          </w:tcPr>
          <w:p>
            <w:pPr>
              <w:jc w:val="center"/>
              <w:rPr>
                <w:rFonts w:ascii="Times New Roman" w:hAnsi="Times New Roman"/>
                <w:sz w:val="22"/>
              </w:rPr>
            </w:pPr>
            <w:r>
              <w:rPr>
                <w:rFonts w:ascii="Times New Roman" w:hAnsi="Times New Roman"/>
                <w:sz w:val="22"/>
              </w:rPr>
              <w:t>16</w:t>
            </w:r>
          </w:p>
        </w:tc>
        <w:tc>
          <w:tcPr>
            <w:tcW w:w="848" w:type="dxa"/>
            <w:noWrap w:val="0"/>
            <w:vAlign w:val="center"/>
          </w:tcPr>
          <w:p>
            <w:pPr>
              <w:jc w:val="center"/>
              <w:rPr>
                <w:rFonts w:ascii="Times New Roman" w:hAnsi="Times New Roman"/>
                <w:sz w:val="22"/>
              </w:rPr>
            </w:pPr>
            <w:r>
              <w:rPr>
                <w:rFonts w:ascii="Times New Roman" w:hAnsi="Times New Roman"/>
                <w:sz w:val="22"/>
              </w:rPr>
              <w:t>40</w:t>
            </w:r>
          </w:p>
        </w:tc>
        <w:tc>
          <w:tcPr>
            <w:tcW w:w="984" w:type="dxa"/>
            <w:noWrap w:val="0"/>
            <w:vAlign w:val="center"/>
          </w:tcPr>
          <w:p>
            <w:pPr>
              <w:jc w:val="center"/>
              <w:rPr>
                <w:rFonts w:ascii="Times New Roman" w:hAnsi="Times New Roman"/>
                <w:sz w:val="22"/>
              </w:rPr>
            </w:pPr>
            <w:r>
              <w:rPr>
                <w:rFonts w:ascii="Times New Roman" w:hAnsi="Times New Roman"/>
                <w:sz w:val="22"/>
              </w:rPr>
              <w:t>——</w:t>
            </w:r>
          </w:p>
        </w:tc>
        <w:tc>
          <w:tcPr>
            <w:tcW w:w="706" w:type="dxa"/>
            <w:noWrap w:val="0"/>
            <w:vAlign w:val="center"/>
          </w:tcPr>
          <w:p>
            <w:pPr>
              <w:jc w:val="center"/>
              <w:rPr>
                <w:rFonts w:ascii="Times New Roman" w:hAnsi="Times New Roman"/>
                <w:sz w:val="22"/>
              </w:rPr>
            </w:pPr>
            <w:r>
              <w:rPr>
                <w:rFonts w:ascii="Times New Roman" w:hAnsi="Times New Roman"/>
                <w:sz w:val="22"/>
              </w:rPr>
              <w:t>14</w:t>
            </w:r>
          </w:p>
        </w:tc>
        <w:tc>
          <w:tcPr>
            <w:tcW w:w="706" w:type="dxa"/>
            <w:noWrap w:val="0"/>
            <w:vAlign w:val="center"/>
          </w:tcPr>
          <w:p>
            <w:pPr>
              <w:jc w:val="center"/>
              <w:rPr>
                <w:rFonts w:ascii="Times New Roman" w:hAnsi="Times New Roman"/>
                <w:sz w:val="22"/>
              </w:rPr>
            </w:pPr>
            <w:r>
              <w:rPr>
                <w:rFonts w:ascii="Times New Roman" w:hAnsi="Times New Roman"/>
                <w:sz w:val="22"/>
              </w:rPr>
              <w:t>36</w:t>
            </w:r>
          </w:p>
        </w:tc>
        <w:tc>
          <w:tcPr>
            <w:tcW w:w="989" w:type="dxa"/>
            <w:noWrap w:val="0"/>
            <w:vAlign w:val="center"/>
          </w:tcPr>
          <w:p>
            <w:pPr>
              <w:jc w:val="center"/>
              <w:rPr>
                <w:rFonts w:ascii="Times New Roman" w:hAnsi="Times New Roman"/>
                <w:sz w:val="22"/>
              </w:rPr>
            </w:pPr>
            <w:r>
              <w:rPr>
                <w:rFonts w:ascii="Times New Roman" w:hAnsi="Times New Roman"/>
                <w:sz w:val="22"/>
              </w:rPr>
              <w:t>——</w:t>
            </w:r>
          </w:p>
        </w:tc>
        <w:tc>
          <w:tcPr>
            <w:tcW w:w="782" w:type="dxa"/>
            <w:noWrap w:val="0"/>
            <w:vAlign w:val="center"/>
          </w:tcPr>
          <w:p>
            <w:pPr>
              <w:jc w:val="center"/>
              <w:rPr>
                <w:rFonts w:ascii="Times New Roman" w:hAnsi="Times New Roman"/>
                <w:sz w:val="22"/>
              </w:rPr>
            </w:pPr>
            <w:r>
              <w:rPr>
                <w:rFonts w:ascii="Times New Roman" w:hAnsi="Times New Roman"/>
                <w:sz w:val="22"/>
              </w:rPr>
              <w:t>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665" w:type="dxa"/>
            <w:noWrap w:val="0"/>
            <w:vAlign w:val="center"/>
          </w:tcPr>
          <w:p>
            <w:pPr>
              <w:widowControl/>
              <w:jc w:val="center"/>
              <w:rPr>
                <w:rFonts w:ascii="Times New Roman" w:hAnsi="Times New Roman"/>
                <w:bCs/>
                <w:sz w:val="24"/>
              </w:rPr>
            </w:pPr>
            <w:r>
              <w:rPr>
                <w:rFonts w:ascii="Times New Roman"/>
                <w:bCs/>
                <w:sz w:val="24"/>
              </w:rPr>
              <w:t>溧阳高新区</w:t>
            </w:r>
          </w:p>
        </w:tc>
        <w:tc>
          <w:tcPr>
            <w:tcW w:w="706" w:type="dxa"/>
            <w:noWrap w:val="0"/>
            <w:vAlign w:val="center"/>
          </w:tcPr>
          <w:p>
            <w:pPr>
              <w:jc w:val="center"/>
              <w:rPr>
                <w:rFonts w:ascii="Times New Roman" w:hAnsi="Times New Roman"/>
                <w:sz w:val="22"/>
              </w:rPr>
            </w:pPr>
            <w:r>
              <w:rPr>
                <w:rFonts w:ascii="Times New Roman" w:hAnsi="Times New Roman"/>
                <w:sz w:val="22"/>
              </w:rPr>
              <w:t>27</w:t>
            </w:r>
          </w:p>
        </w:tc>
        <w:tc>
          <w:tcPr>
            <w:tcW w:w="989" w:type="dxa"/>
            <w:noWrap w:val="0"/>
            <w:vAlign w:val="center"/>
          </w:tcPr>
          <w:p>
            <w:pPr>
              <w:jc w:val="center"/>
              <w:rPr>
                <w:rFonts w:ascii="Times New Roman" w:hAnsi="Times New Roman"/>
                <w:sz w:val="22"/>
              </w:rPr>
            </w:pPr>
            <w:r>
              <w:rPr>
                <w:rFonts w:ascii="Times New Roman" w:hAnsi="Times New Roman"/>
                <w:sz w:val="22"/>
              </w:rPr>
              <w:t>——</w:t>
            </w:r>
          </w:p>
        </w:tc>
        <w:tc>
          <w:tcPr>
            <w:tcW w:w="717" w:type="dxa"/>
            <w:noWrap w:val="0"/>
            <w:vAlign w:val="center"/>
          </w:tcPr>
          <w:p>
            <w:pPr>
              <w:jc w:val="center"/>
              <w:rPr>
                <w:rFonts w:ascii="Times New Roman" w:hAnsi="Times New Roman"/>
                <w:sz w:val="22"/>
              </w:rPr>
            </w:pPr>
            <w:r>
              <w:rPr>
                <w:rFonts w:ascii="Times New Roman" w:hAnsi="Times New Roman"/>
                <w:sz w:val="22"/>
              </w:rPr>
              <w:t>8</w:t>
            </w:r>
          </w:p>
        </w:tc>
        <w:tc>
          <w:tcPr>
            <w:tcW w:w="848" w:type="dxa"/>
            <w:noWrap w:val="0"/>
            <w:vAlign w:val="center"/>
          </w:tcPr>
          <w:p>
            <w:pPr>
              <w:jc w:val="center"/>
              <w:rPr>
                <w:rFonts w:ascii="Times New Roman" w:hAnsi="Times New Roman"/>
                <w:sz w:val="22"/>
              </w:rPr>
            </w:pPr>
            <w:r>
              <w:rPr>
                <w:rFonts w:ascii="Times New Roman" w:hAnsi="Times New Roman"/>
                <w:sz w:val="22"/>
              </w:rPr>
              <w:t>15</w:t>
            </w:r>
          </w:p>
        </w:tc>
        <w:tc>
          <w:tcPr>
            <w:tcW w:w="989" w:type="dxa"/>
            <w:noWrap w:val="0"/>
            <w:vAlign w:val="center"/>
          </w:tcPr>
          <w:p>
            <w:pPr>
              <w:jc w:val="center"/>
              <w:rPr>
                <w:rFonts w:ascii="Times New Roman" w:hAnsi="Times New Roman"/>
                <w:sz w:val="22"/>
              </w:rPr>
            </w:pPr>
            <w:r>
              <w:rPr>
                <w:rFonts w:ascii="Times New Roman" w:hAnsi="Times New Roman"/>
                <w:sz w:val="22"/>
              </w:rPr>
              <w:t>——</w:t>
            </w:r>
          </w:p>
        </w:tc>
        <w:tc>
          <w:tcPr>
            <w:tcW w:w="706" w:type="dxa"/>
            <w:noWrap w:val="0"/>
            <w:vAlign w:val="center"/>
          </w:tcPr>
          <w:p>
            <w:pPr>
              <w:jc w:val="center"/>
              <w:rPr>
                <w:rFonts w:ascii="Times New Roman" w:hAnsi="Times New Roman"/>
                <w:sz w:val="22"/>
              </w:rPr>
            </w:pPr>
            <w:r>
              <w:rPr>
                <w:rFonts w:ascii="Times New Roman" w:hAnsi="Times New Roman"/>
                <w:sz w:val="22"/>
              </w:rPr>
              <w:t>2</w:t>
            </w:r>
          </w:p>
        </w:tc>
        <w:tc>
          <w:tcPr>
            <w:tcW w:w="848" w:type="dxa"/>
            <w:noWrap w:val="0"/>
            <w:vAlign w:val="center"/>
          </w:tcPr>
          <w:p>
            <w:pPr>
              <w:jc w:val="center"/>
              <w:rPr>
                <w:rFonts w:ascii="Times New Roman" w:hAnsi="Times New Roman"/>
                <w:sz w:val="22"/>
              </w:rPr>
            </w:pPr>
            <w:r>
              <w:rPr>
                <w:rFonts w:ascii="Times New Roman" w:hAnsi="Times New Roman"/>
                <w:sz w:val="22"/>
              </w:rPr>
              <w:t>13</w:t>
            </w:r>
          </w:p>
        </w:tc>
        <w:tc>
          <w:tcPr>
            <w:tcW w:w="989" w:type="dxa"/>
            <w:noWrap w:val="0"/>
            <w:vAlign w:val="center"/>
          </w:tcPr>
          <w:p>
            <w:pPr>
              <w:jc w:val="center"/>
              <w:rPr>
                <w:rFonts w:ascii="Times New Roman" w:hAnsi="Times New Roman"/>
                <w:sz w:val="22"/>
              </w:rPr>
            </w:pPr>
            <w:r>
              <w:rPr>
                <w:rFonts w:ascii="Times New Roman" w:hAnsi="Times New Roman"/>
                <w:sz w:val="22"/>
              </w:rPr>
              <w:t>——</w:t>
            </w:r>
          </w:p>
        </w:tc>
        <w:tc>
          <w:tcPr>
            <w:tcW w:w="703" w:type="dxa"/>
            <w:noWrap w:val="0"/>
            <w:vAlign w:val="center"/>
          </w:tcPr>
          <w:p>
            <w:pPr>
              <w:jc w:val="center"/>
              <w:rPr>
                <w:rFonts w:ascii="Times New Roman" w:hAnsi="Times New Roman"/>
                <w:sz w:val="22"/>
              </w:rPr>
            </w:pPr>
            <w:r>
              <w:rPr>
                <w:rFonts w:ascii="Times New Roman" w:hAnsi="Times New Roman"/>
                <w:sz w:val="22"/>
              </w:rPr>
              <w:t>1</w:t>
            </w:r>
          </w:p>
        </w:tc>
        <w:tc>
          <w:tcPr>
            <w:tcW w:w="848" w:type="dxa"/>
            <w:noWrap w:val="0"/>
            <w:vAlign w:val="center"/>
          </w:tcPr>
          <w:p>
            <w:pPr>
              <w:jc w:val="center"/>
              <w:rPr>
                <w:rFonts w:ascii="Times New Roman" w:hAnsi="Times New Roman"/>
                <w:sz w:val="22"/>
              </w:rPr>
            </w:pPr>
            <w:r>
              <w:rPr>
                <w:rFonts w:ascii="Times New Roman" w:hAnsi="Times New Roman"/>
                <w:sz w:val="22"/>
              </w:rPr>
              <w:t>14</w:t>
            </w:r>
          </w:p>
        </w:tc>
        <w:tc>
          <w:tcPr>
            <w:tcW w:w="984" w:type="dxa"/>
            <w:noWrap w:val="0"/>
            <w:vAlign w:val="center"/>
          </w:tcPr>
          <w:p>
            <w:pPr>
              <w:jc w:val="center"/>
              <w:rPr>
                <w:rFonts w:ascii="Times New Roman" w:hAnsi="Times New Roman"/>
                <w:sz w:val="22"/>
              </w:rPr>
            </w:pPr>
            <w:r>
              <w:rPr>
                <w:rFonts w:ascii="Times New Roman" w:hAnsi="Times New Roman"/>
                <w:sz w:val="22"/>
              </w:rPr>
              <w:t>——</w:t>
            </w:r>
          </w:p>
        </w:tc>
        <w:tc>
          <w:tcPr>
            <w:tcW w:w="706" w:type="dxa"/>
            <w:noWrap w:val="0"/>
            <w:vAlign w:val="center"/>
          </w:tcPr>
          <w:p>
            <w:pPr>
              <w:jc w:val="center"/>
              <w:rPr>
                <w:rFonts w:ascii="Times New Roman" w:hAnsi="Times New Roman"/>
                <w:sz w:val="22"/>
              </w:rPr>
            </w:pPr>
            <w:r>
              <w:rPr>
                <w:rFonts w:ascii="Times New Roman" w:hAnsi="Times New Roman"/>
                <w:sz w:val="22"/>
              </w:rPr>
              <w:t>1</w:t>
            </w:r>
          </w:p>
        </w:tc>
        <w:tc>
          <w:tcPr>
            <w:tcW w:w="706" w:type="dxa"/>
            <w:noWrap w:val="0"/>
            <w:vAlign w:val="center"/>
          </w:tcPr>
          <w:p>
            <w:pPr>
              <w:jc w:val="center"/>
              <w:rPr>
                <w:rFonts w:ascii="Times New Roman" w:hAnsi="Times New Roman"/>
                <w:sz w:val="22"/>
              </w:rPr>
            </w:pPr>
            <w:r>
              <w:rPr>
                <w:rFonts w:ascii="Times New Roman" w:hAnsi="Times New Roman"/>
                <w:sz w:val="22"/>
              </w:rPr>
              <w:t>14</w:t>
            </w:r>
          </w:p>
        </w:tc>
        <w:tc>
          <w:tcPr>
            <w:tcW w:w="989" w:type="dxa"/>
            <w:noWrap w:val="0"/>
            <w:vAlign w:val="center"/>
          </w:tcPr>
          <w:p>
            <w:pPr>
              <w:jc w:val="center"/>
              <w:rPr>
                <w:rFonts w:ascii="Times New Roman" w:hAnsi="Times New Roman"/>
                <w:sz w:val="22"/>
              </w:rPr>
            </w:pPr>
            <w:r>
              <w:rPr>
                <w:rFonts w:ascii="Times New Roman" w:hAnsi="Times New Roman"/>
                <w:sz w:val="22"/>
              </w:rPr>
              <w:t>——</w:t>
            </w:r>
          </w:p>
        </w:tc>
        <w:tc>
          <w:tcPr>
            <w:tcW w:w="782" w:type="dxa"/>
            <w:noWrap w:val="0"/>
            <w:vAlign w:val="center"/>
          </w:tcPr>
          <w:p>
            <w:pPr>
              <w:jc w:val="center"/>
              <w:rPr>
                <w:rFonts w:ascii="Times New Roman" w:hAnsi="Times New Roman"/>
                <w:sz w:val="22"/>
              </w:rPr>
            </w:pPr>
            <w:r>
              <w:rPr>
                <w:rFonts w:ascii="Times New Roman" w:hAnsi="Times New Roman"/>
                <w:sz w:val="22"/>
              </w:rPr>
              <w:t>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665" w:type="dxa"/>
            <w:noWrap w:val="0"/>
            <w:vAlign w:val="center"/>
          </w:tcPr>
          <w:p>
            <w:pPr>
              <w:widowControl/>
              <w:jc w:val="center"/>
              <w:rPr>
                <w:rFonts w:ascii="Times New Roman" w:hAnsi="Times New Roman"/>
                <w:bCs/>
                <w:sz w:val="24"/>
              </w:rPr>
            </w:pPr>
            <w:r>
              <w:rPr>
                <w:rFonts w:ascii="Times New Roman"/>
                <w:bCs/>
                <w:sz w:val="24"/>
              </w:rPr>
              <w:t>溧阳经开区</w:t>
            </w:r>
          </w:p>
        </w:tc>
        <w:tc>
          <w:tcPr>
            <w:tcW w:w="706" w:type="dxa"/>
            <w:noWrap w:val="0"/>
            <w:vAlign w:val="center"/>
          </w:tcPr>
          <w:p>
            <w:pPr>
              <w:jc w:val="center"/>
              <w:rPr>
                <w:rFonts w:ascii="Times New Roman" w:hAnsi="Times New Roman"/>
                <w:sz w:val="22"/>
              </w:rPr>
            </w:pPr>
            <w:r>
              <w:rPr>
                <w:rFonts w:ascii="Times New Roman" w:hAnsi="Times New Roman"/>
                <w:sz w:val="22"/>
              </w:rPr>
              <w:t>22</w:t>
            </w:r>
          </w:p>
        </w:tc>
        <w:tc>
          <w:tcPr>
            <w:tcW w:w="989" w:type="dxa"/>
            <w:noWrap w:val="0"/>
            <w:vAlign w:val="center"/>
          </w:tcPr>
          <w:p>
            <w:pPr>
              <w:jc w:val="center"/>
              <w:rPr>
                <w:rFonts w:ascii="Times New Roman" w:hAnsi="Times New Roman"/>
                <w:sz w:val="22"/>
              </w:rPr>
            </w:pPr>
            <w:r>
              <w:rPr>
                <w:rFonts w:ascii="Times New Roman" w:hAnsi="Times New Roman"/>
                <w:sz w:val="22"/>
              </w:rPr>
              <w:t>——</w:t>
            </w:r>
          </w:p>
        </w:tc>
        <w:tc>
          <w:tcPr>
            <w:tcW w:w="717" w:type="dxa"/>
            <w:noWrap w:val="0"/>
            <w:vAlign w:val="center"/>
          </w:tcPr>
          <w:p>
            <w:pPr>
              <w:jc w:val="center"/>
              <w:rPr>
                <w:rFonts w:ascii="Times New Roman" w:hAnsi="Times New Roman"/>
                <w:sz w:val="22"/>
              </w:rPr>
            </w:pPr>
            <w:r>
              <w:rPr>
                <w:rFonts w:ascii="Times New Roman" w:hAnsi="Times New Roman"/>
                <w:sz w:val="22"/>
              </w:rPr>
              <w:t>4</w:t>
            </w:r>
          </w:p>
        </w:tc>
        <w:tc>
          <w:tcPr>
            <w:tcW w:w="848" w:type="dxa"/>
            <w:noWrap w:val="0"/>
            <w:vAlign w:val="center"/>
          </w:tcPr>
          <w:p>
            <w:pPr>
              <w:jc w:val="center"/>
              <w:rPr>
                <w:rFonts w:ascii="Times New Roman" w:hAnsi="Times New Roman"/>
                <w:sz w:val="22"/>
              </w:rPr>
            </w:pPr>
            <w:r>
              <w:rPr>
                <w:rFonts w:ascii="Times New Roman" w:hAnsi="Times New Roman"/>
                <w:sz w:val="22"/>
              </w:rPr>
              <w:t>21</w:t>
            </w:r>
          </w:p>
        </w:tc>
        <w:tc>
          <w:tcPr>
            <w:tcW w:w="989" w:type="dxa"/>
            <w:noWrap w:val="0"/>
            <w:vAlign w:val="center"/>
          </w:tcPr>
          <w:p>
            <w:pPr>
              <w:jc w:val="center"/>
              <w:rPr>
                <w:rFonts w:ascii="Times New Roman" w:hAnsi="Times New Roman"/>
                <w:sz w:val="22"/>
              </w:rPr>
            </w:pPr>
            <w:r>
              <w:rPr>
                <w:rFonts w:ascii="Times New Roman" w:hAnsi="Times New Roman"/>
                <w:sz w:val="22"/>
              </w:rPr>
              <w:t>——</w:t>
            </w:r>
          </w:p>
        </w:tc>
        <w:tc>
          <w:tcPr>
            <w:tcW w:w="706" w:type="dxa"/>
            <w:noWrap w:val="0"/>
            <w:vAlign w:val="center"/>
          </w:tcPr>
          <w:p>
            <w:pPr>
              <w:jc w:val="center"/>
              <w:rPr>
                <w:rFonts w:ascii="Times New Roman" w:hAnsi="Times New Roman"/>
                <w:sz w:val="22"/>
              </w:rPr>
            </w:pPr>
            <w:r>
              <w:rPr>
                <w:rFonts w:ascii="Times New Roman" w:hAnsi="Times New Roman"/>
                <w:sz w:val="22"/>
              </w:rPr>
              <w:t>4</w:t>
            </w:r>
          </w:p>
        </w:tc>
        <w:tc>
          <w:tcPr>
            <w:tcW w:w="848" w:type="dxa"/>
            <w:noWrap w:val="0"/>
            <w:vAlign w:val="center"/>
          </w:tcPr>
          <w:p>
            <w:pPr>
              <w:jc w:val="center"/>
              <w:rPr>
                <w:rFonts w:ascii="Times New Roman" w:hAnsi="Times New Roman"/>
                <w:sz w:val="22"/>
              </w:rPr>
            </w:pPr>
            <w:r>
              <w:rPr>
                <w:rFonts w:ascii="Times New Roman" w:hAnsi="Times New Roman"/>
                <w:sz w:val="22"/>
              </w:rPr>
              <w:t>42</w:t>
            </w:r>
          </w:p>
        </w:tc>
        <w:tc>
          <w:tcPr>
            <w:tcW w:w="989" w:type="dxa"/>
            <w:noWrap w:val="0"/>
            <w:vAlign w:val="center"/>
          </w:tcPr>
          <w:p>
            <w:pPr>
              <w:jc w:val="center"/>
              <w:rPr>
                <w:rFonts w:ascii="Times New Roman" w:hAnsi="Times New Roman"/>
                <w:sz w:val="22"/>
              </w:rPr>
            </w:pPr>
            <w:r>
              <w:rPr>
                <w:rFonts w:ascii="Times New Roman" w:hAnsi="Times New Roman"/>
                <w:sz w:val="22"/>
              </w:rPr>
              <w:t>——</w:t>
            </w:r>
          </w:p>
        </w:tc>
        <w:tc>
          <w:tcPr>
            <w:tcW w:w="703" w:type="dxa"/>
            <w:noWrap w:val="0"/>
            <w:vAlign w:val="center"/>
          </w:tcPr>
          <w:p>
            <w:pPr>
              <w:jc w:val="center"/>
              <w:rPr>
                <w:rFonts w:ascii="Times New Roman" w:hAnsi="Times New Roman"/>
                <w:sz w:val="22"/>
              </w:rPr>
            </w:pPr>
            <w:r>
              <w:rPr>
                <w:rFonts w:ascii="Times New Roman" w:hAnsi="Times New Roman"/>
                <w:sz w:val="22"/>
              </w:rPr>
              <w:t>17</w:t>
            </w:r>
          </w:p>
        </w:tc>
        <w:tc>
          <w:tcPr>
            <w:tcW w:w="848" w:type="dxa"/>
            <w:noWrap w:val="0"/>
            <w:vAlign w:val="center"/>
          </w:tcPr>
          <w:p>
            <w:pPr>
              <w:jc w:val="center"/>
              <w:rPr>
                <w:rFonts w:ascii="Times New Roman" w:hAnsi="Times New Roman"/>
                <w:sz w:val="22"/>
              </w:rPr>
            </w:pPr>
            <w:r>
              <w:rPr>
                <w:rFonts w:ascii="Times New Roman" w:hAnsi="Times New Roman"/>
                <w:sz w:val="22"/>
              </w:rPr>
              <w:t>72</w:t>
            </w:r>
          </w:p>
        </w:tc>
        <w:tc>
          <w:tcPr>
            <w:tcW w:w="984" w:type="dxa"/>
            <w:noWrap w:val="0"/>
            <w:vAlign w:val="center"/>
          </w:tcPr>
          <w:p>
            <w:pPr>
              <w:jc w:val="center"/>
              <w:rPr>
                <w:rFonts w:ascii="Times New Roman" w:hAnsi="Times New Roman"/>
                <w:sz w:val="22"/>
              </w:rPr>
            </w:pPr>
            <w:r>
              <w:rPr>
                <w:rFonts w:ascii="Times New Roman" w:hAnsi="Times New Roman"/>
                <w:sz w:val="22"/>
              </w:rPr>
              <w:t>——</w:t>
            </w:r>
          </w:p>
        </w:tc>
        <w:tc>
          <w:tcPr>
            <w:tcW w:w="706" w:type="dxa"/>
            <w:noWrap w:val="0"/>
            <w:vAlign w:val="center"/>
          </w:tcPr>
          <w:p>
            <w:pPr>
              <w:jc w:val="center"/>
              <w:rPr>
                <w:rFonts w:ascii="Times New Roman" w:hAnsi="Times New Roman"/>
                <w:sz w:val="22"/>
              </w:rPr>
            </w:pPr>
            <w:r>
              <w:rPr>
                <w:rFonts w:ascii="Times New Roman" w:hAnsi="Times New Roman"/>
                <w:sz w:val="22"/>
              </w:rPr>
              <w:t>45</w:t>
            </w:r>
          </w:p>
        </w:tc>
        <w:tc>
          <w:tcPr>
            <w:tcW w:w="706" w:type="dxa"/>
            <w:noWrap w:val="0"/>
            <w:vAlign w:val="center"/>
          </w:tcPr>
          <w:p>
            <w:pPr>
              <w:jc w:val="center"/>
              <w:rPr>
                <w:rFonts w:ascii="Times New Roman" w:hAnsi="Times New Roman"/>
                <w:sz w:val="22"/>
              </w:rPr>
            </w:pPr>
            <w:r>
              <w:rPr>
                <w:rFonts w:ascii="Times New Roman" w:hAnsi="Times New Roman"/>
                <w:sz w:val="22"/>
              </w:rPr>
              <w:t>61</w:t>
            </w:r>
          </w:p>
        </w:tc>
        <w:tc>
          <w:tcPr>
            <w:tcW w:w="989" w:type="dxa"/>
            <w:noWrap w:val="0"/>
            <w:vAlign w:val="center"/>
          </w:tcPr>
          <w:p>
            <w:pPr>
              <w:jc w:val="center"/>
              <w:rPr>
                <w:rFonts w:ascii="Times New Roman" w:hAnsi="Times New Roman"/>
                <w:sz w:val="22"/>
              </w:rPr>
            </w:pPr>
            <w:r>
              <w:rPr>
                <w:rFonts w:ascii="Times New Roman" w:hAnsi="Times New Roman"/>
                <w:sz w:val="22"/>
              </w:rPr>
              <w:t>——</w:t>
            </w:r>
          </w:p>
        </w:tc>
        <w:tc>
          <w:tcPr>
            <w:tcW w:w="782" w:type="dxa"/>
            <w:noWrap w:val="0"/>
            <w:vAlign w:val="center"/>
          </w:tcPr>
          <w:p>
            <w:pPr>
              <w:jc w:val="center"/>
              <w:rPr>
                <w:rFonts w:ascii="Times New Roman" w:hAnsi="Times New Roman"/>
                <w:sz w:val="22"/>
              </w:rPr>
            </w:pPr>
            <w:r>
              <w:rPr>
                <w:rFonts w:ascii="Times New Roman" w:hAnsi="Times New Roman"/>
                <w:sz w:val="22"/>
              </w:rPr>
              <w:t>34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665" w:type="dxa"/>
            <w:noWrap w:val="0"/>
            <w:vAlign w:val="center"/>
          </w:tcPr>
          <w:p>
            <w:pPr>
              <w:widowControl/>
              <w:jc w:val="center"/>
              <w:rPr>
                <w:rFonts w:ascii="Times New Roman" w:hAnsi="Times New Roman"/>
                <w:bCs/>
                <w:sz w:val="24"/>
              </w:rPr>
            </w:pPr>
            <w:r>
              <w:rPr>
                <w:rFonts w:ascii="Times New Roman"/>
                <w:bCs/>
                <w:sz w:val="24"/>
              </w:rPr>
              <w:t>滨江经开区</w:t>
            </w:r>
          </w:p>
        </w:tc>
        <w:tc>
          <w:tcPr>
            <w:tcW w:w="706" w:type="dxa"/>
            <w:noWrap w:val="0"/>
            <w:vAlign w:val="center"/>
          </w:tcPr>
          <w:p>
            <w:pPr>
              <w:jc w:val="center"/>
              <w:rPr>
                <w:rFonts w:ascii="Times New Roman" w:hAnsi="Times New Roman"/>
                <w:sz w:val="22"/>
              </w:rPr>
            </w:pPr>
            <w:r>
              <w:rPr>
                <w:rFonts w:ascii="Times New Roman" w:hAnsi="Times New Roman"/>
                <w:sz w:val="22"/>
              </w:rPr>
              <w:t>79</w:t>
            </w:r>
          </w:p>
        </w:tc>
        <w:tc>
          <w:tcPr>
            <w:tcW w:w="989" w:type="dxa"/>
            <w:noWrap w:val="0"/>
            <w:vAlign w:val="center"/>
          </w:tcPr>
          <w:p>
            <w:pPr>
              <w:jc w:val="center"/>
              <w:rPr>
                <w:rFonts w:ascii="Times New Roman" w:hAnsi="Times New Roman"/>
                <w:sz w:val="22"/>
              </w:rPr>
            </w:pPr>
            <w:r>
              <w:rPr>
                <w:rFonts w:ascii="Times New Roman" w:hAnsi="Times New Roman"/>
                <w:sz w:val="22"/>
              </w:rPr>
              <w:t>——</w:t>
            </w:r>
          </w:p>
        </w:tc>
        <w:tc>
          <w:tcPr>
            <w:tcW w:w="717" w:type="dxa"/>
            <w:noWrap w:val="0"/>
            <w:vAlign w:val="center"/>
          </w:tcPr>
          <w:p>
            <w:pPr>
              <w:jc w:val="center"/>
              <w:rPr>
                <w:rFonts w:ascii="Times New Roman" w:hAnsi="Times New Roman"/>
                <w:sz w:val="22"/>
              </w:rPr>
            </w:pPr>
            <w:r>
              <w:rPr>
                <w:rFonts w:ascii="Times New Roman" w:hAnsi="Times New Roman"/>
                <w:sz w:val="22"/>
              </w:rPr>
              <w:t>52</w:t>
            </w:r>
          </w:p>
        </w:tc>
        <w:tc>
          <w:tcPr>
            <w:tcW w:w="848" w:type="dxa"/>
            <w:noWrap w:val="0"/>
            <w:vAlign w:val="center"/>
          </w:tcPr>
          <w:p>
            <w:pPr>
              <w:jc w:val="center"/>
              <w:rPr>
                <w:rFonts w:ascii="Times New Roman" w:hAnsi="Times New Roman"/>
                <w:sz w:val="22"/>
              </w:rPr>
            </w:pPr>
            <w:r>
              <w:rPr>
                <w:rFonts w:ascii="Times New Roman" w:hAnsi="Times New Roman"/>
                <w:sz w:val="22"/>
              </w:rPr>
              <w:t>78</w:t>
            </w:r>
          </w:p>
        </w:tc>
        <w:tc>
          <w:tcPr>
            <w:tcW w:w="989" w:type="dxa"/>
            <w:noWrap w:val="0"/>
            <w:vAlign w:val="center"/>
          </w:tcPr>
          <w:p>
            <w:pPr>
              <w:jc w:val="center"/>
              <w:rPr>
                <w:rFonts w:ascii="Times New Roman" w:hAnsi="Times New Roman"/>
                <w:sz w:val="22"/>
              </w:rPr>
            </w:pPr>
            <w:r>
              <w:rPr>
                <w:rFonts w:ascii="Times New Roman" w:hAnsi="Times New Roman"/>
                <w:sz w:val="22"/>
              </w:rPr>
              <w:t>——</w:t>
            </w:r>
          </w:p>
        </w:tc>
        <w:tc>
          <w:tcPr>
            <w:tcW w:w="706" w:type="dxa"/>
            <w:noWrap w:val="0"/>
            <w:vAlign w:val="center"/>
          </w:tcPr>
          <w:p>
            <w:pPr>
              <w:jc w:val="center"/>
              <w:rPr>
                <w:rFonts w:ascii="Times New Roman" w:hAnsi="Times New Roman"/>
                <w:sz w:val="22"/>
              </w:rPr>
            </w:pPr>
            <w:r>
              <w:rPr>
                <w:rFonts w:ascii="Times New Roman" w:hAnsi="Times New Roman"/>
                <w:sz w:val="22"/>
              </w:rPr>
              <w:t>51</w:t>
            </w:r>
          </w:p>
        </w:tc>
        <w:tc>
          <w:tcPr>
            <w:tcW w:w="848" w:type="dxa"/>
            <w:noWrap w:val="0"/>
            <w:vAlign w:val="center"/>
          </w:tcPr>
          <w:p>
            <w:pPr>
              <w:jc w:val="center"/>
              <w:rPr>
                <w:rFonts w:ascii="Times New Roman" w:hAnsi="Times New Roman"/>
                <w:sz w:val="22"/>
              </w:rPr>
            </w:pPr>
            <w:r>
              <w:rPr>
                <w:rFonts w:ascii="Times New Roman" w:hAnsi="Times New Roman"/>
                <w:sz w:val="22"/>
              </w:rPr>
              <w:t>72</w:t>
            </w:r>
          </w:p>
        </w:tc>
        <w:tc>
          <w:tcPr>
            <w:tcW w:w="989" w:type="dxa"/>
            <w:noWrap w:val="0"/>
            <w:vAlign w:val="center"/>
          </w:tcPr>
          <w:p>
            <w:pPr>
              <w:jc w:val="center"/>
              <w:rPr>
                <w:rFonts w:ascii="Times New Roman" w:hAnsi="Times New Roman"/>
                <w:sz w:val="22"/>
              </w:rPr>
            </w:pPr>
            <w:r>
              <w:rPr>
                <w:rFonts w:ascii="Times New Roman" w:hAnsi="Times New Roman"/>
                <w:sz w:val="22"/>
              </w:rPr>
              <w:t>——</w:t>
            </w:r>
          </w:p>
        </w:tc>
        <w:tc>
          <w:tcPr>
            <w:tcW w:w="703" w:type="dxa"/>
            <w:noWrap w:val="0"/>
            <w:vAlign w:val="center"/>
          </w:tcPr>
          <w:p>
            <w:pPr>
              <w:jc w:val="center"/>
              <w:rPr>
                <w:rFonts w:ascii="Times New Roman" w:hAnsi="Times New Roman"/>
                <w:sz w:val="22"/>
              </w:rPr>
            </w:pPr>
            <w:r>
              <w:rPr>
                <w:rFonts w:ascii="Times New Roman" w:hAnsi="Times New Roman"/>
                <w:sz w:val="22"/>
              </w:rPr>
              <w:t>45</w:t>
            </w:r>
          </w:p>
        </w:tc>
        <w:tc>
          <w:tcPr>
            <w:tcW w:w="848" w:type="dxa"/>
            <w:noWrap w:val="0"/>
            <w:vAlign w:val="center"/>
          </w:tcPr>
          <w:p>
            <w:pPr>
              <w:jc w:val="center"/>
              <w:rPr>
                <w:rFonts w:ascii="Times New Roman" w:hAnsi="Times New Roman"/>
                <w:sz w:val="22"/>
              </w:rPr>
            </w:pPr>
            <w:r>
              <w:rPr>
                <w:rFonts w:ascii="Times New Roman" w:hAnsi="Times New Roman"/>
                <w:sz w:val="22"/>
              </w:rPr>
              <w:t>81</w:t>
            </w:r>
          </w:p>
        </w:tc>
        <w:tc>
          <w:tcPr>
            <w:tcW w:w="984" w:type="dxa"/>
            <w:noWrap w:val="0"/>
            <w:vAlign w:val="center"/>
          </w:tcPr>
          <w:p>
            <w:pPr>
              <w:jc w:val="center"/>
              <w:rPr>
                <w:rFonts w:ascii="Times New Roman" w:hAnsi="Times New Roman"/>
                <w:sz w:val="22"/>
              </w:rPr>
            </w:pPr>
            <w:r>
              <w:rPr>
                <w:rFonts w:ascii="Times New Roman" w:hAnsi="Times New Roman"/>
                <w:sz w:val="22"/>
              </w:rPr>
              <w:t>——</w:t>
            </w:r>
          </w:p>
        </w:tc>
        <w:tc>
          <w:tcPr>
            <w:tcW w:w="706" w:type="dxa"/>
            <w:noWrap w:val="0"/>
            <w:vAlign w:val="center"/>
          </w:tcPr>
          <w:p>
            <w:pPr>
              <w:jc w:val="center"/>
              <w:rPr>
                <w:rFonts w:ascii="Times New Roman" w:hAnsi="Times New Roman"/>
                <w:sz w:val="22"/>
              </w:rPr>
            </w:pPr>
            <w:r>
              <w:rPr>
                <w:rFonts w:ascii="Times New Roman" w:hAnsi="Times New Roman"/>
                <w:sz w:val="22"/>
              </w:rPr>
              <w:t>54</w:t>
            </w:r>
          </w:p>
        </w:tc>
        <w:tc>
          <w:tcPr>
            <w:tcW w:w="706" w:type="dxa"/>
            <w:noWrap w:val="0"/>
            <w:vAlign w:val="center"/>
          </w:tcPr>
          <w:p>
            <w:pPr>
              <w:jc w:val="center"/>
              <w:rPr>
                <w:rFonts w:ascii="Times New Roman" w:hAnsi="Times New Roman"/>
                <w:sz w:val="22"/>
              </w:rPr>
            </w:pPr>
            <w:r>
              <w:rPr>
                <w:rFonts w:ascii="Times New Roman" w:hAnsi="Times New Roman"/>
                <w:sz w:val="22"/>
              </w:rPr>
              <w:t>76</w:t>
            </w:r>
          </w:p>
        </w:tc>
        <w:tc>
          <w:tcPr>
            <w:tcW w:w="989" w:type="dxa"/>
            <w:noWrap w:val="0"/>
            <w:vAlign w:val="center"/>
          </w:tcPr>
          <w:p>
            <w:pPr>
              <w:jc w:val="center"/>
              <w:rPr>
                <w:rFonts w:ascii="Times New Roman" w:hAnsi="Times New Roman"/>
                <w:sz w:val="22"/>
              </w:rPr>
            </w:pPr>
            <w:r>
              <w:rPr>
                <w:rFonts w:ascii="Times New Roman" w:hAnsi="Times New Roman"/>
                <w:sz w:val="22"/>
              </w:rPr>
              <w:t>——</w:t>
            </w:r>
          </w:p>
        </w:tc>
        <w:tc>
          <w:tcPr>
            <w:tcW w:w="782" w:type="dxa"/>
            <w:noWrap w:val="0"/>
            <w:vAlign w:val="center"/>
          </w:tcPr>
          <w:p>
            <w:pPr>
              <w:jc w:val="center"/>
              <w:rPr>
                <w:rFonts w:ascii="Times New Roman" w:hAnsi="Times New Roman"/>
                <w:sz w:val="22"/>
              </w:rPr>
            </w:pPr>
            <w:r>
              <w:rPr>
                <w:rFonts w:ascii="Times New Roman" w:hAnsi="Times New Roman"/>
                <w:sz w:val="22"/>
              </w:rPr>
              <w:t>49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665" w:type="dxa"/>
            <w:noWrap w:val="0"/>
            <w:vAlign w:val="center"/>
          </w:tcPr>
          <w:p>
            <w:pPr>
              <w:widowControl/>
              <w:jc w:val="center"/>
              <w:rPr>
                <w:rFonts w:ascii="Times New Roman" w:hAnsi="Times New Roman"/>
                <w:bCs/>
                <w:sz w:val="24"/>
              </w:rPr>
            </w:pPr>
            <w:r>
              <w:rPr>
                <w:rFonts w:ascii="Times New Roman"/>
                <w:bCs/>
                <w:sz w:val="24"/>
              </w:rPr>
              <w:t>武进经开区</w:t>
            </w:r>
          </w:p>
        </w:tc>
        <w:tc>
          <w:tcPr>
            <w:tcW w:w="706" w:type="dxa"/>
            <w:noWrap w:val="0"/>
            <w:vAlign w:val="center"/>
          </w:tcPr>
          <w:p>
            <w:pPr>
              <w:jc w:val="center"/>
              <w:rPr>
                <w:rFonts w:ascii="Times New Roman" w:hAnsi="Times New Roman"/>
                <w:sz w:val="22"/>
              </w:rPr>
            </w:pPr>
            <w:r>
              <w:rPr>
                <w:rFonts w:ascii="Times New Roman" w:hAnsi="Times New Roman"/>
                <w:sz w:val="22"/>
              </w:rPr>
              <w:t>64</w:t>
            </w:r>
          </w:p>
        </w:tc>
        <w:tc>
          <w:tcPr>
            <w:tcW w:w="989" w:type="dxa"/>
            <w:noWrap w:val="0"/>
            <w:vAlign w:val="center"/>
          </w:tcPr>
          <w:p>
            <w:pPr>
              <w:jc w:val="center"/>
              <w:rPr>
                <w:rFonts w:ascii="Times New Roman" w:hAnsi="Times New Roman"/>
                <w:sz w:val="22"/>
              </w:rPr>
            </w:pPr>
            <w:r>
              <w:rPr>
                <w:rFonts w:ascii="Times New Roman" w:hAnsi="Times New Roman"/>
                <w:sz w:val="22"/>
              </w:rPr>
              <w:t>——</w:t>
            </w:r>
          </w:p>
        </w:tc>
        <w:tc>
          <w:tcPr>
            <w:tcW w:w="717" w:type="dxa"/>
            <w:noWrap w:val="0"/>
            <w:vAlign w:val="center"/>
          </w:tcPr>
          <w:p>
            <w:pPr>
              <w:jc w:val="center"/>
              <w:rPr>
                <w:rFonts w:ascii="Times New Roman" w:hAnsi="Times New Roman"/>
                <w:sz w:val="22"/>
              </w:rPr>
            </w:pPr>
            <w:r>
              <w:rPr>
                <w:rFonts w:ascii="Times New Roman" w:hAnsi="Times New Roman"/>
                <w:sz w:val="22"/>
              </w:rPr>
              <w:t>38</w:t>
            </w:r>
          </w:p>
        </w:tc>
        <w:tc>
          <w:tcPr>
            <w:tcW w:w="848" w:type="dxa"/>
            <w:noWrap w:val="0"/>
            <w:vAlign w:val="center"/>
          </w:tcPr>
          <w:p>
            <w:pPr>
              <w:jc w:val="center"/>
              <w:rPr>
                <w:rFonts w:ascii="Times New Roman" w:hAnsi="Times New Roman"/>
                <w:sz w:val="22"/>
              </w:rPr>
            </w:pPr>
            <w:r>
              <w:rPr>
                <w:rFonts w:ascii="Times New Roman" w:hAnsi="Times New Roman"/>
                <w:sz w:val="22"/>
              </w:rPr>
              <w:t>63</w:t>
            </w:r>
          </w:p>
        </w:tc>
        <w:tc>
          <w:tcPr>
            <w:tcW w:w="989" w:type="dxa"/>
            <w:noWrap w:val="0"/>
            <w:vAlign w:val="center"/>
          </w:tcPr>
          <w:p>
            <w:pPr>
              <w:jc w:val="center"/>
              <w:rPr>
                <w:rFonts w:ascii="Times New Roman" w:hAnsi="Times New Roman"/>
                <w:sz w:val="22"/>
              </w:rPr>
            </w:pPr>
            <w:r>
              <w:rPr>
                <w:rFonts w:ascii="Times New Roman" w:hAnsi="Times New Roman"/>
                <w:sz w:val="22"/>
              </w:rPr>
              <w:t>——</w:t>
            </w:r>
          </w:p>
        </w:tc>
        <w:tc>
          <w:tcPr>
            <w:tcW w:w="706" w:type="dxa"/>
            <w:noWrap w:val="0"/>
            <w:vAlign w:val="center"/>
          </w:tcPr>
          <w:p>
            <w:pPr>
              <w:jc w:val="center"/>
              <w:rPr>
                <w:rFonts w:ascii="Times New Roman" w:hAnsi="Times New Roman"/>
                <w:sz w:val="22"/>
              </w:rPr>
            </w:pPr>
            <w:r>
              <w:rPr>
                <w:rFonts w:ascii="Times New Roman" w:hAnsi="Times New Roman"/>
                <w:sz w:val="22"/>
              </w:rPr>
              <w:t>36</w:t>
            </w:r>
          </w:p>
        </w:tc>
        <w:tc>
          <w:tcPr>
            <w:tcW w:w="848" w:type="dxa"/>
            <w:noWrap w:val="0"/>
            <w:vAlign w:val="center"/>
          </w:tcPr>
          <w:p>
            <w:pPr>
              <w:jc w:val="center"/>
              <w:rPr>
                <w:rFonts w:ascii="Times New Roman" w:hAnsi="Times New Roman"/>
                <w:sz w:val="22"/>
              </w:rPr>
            </w:pPr>
            <w:r>
              <w:rPr>
                <w:rFonts w:ascii="Times New Roman" w:hAnsi="Times New Roman"/>
                <w:sz w:val="22"/>
              </w:rPr>
              <w:t>58</w:t>
            </w:r>
          </w:p>
        </w:tc>
        <w:tc>
          <w:tcPr>
            <w:tcW w:w="989" w:type="dxa"/>
            <w:noWrap w:val="0"/>
            <w:vAlign w:val="center"/>
          </w:tcPr>
          <w:p>
            <w:pPr>
              <w:jc w:val="center"/>
              <w:rPr>
                <w:rFonts w:ascii="Times New Roman" w:hAnsi="Times New Roman"/>
                <w:sz w:val="22"/>
              </w:rPr>
            </w:pPr>
            <w:r>
              <w:rPr>
                <w:rFonts w:ascii="Times New Roman" w:hAnsi="Times New Roman"/>
                <w:sz w:val="22"/>
              </w:rPr>
              <w:t>——</w:t>
            </w:r>
          </w:p>
        </w:tc>
        <w:tc>
          <w:tcPr>
            <w:tcW w:w="703" w:type="dxa"/>
            <w:noWrap w:val="0"/>
            <w:vAlign w:val="center"/>
          </w:tcPr>
          <w:p>
            <w:pPr>
              <w:jc w:val="center"/>
              <w:rPr>
                <w:rFonts w:ascii="Times New Roman" w:hAnsi="Times New Roman"/>
                <w:sz w:val="22"/>
              </w:rPr>
            </w:pPr>
            <w:r>
              <w:rPr>
                <w:rFonts w:ascii="Times New Roman" w:hAnsi="Times New Roman"/>
                <w:sz w:val="22"/>
              </w:rPr>
              <w:t>31</w:t>
            </w:r>
          </w:p>
        </w:tc>
        <w:tc>
          <w:tcPr>
            <w:tcW w:w="848" w:type="dxa"/>
            <w:noWrap w:val="0"/>
            <w:vAlign w:val="center"/>
          </w:tcPr>
          <w:p>
            <w:pPr>
              <w:jc w:val="center"/>
              <w:rPr>
                <w:rFonts w:ascii="Times New Roman" w:hAnsi="Times New Roman"/>
                <w:sz w:val="22"/>
              </w:rPr>
            </w:pPr>
            <w:r>
              <w:rPr>
                <w:rFonts w:ascii="Times New Roman" w:hAnsi="Times New Roman"/>
                <w:sz w:val="22"/>
              </w:rPr>
              <w:t>53</w:t>
            </w:r>
          </w:p>
        </w:tc>
        <w:tc>
          <w:tcPr>
            <w:tcW w:w="984" w:type="dxa"/>
            <w:noWrap w:val="0"/>
            <w:vAlign w:val="center"/>
          </w:tcPr>
          <w:p>
            <w:pPr>
              <w:jc w:val="center"/>
              <w:rPr>
                <w:rFonts w:ascii="Times New Roman" w:hAnsi="Times New Roman"/>
                <w:sz w:val="22"/>
              </w:rPr>
            </w:pPr>
            <w:r>
              <w:rPr>
                <w:rFonts w:ascii="Times New Roman" w:hAnsi="Times New Roman"/>
                <w:sz w:val="22"/>
              </w:rPr>
              <w:t>——</w:t>
            </w:r>
          </w:p>
        </w:tc>
        <w:tc>
          <w:tcPr>
            <w:tcW w:w="706" w:type="dxa"/>
            <w:noWrap w:val="0"/>
            <w:vAlign w:val="center"/>
          </w:tcPr>
          <w:p>
            <w:pPr>
              <w:jc w:val="center"/>
              <w:rPr>
                <w:rFonts w:ascii="Times New Roman" w:hAnsi="Times New Roman"/>
                <w:sz w:val="22"/>
              </w:rPr>
            </w:pPr>
            <w:r>
              <w:rPr>
                <w:rFonts w:ascii="Times New Roman" w:hAnsi="Times New Roman"/>
                <w:sz w:val="22"/>
              </w:rPr>
              <w:t>26</w:t>
            </w:r>
          </w:p>
        </w:tc>
        <w:tc>
          <w:tcPr>
            <w:tcW w:w="706" w:type="dxa"/>
            <w:noWrap w:val="0"/>
            <w:vAlign w:val="center"/>
          </w:tcPr>
          <w:p>
            <w:pPr>
              <w:jc w:val="center"/>
              <w:rPr>
                <w:rFonts w:ascii="Times New Roman" w:hAnsi="Times New Roman"/>
                <w:sz w:val="22"/>
              </w:rPr>
            </w:pPr>
            <w:r>
              <w:rPr>
                <w:rFonts w:ascii="Times New Roman" w:hAnsi="Times New Roman"/>
                <w:sz w:val="22"/>
              </w:rPr>
              <w:t>50</w:t>
            </w:r>
          </w:p>
        </w:tc>
        <w:tc>
          <w:tcPr>
            <w:tcW w:w="989" w:type="dxa"/>
            <w:noWrap w:val="0"/>
            <w:vAlign w:val="center"/>
          </w:tcPr>
          <w:p>
            <w:pPr>
              <w:jc w:val="center"/>
              <w:rPr>
                <w:rFonts w:ascii="Times New Roman" w:hAnsi="Times New Roman"/>
                <w:sz w:val="22"/>
              </w:rPr>
            </w:pPr>
            <w:r>
              <w:rPr>
                <w:rFonts w:ascii="Times New Roman" w:hAnsi="Times New Roman"/>
                <w:sz w:val="22"/>
              </w:rPr>
              <w:t>——</w:t>
            </w:r>
          </w:p>
        </w:tc>
        <w:tc>
          <w:tcPr>
            <w:tcW w:w="782" w:type="dxa"/>
            <w:noWrap w:val="0"/>
            <w:vAlign w:val="center"/>
          </w:tcPr>
          <w:p>
            <w:pPr>
              <w:jc w:val="center"/>
              <w:rPr>
                <w:rFonts w:ascii="Times New Roman" w:hAnsi="Times New Roman"/>
                <w:sz w:val="22"/>
              </w:rPr>
            </w:pPr>
            <w:r>
              <w:rPr>
                <w:rFonts w:ascii="Times New Roman" w:hAnsi="Times New Roman"/>
                <w:sz w:val="22"/>
              </w:rPr>
              <w:t>23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665" w:type="dxa"/>
            <w:noWrap w:val="0"/>
            <w:vAlign w:val="center"/>
          </w:tcPr>
          <w:p>
            <w:pPr>
              <w:widowControl/>
              <w:jc w:val="center"/>
              <w:rPr>
                <w:rFonts w:ascii="Times New Roman" w:hAnsi="Times New Roman"/>
                <w:bCs/>
                <w:sz w:val="24"/>
              </w:rPr>
            </w:pPr>
            <w:r>
              <w:rPr>
                <w:rFonts w:ascii="Times New Roman"/>
                <w:bCs/>
                <w:sz w:val="24"/>
              </w:rPr>
              <w:t>天宁经开区</w:t>
            </w:r>
          </w:p>
        </w:tc>
        <w:tc>
          <w:tcPr>
            <w:tcW w:w="706" w:type="dxa"/>
            <w:noWrap w:val="0"/>
            <w:vAlign w:val="center"/>
          </w:tcPr>
          <w:p>
            <w:pPr>
              <w:jc w:val="center"/>
              <w:rPr>
                <w:rFonts w:ascii="Times New Roman" w:hAnsi="Times New Roman"/>
                <w:sz w:val="22"/>
              </w:rPr>
            </w:pPr>
            <w:r>
              <w:rPr>
                <w:rFonts w:ascii="Times New Roman" w:hAnsi="Times New Roman"/>
                <w:sz w:val="22"/>
              </w:rPr>
              <w:t>65</w:t>
            </w:r>
          </w:p>
        </w:tc>
        <w:tc>
          <w:tcPr>
            <w:tcW w:w="989" w:type="dxa"/>
            <w:noWrap w:val="0"/>
            <w:vAlign w:val="center"/>
          </w:tcPr>
          <w:p>
            <w:pPr>
              <w:jc w:val="center"/>
              <w:rPr>
                <w:rFonts w:ascii="Times New Roman" w:hAnsi="Times New Roman"/>
                <w:sz w:val="22"/>
              </w:rPr>
            </w:pPr>
            <w:r>
              <w:rPr>
                <w:rFonts w:ascii="Times New Roman" w:hAnsi="Times New Roman"/>
                <w:sz w:val="22"/>
              </w:rPr>
              <w:t>——</w:t>
            </w:r>
          </w:p>
        </w:tc>
        <w:tc>
          <w:tcPr>
            <w:tcW w:w="717" w:type="dxa"/>
            <w:noWrap w:val="0"/>
            <w:vAlign w:val="center"/>
          </w:tcPr>
          <w:p>
            <w:pPr>
              <w:jc w:val="center"/>
              <w:rPr>
                <w:rFonts w:ascii="Times New Roman" w:hAnsi="Times New Roman"/>
                <w:sz w:val="22"/>
              </w:rPr>
            </w:pPr>
            <w:r>
              <w:rPr>
                <w:rFonts w:ascii="Times New Roman" w:hAnsi="Times New Roman"/>
                <w:sz w:val="22"/>
              </w:rPr>
              <w:t>39</w:t>
            </w:r>
          </w:p>
        </w:tc>
        <w:tc>
          <w:tcPr>
            <w:tcW w:w="848" w:type="dxa"/>
            <w:noWrap w:val="0"/>
            <w:vAlign w:val="center"/>
          </w:tcPr>
          <w:p>
            <w:pPr>
              <w:jc w:val="center"/>
              <w:rPr>
                <w:rFonts w:ascii="Times New Roman" w:hAnsi="Times New Roman"/>
                <w:sz w:val="22"/>
              </w:rPr>
            </w:pPr>
            <w:r>
              <w:rPr>
                <w:rFonts w:ascii="Times New Roman" w:hAnsi="Times New Roman"/>
                <w:sz w:val="22"/>
              </w:rPr>
              <w:t>65</w:t>
            </w:r>
          </w:p>
        </w:tc>
        <w:tc>
          <w:tcPr>
            <w:tcW w:w="989" w:type="dxa"/>
            <w:noWrap w:val="0"/>
            <w:vAlign w:val="center"/>
          </w:tcPr>
          <w:p>
            <w:pPr>
              <w:jc w:val="center"/>
              <w:rPr>
                <w:rFonts w:ascii="Times New Roman" w:hAnsi="Times New Roman"/>
                <w:sz w:val="22"/>
              </w:rPr>
            </w:pPr>
            <w:r>
              <w:rPr>
                <w:rFonts w:ascii="Times New Roman" w:hAnsi="Times New Roman"/>
                <w:sz w:val="22"/>
              </w:rPr>
              <w:t>——</w:t>
            </w:r>
          </w:p>
        </w:tc>
        <w:tc>
          <w:tcPr>
            <w:tcW w:w="706" w:type="dxa"/>
            <w:noWrap w:val="0"/>
            <w:vAlign w:val="center"/>
          </w:tcPr>
          <w:p>
            <w:pPr>
              <w:jc w:val="center"/>
              <w:rPr>
                <w:rFonts w:ascii="Times New Roman" w:hAnsi="Times New Roman"/>
                <w:sz w:val="22"/>
              </w:rPr>
            </w:pPr>
            <w:r>
              <w:rPr>
                <w:rFonts w:ascii="Times New Roman" w:hAnsi="Times New Roman"/>
                <w:sz w:val="22"/>
              </w:rPr>
              <w:t>38</w:t>
            </w:r>
          </w:p>
        </w:tc>
        <w:tc>
          <w:tcPr>
            <w:tcW w:w="848" w:type="dxa"/>
            <w:noWrap w:val="0"/>
            <w:vAlign w:val="center"/>
          </w:tcPr>
          <w:p>
            <w:pPr>
              <w:jc w:val="center"/>
              <w:rPr>
                <w:rFonts w:ascii="Times New Roman" w:hAnsi="Times New Roman"/>
                <w:sz w:val="22"/>
              </w:rPr>
            </w:pPr>
            <w:r>
              <w:rPr>
                <w:rFonts w:ascii="Times New Roman" w:hAnsi="Times New Roman"/>
                <w:sz w:val="22"/>
              </w:rPr>
              <w:t>55</w:t>
            </w:r>
          </w:p>
        </w:tc>
        <w:tc>
          <w:tcPr>
            <w:tcW w:w="989" w:type="dxa"/>
            <w:noWrap w:val="0"/>
            <w:vAlign w:val="center"/>
          </w:tcPr>
          <w:p>
            <w:pPr>
              <w:jc w:val="center"/>
              <w:rPr>
                <w:rFonts w:ascii="Times New Roman" w:hAnsi="Times New Roman"/>
                <w:sz w:val="22"/>
              </w:rPr>
            </w:pPr>
            <w:r>
              <w:rPr>
                <w:rFonts w:ascii="Times New Roman" w:hAnsi="Times New Roman"/>
                <w:sz w:val="22"/>
              </w:rPr>
              <w:t>——</w:t>
            </w:r>
          </w:p>
        </w:tc>
        <w:tc>
          <w:tcPr>
            <w:tcW w:w="703" w:type="dxa"/>
            <w:noWrap w:val="0"/>
            <w:vAlign w:val="center"/>
          </w:tcPr>
          <w:p>
            <w:pPr>
              <w:jc w:val="center"/>
              <w:rPr>
                <w:rFonts w:ascii="Times New Roman" w:hAnsi="Times New Roman"/>
                <w:sz w:val="22"/>
              </w:rPr>
            </w:pPr>
            <w:r>
              <w:rPr>
                <w:rFonts w:ascii="Times New Roman" w:hAnsi="Times New Roman"/>
                <w:sz w:val="22"/>
              </w:rPr>
              <w:t>28</w:t>
            </w:r>
          </w:p>
        </w:tc>
        <w:tc>
          <w:tcPr>
            <w:tcW w:w="848" w:type="dxa"/>
            <w:noWrap w:val="0"/>
            <w:vAlign w:val="center"/>
          </w:tcPr>
          <w:p>
            <w:pPr>
              <w:jc w:val="center"/>
              <w:rPr>
                <w:rFonts w:ascii="Times New Roman" w:hAnsi="Times New Roman"/>
                <w:sz w:val="22"/>
              </w:rPr>
            </w:pPr>
            <w:r>
              <w:rPr>
                <w:rFonts w:ascii="Times New Roman" w:hAnsi="Times New Roman"/>
                <w:sz w:val="22"/>
              </w:rPr>
              <w:t>50</w:t>
            </w:r>
          </w:p>
        </w:tc>
        <w:tc>
          <w:tcPr>
            <w:tcW w:w="984" w:type="dxa"/>
            <w:noWrap w:val="0"/>
            <w:vAlign w:val="center"/>
          </w:tcPr>
          <w:p>
            <w:pPr>
              <w:jc w:val="center"/>
              <w:rPr>
                <w:rFonts w:ascii="Times New Roman" w:hAnsi="Times New Roman"/>
                <w:sz w:val="22"/>
              </w:rPr>
            </w:pPr>
            <w:r>
              <w:rPr>
                <w:rFonts w:ascii="Times New Roman" w:hAnsi="Times New Roman"/>
                <w:sz w:val="22"/>
              </w:rPr>
              <w:t>——</w:t>
            </w:r>
          </w:p>
        </w:tc>
        <w:tc>
          <w:tcPr>
            <w:tcW w:w="706" w:type="dxa"/>
            <w:noWrap w:val="0"/>
            <w:vAlign w:val="center"/>
          </w:tcPr>
          <w:p>
            <w:pPr>
              <w:jc w:val="center"/>
              <w:rPr>
                <w:rFonts w:ascii="Times New Roman" w:hAnsi="Times New Roman"/>
                <w:sz w:val="22"/>
              </w:rPr>
            </w:pPr>
            <w:r>
              <w:rPr>
                <w:rFonts w:ascii="Times New Roman" w:hAnsi="Times New Roman"/>
                <w:sz w:val="22"/>
              </w:rPr>
              <w:t>23</w:t>
            </w:r>
          </w:p>
        </w:tc>
        <w:tc>
          <w:tcPr>
            <w:tcW w:w="706" w:type="dxa"/>
            <w:noWrap w:val="0"/>
            <w:vAlign w:val="center"/>
          </w:tcPr>
          <w:p>
            <w:pPr>
              <w:jc w:val="center"/>
              <w:rPr>
                <w:rFonts w:ascii="Times New Roman" w:hAnsi="Times New Roman"/>
                <w:sz w:val="22"/>
              </w:rPr>
            </w:pPr>
            <w:r>
              <w:rPr>
                <w:rFonts w:ascii="Times New Roman" w:hAnsi="Times New Roman"/>
                <w:sz w:val="22"/>
              </w:rPr>
              <w:t>49</w:t>
            </w:r>
          </w:p>
        </w:tc>
        <w:tc>
          <w:tcPr>
            <w:tcW w:w="989" w:type="dxa"/>
            <w:noWrap w:val="0"/>
            <w:vAlign w:val="center"/>
          </w:tcPr>
          <w:p>
            <w:pPr>
              <w:jc w:val="center"/>
              <w:rPr>
                <w:rFonts w:ascii="Times New Roman" w:hAnsi="Times New Roman"/>
                <w:sz w:val="22"/>
              </w:rPr>
            </w:pPr>
            <w:r>
              <w:rPr>
                <w:rFonts w:ascii="Times New Roman" w:hAnsi="Times New Roman"/>
                <w:sz w:val="22"/>
              </w:rPr>
              <w:t>——</w:t>
            </w:r>
          </w:p>
        </w:tc>
        <w:tc>
          <w:tcPr>
            <w:tcW w:w="782" w:type="dxa"/>
            <w:noWrap w:val="0"/>
            <w:vAlign w:val="center"/>
          </w:tcPr>
          <w:p>
            <w:pPr>
              <w:jc w:val="center"/>
              <w:rPr>
                <w:rFonts w:ascii="Times New Roman" w:hAnsi="Times New Roman"/>
                <w:sz w:val="22"/>
              </w:rPr>
            </w:pPr>
            <w:r>
              <w:rPr>
                <w:rFonts w:ascii="Times New Roman" w:hAnsi="Times New Roman"/>
                <w:sz w:val="22"/>
              </w:rPr>
              <w:t>22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665" w:type="dxa"/>
            <w:noWrap w:val="0"/>
            <w:vAlign w:val="center"/>
          </w:tcPr>
          <w:p>
            <w:pPr>
              <w:widowControl/>
              <w:jc w:val="center"/>
              <w:rPr>
                <w:rFonts w:ascii="Times New Roman" w:hAnsi="Times New Roman"/>
                <w:bCs/>
                <w:sz w:val="24"/>
              </w:rPr>
            </w:pPr>
            <w:r>
              <w:rPr>
                <w:rFonts w:ascii="Times New Roman"/>
                <w:bCs/>
                <w:sz w:val="24"/>
              </w:rPr>
              <w:t>钟楼经开区</w:t>
            </w:r>
          </w:p>
        </w:tc>
        <w:tc>
          <w:tcPr>
            <w:tcW w:w="706" w:type="dxa"/>
            <w:noWrap w:val="0"/>
            <w:vAlign w:val="center"/>
          </w:tcPr>
          <w:p>
            <w:pPr>
              <w:jc w:val="center"/>
              <w:rPr>
                <w:rFonts w:ascii="Times New Roman" w:hAnsi="Times New Roman"/>
                <w:sz w:val="22"/>
              </w:rPr>
            </w:pPr>
            <w:r>
              <w:rPr>
                <w:rFonts w:ascii="Times New Roman" w:hAnsi="Times New Roman"/>
                <w:sz w:val="22"/>
              </w:rPr>
              <w:t>76</w:t>
            </w:r>
          </w:p>
        </w:tc>
        <w:tc>
          <w:tcPr>
            <w:tcW w:w="989" w:type="dxa"/>
            <w:noWrap w:val="0"/>
            <w:vAlign w:val="center"/>
          </w:tcPr>
          <w:p>
            <w:pPr>
              <w:jc w:val="center"/>
              <w:rPr>
                <w:rFonts w:ascii="Times New Roman" w:hAnsi="Times New Roman"/>
                <w:sz w:val="22"/>
              </w:rPr>
            </w:pPr>
            <w:r>
              <w:rPr>
                <w:rFonts w:ascii="Times New Roman" w:hAnsi="Times New Roman"/>
                <w:sz w:val="22"/>
              </w:rPr>
              <w:t>——</w:t>
            </w:r>
          </w:p>
        </w:tc>
        <w:tc>
          <w:tcPr>
            <w:tcW w:w="717" w:type="dxa"/>
            <w:noWrap w:val="0"/>
            <w:vAlign w:val="center"/>
          </w:tcPr>
          <w:p>
            <w:pPr>
              <w:jc w:val="center"/>
              <w:rPr>
                <w:rFonts w:ascii="Times New Roman" w:hAnsi="Times New Roman"/>
                <w:sz w:val="22"/>
              </w:rPr>
            </w:pPr>
            <w:r>
              <w:rPr>
                <w:rFonts w:ascii="Times New Roman" w:hAnsi="Times New Roman"/>
                <w:sz w:val="22"/>
              </w:rPr>
              <w:t>49</w:t>
            </w:r>
          </w:p>
        </w:tc>
        <w:tc>
          <w:tcPr>
            <w:tcW w:w="848" w:type="dxa"/>
            <w:noWrap w:val="0"/>
            <w:vAlign w:val="center"/>
          </w:tcPr>
          <w:p>
            <w:pPr>
              <w:jc w:val="center"/>
              <w:rPr>
                <w:rFonts w:ascii="Times New Roman" w:hAnsi="Times New Roman"/>
                <w:sz w:val="22"/>
              </w:rPr>
            </w:pPr>
            <w:r>
              <w:rPr>
                <w:rFonts w:ascii="Times New Roman" w:hAnsi="Times New Roman"/>
                <w:sz w:val="22"/>
              </w:rPr>
              <w:t>71</w:t>
            </w:r>
          </w:p>
        </w:tc>
        <w:tc>
          <w:tcPr>
            <w:tcW w:w="989" w:type="dxa"/>
            <w:noWrap w:val="0"/>
            <w:vAlign w:val="center"/>
          </w:tcPr>
          <w:p>
            <w:pPr>
              <w:jc w:val="center"/>
              <w:rPr>
                <w:rFonts w:ascii="Times New Roman" w:hAnsi="Times New Roman"/>
                <w:sz w:val="22"/>
              </w:rPr>
            </w:pPr>
            <w:r>
              <w:rPr>
                <w:rFonts w:ascii="Times New Roman" w:hAnsi="Times New Roman"/>
                <w:sz w:val="22"/>
              </w:rPr>
              <w:t>——</w:t>
            </w:r>
          </w:p>
        </w:tc>
        <w:tc>
          <w:tcPr>
            <w:tcW w:w="706" w:type="dxa"/>
            <w:noWrap w:val="0"/>
            <w:vAlign w:val="center"/>
          </w:tcPr>
          <w:p>
            <w:pPr>
              <w:jc w:val="center"/>
              <w:rPr>
                <w:rFonts w:ascii="Times New Roman" w:hAnsi="Times New Roman"/>
                <w:sz w:val="22"/>
              </w:rPr>
            </w:pPr>
            <w:r>
              <w:rPr>
                <w:rFonts w:ascii="Times New Roman" w:hAnsi="Times New Roman"/>
                <w:sz w:val="22"/>
              </w:rPr>
              <w:t>44</w:t>
            </w:r>
          </w:p>
        </w:tc>
        <w:tc>
          <w:tcPr>
            <w:tcW w:w="848" w:type="dxa"/>
            <w:noWrap w:val="0"/>
            <w:vAlign w:val="center"/>
          </w:tcPr>
          <w:p>
            <w:pPr>
              <w:jc w:val="center"/>
              <w:rPr>
                <w:rFonts w:ascii="Times New Roman" w:hAnsi="Times New Roman"/>
                <w:sz w:val="22"/>
              </w:rPr>
            </w:pPr>
            <w:r>
              <w:rPr>
                <w:rFonts w:ascii="Times New Roman" w:hAnsi="Times New Roman"/>
                <w:sz w:val="22"/>
              </w:rPr>
              <w:t>49</w:t>
            </w:r>
          </w:p>
        </w:tc>
        <w:tc>
          <w:tcPr>
            <w:tcW w:w="989" w:type="dxa"/>
            <w:noWrap w:val="0"/>
            <w:vAlign w:val="center"/>
          </w:tcPr>
          <w:p>
            <w:pPr>
              <w:jc w:val="center"/>
              <w:rPr>
                <w:rFonts w:ascii="Times New Roman" w:hAnsi="Times New Roman"/>
                <w:sz w:val="22"/>
              </w:rPr>
            </w:pPr>
            <w:r>
              <w:rPr>
                <w:rFonts w:ascii="Times New Roman" w:hAnsi="Times New Roman"/>
                <w:sz w:val="22"/>
              </w:rPr>
              <w:t>——</w:t>
            </w:r>
          </w:p>
        </w:tc>
        <w:tc>
          <w:tcPr>
            <w:tcW w:w="703" w:type="dxa"/>
            <w:noWrap w:val="0"/>
            <w:vAlign w:val="center"/>
          </w:tcPr>
          <w:p>
            <w:pPr>
              <w:jc w:val="center"/>
              <w:rPr>
                <w:rFonts w:ascii="Times New Roman" w:hAnsi="Times New Roman"/>
                <w:sz w:val="22"/>
              </w:rPr>
            </w:pPr>
            <w:r>
              <w:rPr>
                <w:rFonts w:ascii="Times New Roman" w:hAnsi="Times New Roman"/>
                <w:sz w:val="22"/>
              </w:rPr>
              <w:t>23</w:t>
            </w:r>
          </w:p>
        </w:tc>
        <w:tc>
          <w:tcPr>
            <w:tcW w:w="848" w:type="dxa"/>
            <w:noWrap w:val="0"/>
            <w:vAlign w:val="center"/>
          </w:tcPr>
          <w:p>
            <w:pPr>
              <w:jc w:val="center"/>
              <w:rPr>
                <w:rFonts w:ascii="Times New Roman" w:hAnsi="Times New Roman"/>
                <w:sz w:val="22"/>
              </w:rPr>
            </w:pPr>
            <w:r>
              <w:rPr>
                <w:rFonts w:ascii="Times New Roman" w:hAnsi="Times New Roman"/>
                <w:sz w:val="22"/>
              </w:rPr>
              <w:t>51</w:t>
            </w:r>
          </w:p>
        </w:tc>
        <w:tc>
          <w:tcPr>
            <w:tcW w:w="984" w:type="dxa"/>
            <w:noWrap w:val="0"/>
            <w:vAlign w:val="center"/>
          </w:tcPr>
          <w:p>
            <w:pPr>
              <w:jc w:val="center"/>
              <w:rPr>
                <w:rFonts w:ascii="Times New Roman" w:hAnsi="Times New Roman"/>
                <w:sz w:val="22"/>
              </w:rPr>
            </w:pPr>
            <w:r>
              <w:rPr>
                <w:rFonts w:ascii="Times New Roman" w:hAnsi="Times New Roman"/>
                <w:sz w:val="22"/>
              </w:rPr>
              <w:t>——</w:t>
            </w:r>
          </w:p>
        </w:tc>
        <w:tc>
          <w:tcPr>
            <w:tcW w:w="706" w:type="dxa"/>
            <w:noWrap w:val="0"/>
            <w:vAlign w:val="center"/>
          </w:tcPr>
          <w:p>
            <w:pPr>
              <w:jc w:val="center"/>
              <w:rPr>
                <w:rFonts w:ascii="Times New Roman" w:hAnsi="Times New Roman"/>
                <w:sz w:val="22"/>
              </w:rPr>
            </w:pPr>
            <w:r>
              <w:rPr>
                <w:rFonts w:ascii="Times New Roman" w:hAnsi="Times New Roman"/>
                <w:sz w:val="22"/>
              </w:rPr>
              <w:t>24</w:t>
            </w:r>
          </w:p>
        </w:tc>
        <w:tc>
          <w:tcPr>
            <w:tcW w:w="706" w:type="dxa"/>
            <w:noWrap w:val="0"/>
            <w:vAlign w:val="center"/>
          </w:tcPr>
          <w:p>
            <w:pPr>
              <w:jc w:val="center"/>
              <w:rPr>
                <w:rFonts w:ascii="Times New Roman" w:hAnsi="Times New Roman"/>
                <w:sz w:val="22"/>
              </w:rPr>
            </w:pPr>
            <w:r>
              <w:rPr>
                <w:rFonts w:ascii="Times New Roman" w:hAnsi="Times New Roman"/>
                <w:sz w:val="22"/>
              </w:rPr>
              <w:t>60</w:t>
            </w:r>
          </w:p>
        </w:tc>
        <w:tc>
          <w:tcPr>
            <w:tcW w:w="989" w:type="dxa"/>
            <w:noWrap w:val="0"/>
            <w:vAlign w:val="center"/>
          </w:tcPr>
          <w:p>
            <w:pPr>
              <w:jc w:val="center"/>
              <w:rPr>
                <w:rFonts w:ascii="Times New Roman" w:hAnsi="Times New Roman"/>
                <w:sz w:val="22"/>
              </w:rPr>
            </w:pPr>
            <w:r>
              <w:rPr>
                <w:rFonts w:ascii="Times New Roman" w:hAnsi="Times New Roman"/>
                <w:sz w:val="22"/>
              </w:rPr>
              <w:t>——</w:t>
            </w:r>
          </w:p>
        </w:tc>
        <w:tc>
          <w:tcPr>
            <w:tcW w:w="782" w:type="dxa"/>
            <w:noWrap w:val="0"/>
            <w:vAlign w:val="center"/>
          </w:tcPr>
          <w:p>
            <w:pPr>
              <w:jc w:val="center"/>
              <w:rPr>
                <w:rFonts w:ascii="Times New Roman" w:hAnsi="Times New Roman"/>
                <w:sz w:val="22"/>
              </w:rPr>
            </w:pPr>
            <w:r>
              <w:rPr>
                <w:rFonts w:ascii="Times New Roman" w:hAnsi="Times New Roman"/>
                <w:sz w:val="22"/>
              </w:rPr>
              <w:t>33</w:t>
            </w:r>
          </w:p>
        </w:tc>
      </w:tr>
    </w:tbl>
    <w:p>
      <w:pPr>
        <w:adjustRightInd w:val="0"/>
        <w:snapToGrid w:val="0"/>
        <w:spacing w:line="480" w:lineRule="exact"/>
        <w:rPr>
          <w:rFonts w:ascii="Times New Roman" w:hAnsi="Times New Roman" w:eastAsia="方正小标宋简体"/>
          <w:sz w:val="44"/>
          <w:szCs w:val="44"/>
        </w:rPr>
      </w:pPr>
      <w:r>
        <w:rPr>
          <w:rFonts w:ascii="Times New Roman" w:hAnsi="Times New Roman"/>
          <w:bCs/>
          <w:szCs w:val="21"/>
        </w:rPr>
        <w:t>注：高新区参加省科技厅创新驱动发展综合评价，经开区参加省商务厅科学发展综合评价。</w:t>
      </w:r>
    </w:p>
    <w:p>
      <w:pPr>
        <w:overflowPunct w:val="0"/>
        <w:autoSpaceDE w:val="0"/>
        <w:autoSpaceDN w:val="0"/>
        <w:adjustRightInd w:val="0"/>
        <w:snapToGrid w:val="0"/>
        <w:spacing w:before="240" w:after="240" w:line="560" w:lineRule="exact"/>
        <w:jc w:val="center"/>
        <w:rPr>
          <w:rFonts w:hint="eastAsia" w:ascii="方正小标宋_GBK" w:hAnsi="Times New Roman" w:eastAsia="方正小标宋_GBK"/>
          <w:sz w:val="44"/>
          <w:szCs w:val="44"/>
        </w:rPr>
      </w:pPr>
      <w:r>
        <w:rPr>
          <w:rFonts w:hint="eastAsia" w:ascii="方正小标宋_GBK" w:hAnsi="Times New Roman" w:eastAsia="方正小标宋_GBK"/>
          <w:sz w:val="44"/>
          <w:szCs w:val="44"/>
        </w:rPr>
        <w:t>2020年全市省级以上开发区主要经济指标发展动态表</w:t>
      </w:r>
    </w:p>
    <w:tbl>
      <w:tblPr>
        <w:tblStyle w:val="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871"/>
        <w:gridCol w:w="1327"/>
        <w:gridCol w:w="1320"/>
        <w:gridCol w:w="1460"/>
        <w:gridCol w:w="1328"/>
        <w:gridCol w:w="1228"/>
        <w:gridCol w:w="1150"/>
        <w:gridCol w:w="1401"/>
        <w:gridCol w:w="1316"/>
        <w:gridCol w:w="17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871" w:type="dxa"/>
            <w:vMerge w:val="restart"/>
            <w:noWrap/>
            <w:vAlign w:val="center"/>
          </w:tcPr>
          <w:p>
            <w:pPr>
              <w:widowControl/>
              <w:jc w:val="center"/>
              <w:rPr>
                <w:rFonts w:ascii="Times New Roman" w:hAnsi="Times New Roman" w:eastAsia="黑体"/>
                <w:bCs/>
                <w:sz w:val="24"/>
                <w:szCs w:val="24"/>
              </w:rPr>
            </w:pPr>
            <w:r>
              <w:rPr>
                <w:rFonts w:ascii="Times New Roman" w:hAnsi="Times New Roman" w:eastAsia="黑体"/>
                <w:bCs/>
                <w:sz w:val="24"/>
                <w:szCs w:val="24"/>
              </w:rPr>
              <w:t>单  位</w:t>
            </w:r>
          </w:p>
        </w:tc>
        <w:tc>
          <w:tcPr>
            <w:tcW w:w="2647" w:type="dxa"/>
            <w:gridSpan w:val="2"/>
            <w:noWrap w:val="0"/>
            <w:vAlign w:val="center"/>
          </w:tcPr>
          <w:p>
            <w:pPr>
              <w:widowControl/>
              <w:ind w:left="-57" w:right="-57"/>
              <w:jc w:val="center"/>
              <w:rPr>
                <w:rFonts w:ascii="Times New Roman" w:hAnsi="Times New Roman" w:eastAsia="黑体"/>
                <w:bCs/>
                <w:sz w:val="24"/>
                <w:szCs w:val="24"/>
              </w:rPr>
            </w:pPr>
            <w:r>
              <w:rPr>
                <w:rFonts w:ascii="Times New Roman" w:hAnsi="Times New Roman" w:eastAsia="黑体"/>
                <w:bCs/>
                <w:sz w:val="24"/>
                <w:szCs w:val="24"/>
              </w:rPr>
              <w:t>公共财政预算收入</w:t>
            </w:r>
          </w:p>
          <w:p>
            <w:pPr>
              <w:widowControl/>
              <w:ind w:left="-57" w:right="-57"/>
              <w:jc w:val="center"/>
              <w:rPr>
                <w:rFonts w:ascii="Times New Roman" w:hAnsi="Times New Roman" w:eastAsia="黑体"/>
                <w:bCs/>
                <w:sz w:val="24"/>
                <w:szCs w:val="24"/>
              </w:rPr>
            </w:pPr>
            <w:r>
              <w:rPr>
                <w:rFonts w:ascii="Times New Roman" w:hAnsi="Times New Roman" w:eastAsia="黑体"/>
                <w:bCs/>
                <w:sz w:val="24"/>
                <w:szCs w:val="24"/>
              </w:rPr>
              <w:t>（亿元）</w:t>
            </w:r>
          </w:p>
        </w:tc>
        <w:tc>
          <w:tcPr>
            <w:tcW w:w="2788" w:type="dxa"/>
            <w:gridSpan w:val="2"/>
            <w:noWrap w:val="0"/>
            <w:vAlign w:val="center"/>
          </w:tcPr>
          <w:p>
            <w:pPr>
              <w:widowControl/>
              <w:ind w:left="-57" w:right="-57"/>
              <w:jc w:val="center"/>
              <w:rPr>
                <w:rFonts w:ascii="Times New Roman" w:hAnsi="Times New Roman" w:eastAsia="黑体"/>
                <w:bCs/>
                <w:sz w:val="24"/>
                <w:szCs w:val="24"/>
              </w:rPr>
            </w:pPr>
            <w:r>
              <w:rPr>
                <w:rFonts w:ascii="Times New Roman" w:hAnsi="Times New Roman" w:eastAsia="黑体"/>
                <w:bCs/>
                <w:sz w:val="24"/>
                <w:szCs w:val="24"/>
              </w:rPr>
              <w:t>规上工业产值</w:t>
            </w:r>
          </w:p>
          <w:p>
            <w:pPr>
              <w:widowControl/>
              <w:ind w:left="-57" w:right="-57"/>
              <w:jc w:val="center"/>
              <w:rPr>
                <w:rFonts w:ascii="Times New Roman" w:hAnsi="Times New Roman" w:eastAsia="黑体"/>
                <w:bCs/>
                <w:sz w:val="24"/>
                <w:szCs w:val="24"/>
              </w:rPr>
            </w:pPr>
            <w:r>
              <w:rPr>
                <w:rFonts w:ascii="Times New Roman" w:hAnsi="Times New Roman" w:eastAsia="黑体"/>
                <w:bCs/>
                <w:sz w:val="24"/>
                <w:szCs w:val="24"/>
              </w:rPr>
              <w:t>（亿元）</w:t>
            </w:r>
          </w:p>
        </w:tc>
        <w:tc>
          <w:tcPr>
            <w:tcW w:w="2378" w:type="dxa"/>
            <w:gridSpan w:val="2"/>
            <w:noWrap w:val="0"/>
            <w:vAlign w:val="center"/>
          </w:tcPr>
          <w:p>
            <w:pPr>
              <w:widowControl/>
              <w:ind w:left="-57" w:right="-57"/>
              <w:jc w:val="center"/>
              <w:rPr>
                <w:rFonts w:ascii="Times New Roman" w:hAnsi="Times New Roman" w:eastAsia="黑体"/>
                <w:bCs/>
                <w:sz w:val="24"/>
                <w:szCs w:val="24"/>
              </w:rPr>
            </w:pPr>
            <w:r>
              <w:rPr>
                <w:rFonts w:ascii="Times New Roman" w:hAnsi="Times New Roman" w:eastAsia="黑体"/>
                <w:bCs/>
                <w:sz w:val="24"/>
                <w:szCs w:val="24"/>
              </w:rPr>
              <w:t xml:space="preserve">实际到账注册外资（万美元）                                         </w:t>
            </w:r>
          </w:p>
        </w:tc>
        <w:tc>
          <w:tcPr>
            <w:tcW w:w="2717" w:type="dxa"/>
            <w:gridSpan w:val="2"/>
            <w:noWrap w:val="0"/>
            <w:vAlign w:val="center"/>
          </w:tcPr>
          <w:p>
            <w:pPr>
              <w:widowControl/>
              <w:ind w:left="-57" w:right="-57"/>
              <w:jc w:val="center"/>
              <w:rPr>
                <w:rFonts w:ascii="Times New Roman" w:hAnsi="Times New Roman" w:eastAsia="黑体"/>
                <w:bCs/>
                <w:sz w:val="24"/>
                <w:szCs w:val="24"/>
              </w:rPr>
            </w:pPr>
            <w:r>
              <w:rPr>
                <w:rFonts w:ascii="Times New Roman" w:hAnsi="Times New Roman" w:eastAsia="黑体"/>
                <w:bCs/>
                <w:sz w:val="24"/>
                <w:szCs w:val="24"/>
              </w:rPr>
              <w:t>高新技术产业产值</w:t>
            </w:r>
          </w:p>
          <w:p>
            <w:pPr>
              <w:widowControl/>
              <w:ind w:left="-57" w:right="-57"/>
              <w:jc w:val="center"/>
              <w:rPr>
                <w:rFonts w:ascii="Times New Roman" w:hAnsi="Times New Roman" w:eastAsia="黑体"/>
                <w:bCs/>
                <w:sz w:val="24"/>
                <w:szCs w:val="24"/>
              </w:rPr>
            </w:pPr>
            <w:r>
              <w:rPr>
                <w:rFonts w:ascii="Times New Roman" w:hAnsi="Times New Roman" w:eastAsia="黑体"/>
                <w:bCs/>
                <w:sz w:val="24"/>
                <w:szCs w:val="24"/>
              </w:rPr>
              <w:t>（亿元）</w:t>
            </w:r>
          </w:p>
        </w:tc>
        <w:tc>
          <w:tcPr>
            <w:tcW w:w="1774" w:type="dxa"/>
            <w:noWrap w:val="0"/>
            <w:vAlign w:val="top"/>
          </w:tcPr>
          <w:p>
            <w:pPr>
              <w:widowControl/>
              <w:ind w:left="-57" w:right="-57"/>
              <w:jc w:val="center"/>
              <w:rPr>
                <w:rFonts w:ascii="Times New Roman" w:hAnsi="Times New Roman" w:eastAsia="黑体"/>
                <w:bCs/>
                <w:sz w:val="24"/>
                <w:szCs w:val="24"/>
              </w:rPr>
            </w:pPr>
            <w:r>
              <w:rPr>
                <w:rFonts w:ascii="Times New Roman" w:hAnsi="Times New Roman" w:eastAsia="黑体"/>
                <w:bCs/>
                <w:sz w:val="24"/>
                <w:szCs w:val="24"/>
              </w:rPr>
              <w:t>新增重大</w:t>
            </w:r>
          </w:p>
          <w:p>
            <w:pPr>
              <w:widowControl/>
              <w:ind w:left="-57" w:right="-57"/>
              <w:jc w:val="center"/>
              <w:rPr>
                <w:rFonts w:ascii="Times New Roman" w:hAnsi="Times New Roman" w:eastAsia="黑体"/>
                <w:bCs/>
                <w:sz w:val="24"/>
                <w:szCs w:val="24"/>
              </w:rPr>
            </w:pPr>
            <w:r>
              <w:rPr>
                <w:rFonts w:ascii="Times New Roman" w:hAnsi="Times New Roman" w:eastAsia="黑体"/>
                <w:bCs/>
                <w:sz w:val="24"/>
                <w:szCs w:val="24"/>
              </w:rPr>
              <w:t>产业类项目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4" w:hRule="atLeast"/>
          <w:jc w:val="center"/>
        </w:trPr>
        <w:tc>
          <w:tcPr>
            <w:tcW w:w="1871" w:type="dxa"/>
            <w:vMerge w:val="continue"/>
            <w:noWrap w:val="0"/>
            <w:vAlign w:val="center"/>
          </w:tcPr>
          <w:p>
            <w:pPr>
              <w:widowControl/>
              <w:jc w:val="center"/>
              <w:rPr>
                <w:rFonts w:ascii="Times New Roman" w:hAnsi="Times New Roman" w:eastAsia="黑体"/>
                <w:bCs/>
                <w:sz w:val="24"/>
                <w:szCs w:val="24"/>
              </w:rPr>
            </w:pPr>
          </w:p>
        </w:tc>
        <w:tc>
          <w:tcPr>
            <w:tcW w:w="1327" w:type="dxa"/>
            <w:noWrap w:val="0"/>
            <w:vAlign w:val="center"/>
          </w:tcPr>
          <w:p>
            <w:pPr>
              <w:widowControl/>
              <w:jc w:val="center"/>
              <w:rPr>
                <w:rFonts w:ascii="Times New Roman" w:hAnsi="Times New Roman" w:eastAsia="黑体"/>
                <w:bCs/>
                <w:sz w:val="24"/>
                <w:szCs w:val="24"/>
              </w:rPr>
            </w:pPr>
            <w:r>
              <w:rPr>
                <w:rFonts w:ascii="Times New Roman" w:hAnsi="Times New Roman" w:eastAsia="黑体"/>
                <w:bCs/>
                <w:sz w:val="24"/>
                <w:szCs w:val="24"/>
              </w:rPr>
              <w:t>累计</w:t>
            </w:r>
          </w:p>
        </w:tc>
        <w:tc>
          <w:tcPr>
            <w:tcW w:w="1320" w:type="dxa"/>
            <w:noWrap w:val="0"/>
            <w:vAlign w:val="center"/>
          </w:tcPr>
          <w:p>
            <w:pPr>
              <w:widowControl/>
              <w:jc w:val="center"/>
              <w:rPr>
                <w:rFonts w:ascii="Times New Roman" w:hAnsi="Times New Roman" w:eastAsia="黑体"/>
                <w:bCs/>
                <w:sz w:val="24"/>
                <w:szCs w:val="24"/>
              </w:rPr>
            </w:pPr>
            <w:r>
              <w:rPr>
                <w:rFonts w:ascii="Times New Roman" w:hAnsi="Times New Roman" w:eastAsia="黑体"/>
                <w:bCs/>
                <w:sz w:val="24"/>
                <w:szCs w:val="24"/>
              </w:rPr>
              <w:t>同比±%</w:t>
            </w:r>
          </w:p>
        </w:tc>
        <w:tc>
          <w:tcPr>
            <w:tcW w:w="1460" w:type="dxa"/>
            <w:noWrap w:val="0"/>
            <w:vAlign w:val="center"/>
          </w:tcPr>
          <w:p>
            <w:pPr>
              <w:widowControl/>
              <w:jc w:val="center"/>
              <w:rPr>
                <w:rFonts w:ascii="Times New Roman" w:hAnsi="Times New Roman" w:eastAsia="黑体"/>
                <w:bCs/>
                <w:sz w:val="24"/>
                <w:szCs w:val="24"/>
              </w:rPr>
            </w:pPr>
            <w:r>
              <w:rPr>
                <w:rFonts w:ascii="Times New Roman" w:hAnsi="Times New Roman" w:eastAsia="黑体"/>
                <w:bCs/>
                <w:sz w:val="24"/>
                <w:szCs w:val="24"/>
              </w:rPr>
              <w:t>累计</w:t>
            </w:r>
          </w:p>
        </w:tc>
        <w:tc>
          <w:tcPr>
            <w:tcW w:w="1328" w:type="dxa"/>
            <w:noWrap w:val="0"/>
            <w:vAlign w:val="center"/>
          </w:tcPr>
          <w:p>
            <w:pPr>
              <w:widowControl/>
              <w:jc w:val="center"/>
              <w:rPr>
                <w:rFonts w:ascii="Times New Roman" w:hAnsi="Times New Roman" w:eastAsia="黑体"/>
                <w:bCs/>
                <w:sz w:val="24"/>
                <w:szCs w:val="24"/>
              </w:rPr>
            </w:pPr>
            <w:r>
              <w:rPr>
                <w:rFonts w:ascii="Times New Roman" w:hAnsi="Times New Roman" w:eastAsia="黑体"/>
                <w:bCs/>
                <w:sz w:val="24"/>
                <w:szCs w:val="24"/>
              </w:rPr>
              <w:t>同比±%</w:t>
            </w:r>
          </w:p>
        </w:tc>
        <w:tc>
          <w:tcPr>
            <w:tcW w:w="1228" w:type="dxa"/>
            <w:noWrap w:val="0"/>
            <w:vAlign w:val="center"/>
          </w:tcPr>
          <w:p>
            <w:pPr>
              <w:widowControl/>
              <w:jc w:val="center"/>
              <w:rPr>
                <w:rFonts w:ascii="Times New Roman" w:hAnsi="Times New Roman" w:eastAsia="黑体"/>
                <w:bCs/>
                <w:sz w:val="24"/>
                <w:szCs w:val="24"/>
              </w:rPr>
            </w:pPr>
            <w:r>
              <w:rPr>
                <w:rFonts w:ascii="Times New Roman" w:hAnsi="Times New Roman" w:eastAsia="黑体"/>
                <w:bCs/>
                <w:sz w:val="24"/>
                <w:szCs w:val="24"/>
              </w:rPr>
              <w:t>累计</w:t>
            </w:r>
          </w:p>
        </w:tc>
        <w:tc>
          <w:tcPr>
            <w:tcW w:w="1150" w:type="dxa"/>
            <w:noWrap w:val="0"/>
            <w:vAlign w:val="center"/>
          </w:tcPr>
          <w:p>
            <w:pPr>
              <w:widowControl/>
              <w:jc w:val="center"/>
              <w:rPr>
                <w:rFonts w:ascii="Times New Roman" w:hAnsi="Times New Roman" w:eastAsia="黑体"/>
                <w:bCs/>
                <w:sz w:val="24"/>
                <w:szCs w:val="24"/>
              </w:rPr>
            </w:pPr>
            <w:r>
              <w:rPr>
                <w:rFonts w:ascii="Times New Roman" w:hAnsi="Times New Roman" w:eastAsia="黑体"/>
                <w:bCs/>
                <w:sz w:val="24"/>
                <w:szCs w:val="24"/>
              </w:rPr>
              <w:t>同比±%</w:t>
            </w:r>
          </w:p>
        </w:tc>
        <w:tc>
          <w:tcPr>
            <w:tcW w:w="1401" w:type="dxa"/>
            <w:noWrap w:val="0"/>
            <w:vAlign w:val="center"/>
          </w:tcPr>
          <w:p>
            <w:pPr>
              <w:widowControl/>
              <w:jc w:val="center"/>
              <w:rPr>
                <w:rFonts w:ascii="Times New Roman" w:hAnsi="Times New Roman" w:eastAsia="黑体"/>
                <w:bCs/>
                <w:sz w:val="24"/>
                <w:szCs w:val="24"/>
              </w:rPr>
            </w:pPr>
            <w:r>
              <w:rPr>
                <w:rFonts w:ascii="Times New Roman" w:hAnsi="Times New Roman" w:eastAsia="黑体"/>
                <w:bCs/>
                <w:sz w:val="24"/>
                <w:szCs w:val="24"/>
              </w:rPr>
              <w:t>累计</w:t>
            </w:r>
          </w:p>
        </w:tc>
        <w:tc>
          <w:tcPr>
            <w:tcW w:w="1316" w:type="dxa"/>
            <w:noWrap w:val="0"/>
            <w:vAlign w:val="center"/>
          </w:tcPr>
          <w:p>
            <w:pPr>
              <w:widowControl/>
              <w:jc w:val="center"/>
              <w:rPr>
                <w:rFonts w:ascii="Times New Roman" w:hAnsi="Times New Roman" w:eastAsia="黑体"/>
                <w:bCs/>
                <w:sz w:val="24"/>
                <w:szCs w:val="24"/>
              </w:rPr>
            </w:pPr>
            <w:r>
              <w:rPr>
                <w:rFonts w:ascii="Times New Roman" w:hAnsi="Times New Roman" w:eastAsia="黑体"/>
                <w:bCs/>
                <w:sz w:val="24"/>
                <w:szCs w:val="24"/>
              </w:rPr>
              <w:t>同比±%</w:t>
            </w:r>
          </w:p>
        </w:tc>
        <w:tc>
          <w:tcPr>
            <w:tcW w:w="1774" w:type="dxa"/>
            <w:noWrap w:val="0"/>
            <w:vAlign w:val="center"/>
          </w:tcPr>
          <w:p>
            <w:pPr>
              <w:widowControl/>
              <w:ind w:firstLine="360" w:firstLineChars="150"/>
              <w:rPr>
                <w:rFonts w:ascii="Times New Roman" w:hAnsi="Times New Roman" w:eastAsia="黑体"/>
                <w:bCs/>
                <w:sz w:val="24"/>
                <w:szCs w:val="24"/>
              </w:rPr>
            </w:pPr>
            <w:r>
              <w:rPr>
                <w:rFonts w:ascii="Times New Roman" w:hAnsi="Times New Roman" w:eastAsia="黑体"/>
                <w:bCs/>
                <w:sz w:val="24"/>
                <w:szCs w:val="24"/>
              </w:rPr>
              <w:t>（个）</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871" w:type="dxa"/>
            <w:noWrap w:val="0"/>
            <w:vAlign w:val="center"/>
          </w:tcPr>
          <w:p>
            <w:pPr>
              <w:widowControl/>
              <w:jc w:val="center"/>
              <w:rPr>
                <w:rFonts w:ascii="Times New Roman" w:hAnsi="Times New Roman"/>
                <w:bCs/>
                <w:sz w:val="24"/>
                <w:szCs w:val="24"/>
              </w:rPr>
            </w:pPr>
            <w:r>
              <w:rPr>
                <w:rFonts w:ascii="Times New Roman" w:hAnsi="Times New Roman"/>
                <w:bCs/>
                <w:sz w:val="24"/>
                <w:szCs w:val="24"/>
              </w:rPr>
              <w:t xml:space="preserve">常州高新区  </w:t>
            </w:r>
          </w:p>
        </w:tc>
        <w:tc>
          <w:tcPr>
            <w:tcW w:w="1327" w:type="dxa"/>
            <w:noWrap/>
            <w:vAlign w:val="center"/>
          </w:tcPr>
          <w:p>
            <w:pPr>
              <w:widowControl/>
              <w:spacing w:line="300" w:lineRule="exact"/>
              <w:jc w:val="center"/>
              <w:rPr>
                <w:rFonts w:ascii="Times New Roman" w:hAnsi="Times New Roman"/>
                <w:sz w:val="24"/>
              </w:rPr>
            </w:pPr>
            <w:r>
              <w:rPr>
                <w:rFonts w:ascii="Times New Roman" w:hAnsi="Times New Roman"/>
                <w:sz w:val="24"/>
              </w:rPr>
              <w:t xml:space="preserve">132.8 </w:t>
            </w:r>
          </w:p>
        </w:tc>
        <w:tc>
          <w:tcPr>
            <w:tcW w:w="1320" w:type="dxa"/>
            <w:noWrap/>
            <w:vAlign w:val="center"/>
          </w:tcPr>
          <w:p>
            <w:pPr>
              <w:widowControl/>
              <w:spacing w:line="300" w:lineRule="exact"/>
              <w:jc w:val="center"/>
              <w:rPr>
                <w:rFonts w:ascii="Times New Roman" w:hAnsi="Times New Roman"/>
                <w:sz w:val="24"/>
              </w:rPr>
            </w:pPr>
            <w:r>
              <w:rPr>
                <w:rFonts w:ascii="Times New Roman" w:hAnsi="Times New Roman"/>
                <w:sz w:val="24"/>
              </w:rPr>
              <w:t xml:space="preserve">5.1 </w:t>
            </w:r>
          </w:p>
        </w:tc>
        <w:tc>
          <w:tcPr>
            <w:tcW w:w="1460" w:type="dxa"/>
            <w:noWrap/>
            <w:vAlign w:val="center"/>
          </w:tcPr>
          <w:p>
            <w:pPr>
              <w:widowControl/>
              <w:spacing w:line="300" w:lineRule="exact"/>
              <w:jc w:val="center"/>
              <w:rPr>
                <w:rFonts w:ascii="Times New Roman" w:hAnsi="Times New Roman"/>
                <w:sz w:val="24"/>
              </w:rPr>
            </w:pPr>
            <w:r>
              <w:rPr>
                <w:rFonts w:ascii="Times New Roman" w:hAnsi="Times New Roman"/>
                <w:sz w:val="24"/>
              </w:rPr>
              <w:t xml:space="preserve">2534.3 </w:t>
            </w:r>
          </w:p>
        </w:tc>
        <w:tc>
          <w:tcPr>
            <w:tcW w:w="1328" w:type="dxa"/>
            <w:noWrap/>
            <w:vAlign w:val="center"/>
          </w:tcPr>
          <w:p>
            <w:pPr>
              <w:widowControl/>
              <w:spacing w:line="300" w:lineRule="exact"/>
              <w:jc w:val="center"/>
              <w:rPr>
                <w:rFonts w:ascii="Times New Roman" w:hAnsi="Times New Roman"/>
                <w:sz w:val="24"/>
              </w:rPr>
            </w:pPr>
            <w:r>
              <w:rPr>
                <w:rFonts w:ascii="Times New Roman" w:hAnsi="Times New Roman"/>
                <w:sz w:val="24"/>
              </w:rPr>
              <w:t xml:space="preserve">7.2 </w:t>
            </w:r>
          </w:p>
        </w:tc>
        <w:tc>
          <w:tcPr>
            <w:tcW w:w="1228" w:type="dxa"/>
            <w:noWrap/>
            <w:vAlign w:val="center"/>
          </w:tcPr>
          <w:p>
            <w:pPr>
              <w:widowControl/>
              <w:spacing w:line="300" w:lineRule="exact"/>
              <w:jc w:val="center"/>
              <w:rPr>
                <w:rFonts w:ascii="Times New Roman" w:hAnsi="Times New Roman"/>
                <w:sz w:val="24"/>
              </w:rPr>
            </w:pPr>
            <w:r>
              <w:rPr>
                <w:rFonts w:ascii="Times New Roman" w:hAnsi="Times New Roman"/>
                <w:sz w:val="24"/>
              </w:rPr>
              <w:t xml:space="preserve">80002 </w:t>
            </w:r>
          </w:p>
        </w:tc>
        <w:tc>
          <w:tcPr>
            <w:tcW w:w="1150" w:type="dxa"/>
            <w:noWrap/>
            <w:vAlign w:val="center"/>
          </w:tcPr>
          <w:p>
            <w:pPr>
              <w:widowControl/>
              <w:spacing w:line="300" w:lineRule="exact"/>
              <w:jc w:val="center"/>
              <w:rPr>
                <w:rFonts w:ascii="Times New Roman" w:hAnsi="Times New Roman"/>
                <w:sz w:val="24"/>
              </w:rPr>
            </w:pPr>
            <w:r>
              <w:rPr>
                <w:rFonts w:ascii="Times New Roman" w:hAnsi="Times New Roman"/>
                <w:sz w:val="24"/>
              </w:rPr>
              <w:t xml:space="preserve">5.0 </w:t>
            </w:r>
          </w:p>
        </w:tc>
        <w:tc>
          <w:tcPr>
            <w:tcW w:w="1401" w:type="dxa"/>
            <w:noWrap/>
            <w:vAlign w:val="center"/>
          </w:tcPr>
          <w:p>
            <w:pPr>
              <w:widowControl/>
              <w:spacing w:line="300" w:lineRule="exact"/>
              <w:jc w:val="center"/>
              <w:rPr>
                <w:rFonts w:ascii="Times New Roman" w:hAnsi="Times New Roman"/>
                <w:sz w:val="24"/>
              </w:rPr>
            </w:pPr>
            <w:r>
              <w:rPr>
                <w:rFonts w:ascii="Times New Roman" w:hAnsi="Times New Roman"/>
                <w:sz w:val="24"/>
              </w:rPr>
              <w:t xml:space="preserve">1501.7 </w:t>
            </w:r>
          </w:p>
        </w:tc>
        <w:tc>
          <w:tcPr>
            <w:tcW w:w="1316" w:type="dxa"/>
            <w:noWrap/>
            <w:vAlign w:val="center"/>
          </w:tcPr>
          <w:p>
            <w:pPr>
              <w:widowControl/>
              <w:spacing w:line="300" w:lineRule="exact"/>
              <w:jc w:val="center"/>
              <w:rPr>
                <w:rFonts w:ascii="Times New Roman" w:hAnsi="Times New Roman"/>
                <w:sz w:val="24"/>
              </w:rPr>
            </w:pPr>
            <w:r>
              <w:rPr>
                <w:rFonts w:ascii="Times New Roman" w:hAnsi="Times New Roman"/>
                <w:sz w:val="24"/>
              </w:rPr>
              <w:t xml:space="preserve">5.0 </w:t>
            </w:r>
          </w:p>
        </w:tc>
        <w:tc>
          <w:tcPr>
            <w:tcW w:w="1774" w:type="dxa"/>
            <w:noWrap w:val="0"/>
            <w:vAlign w:val="center"/>
          </w:tcPr>
          <w:p>
            <w:pPr>
              <w:widowControl/>
              <w:spacing w:line="300" w:lineRule="exact"/>
              <w:jc w:val="center"/>
              <w:rPr>
                <w:rFonts w:ascii="Times New Roman" w:hAnsi="Times New Roman"/>
                <w:sz w:val="24"/>
              </w:rPr>
            </w:pPr>
            <w:r>
              <w:rPr>
                <w:rFonts w:ascii="Times New Roman" w:hAnsi="Times New Roman"/>
                <w:sz w:val="24"/>
              </w:rPr>
              <w:t xml:space="preserve">19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871" w:type="dxa"/>
            <w:noWrap w:val="0"/>
            <w:vAlign w:val="center"/>
          </w:tcPr>
          <w:p>
            <w:pPr>
              <w:widowControl/>
              <w:jc w:val="center"/>
              <w:rPr>
                <w:rFonts w:ascii="Times New Roman" w:hAnsi="Times New Roman"/>
                <w:bCs/>
                <w:sz w:val="24"/>
                <w:szCs w:val="24"/>
              </w:rPr>
            </w:pPr>
            <w:r>
              <w:rPr>
                <w:rFonts w:ascii="Times New Roman" w:hAnsi="Times New Roman"/>
                <w:bCs/>
                <w:sz w:val="24"/>
                <w:szCs w:val="24"/>
              </w:rPr>
              <w:t>武进高新区</w:t>
            </w:r>
          </w:p>
        </w:tc>
        <w:tc>
          <w:tcPr>
            <w:tcW w:w="1327" w:type="dxa"/>
            <w:noWrap/>
            <w:vAlign w:val="center"/>
          </w:tcPr>
          <w:p>
            <w:pPr>
              <w:widowControl/>
              <w:spacing w:line="300" w:lineRule="exact"/>
              <w:jc w:val="center"/>
              <w:rPr>
                <w:rFonts w:ascii="Times New Roman" w:hAnsi="Times New Roman"/>
                <w:sz w:val="24"/>
              </w:rPr>
            </w:pPr>
            <w:r>
              <w:rPr>
                <w:rFonts w:ascii="Times New Roman" w:hAnsi="Times New Roman"/>
                <w:sz w:val="24"/>
              </w:rPr>
              <w:t xml:space="preserve">39.8 </w:t>
            </w:r>
          </w:p>
        </w:tc>
        <w:tc>
          <w:tcPr>
            <w:tcW w:w="1320" w:type="dxa"/>
            <w:noWrap/>
            <w:vAlign w:val="center"/>
          </w:tcPr>
          <w:p>
            <w:pPr>
              <w:widowControl/>
              <w:spacing w:line="300" w:lineRule="exact"/>
              <w:jc w:val="center"/>
              <w:rPr>
                <w:rFonts w:ascii="Times New Roman" w:hAnsi="Times New Roman"/>
                <w:sz w:val="24"/>
              </w:rPr>
            </w:pPr>
            <w:r>
              <w:rPr>
                <w:rFonts w:ascii="Times New Roman" w:hAnsi="Times New Roman"/>
                <w:sz w:val="24"/>
              </w:rPr>
              <w:t xml:space="preserve">6.8 </w:t>
            </w:r>
          </w:p>
        </w:tc>
        <w:tc>
          <w:tcPr>
            <w:tcW w:w="1460" w:type="dxa"/>
            <w:noWrap/>
            <w:vAlign w:val="center"/>
          </w:tcPr>
          <w:p>
            <w:pPr>
              <w:widowControl/>
              <w:spacing w:line="300" w:lineRule="exact"/>
              <w:jc w:val="center"/>
              <w:rPr>
                <w:rFonts w:ascii="Times New Roman" w:hAnsi="Times New Roman"/>
                <w:sz w:val="24"/>
              </w:rPr>
            </w:pPr>
            <w:r>
              <w:rPr>
                <w:rFonts w:ascii="Times New Roman" w:hAnsi="Times New Roman"/>
                <w:sz w:val="24"/>
              </w:rPr>
              <w:t xml:space="preserve">1018.4 </w:t>
            </w:r>
          </w:p>
        </w:tc>
        <w:tc>
          <w:tcPr>
            <w:tcW w:w="1328" w:type="dxa"/>
            <w:noWrap/>
            <w:vAlign w:val="center"/>
          </w:tcPr>
          <w:p>
            <w:pPr>
              <w:widowControl/>
              <w:spacing w:line="300" w:lineRule="exact"/>
              <w:jc w:val="center"/>
              <w:rPr>
                <w:rFonts w:ascii="Times New Roman" w:hAnsi="Times New Roman"/>
                <w:sz w:val="24"/>
              </w:rPr>
            </w:pPr>
            <w:r>
              <w:rPr>
                <w:rFonts w:ascii="Times New Roman" w:hAnsi="Times New Roman"/>
                <w:sz w:val="24"/>
              </w:rPr>
              <w:t xml:space="preserve">8.6 </w:t>
            </w:r>
          </w:p>
        </w:tc>
        <w:tc>
          <w:tcPr>
            <w:tcW w:w="1228" w:type="dxa"/>
            <w:noWrap/>
            <w:vAlign w:val="center"/>
          </w:tcPr>
          <w:p>
            <w:pPr>
              <w:widowControl/>
              <w:spacing w:line="300" w:lineRule="exact"/>
              <w:jc w:val="center"/>
              <w:rPr>
                <w:rFonts w:ascii="Times New Roman" w:hAnsi="Times New Roman"/>
                <w:sz w:val="24"/>
              </w:rPr>
            </w:pPr>
            <w:r>
              <w:rPr>
                <w:rFonts w:ascii="Times New Roman" w:hAnsi="Times New Roman"/>
                <w:sz w:val="24"/>
              </w:rPr>
              <w:t xml:space="preserve">47256 </w:t>
            </w:r>
          </w:p>
        </w:tc>
        <w:tc>
          <w:tcPr>
            <w:tcW w:w="1150" w:type="dxa"/>
            <w:noWrap/>
            <w:vAlign w:val="center"/>
          </w:tcPr>
          <w:p>
            <w:pPr>
              <w:widowControl/>
              <w:spacing w:line="300" w:lineRule="exact"/>
              <w:jc w:val="center"/>
              <w:rPr>
                <w:rFonts w:ascii="Times New Roman" w:hAnsi="Times New Roman"/>
                <w:sz w:val="24"/>
              </w:rPr>
            </w:pPr>
            <w:r>
              <w:rPr>
                <w:rFonts w:ascii="Times New Roman" w:hAnsi="Times New Roman"/>
                <w:sz w:val="24"/>
              </w:rPr>
              <w:t xml:space="preserve">-0.5 </w:t>
            </w:r>
          </w:p>
        </w:tc>
        <w:tc>
          <w:tcPr>
            <w:tcW w:w="1401" w:type="dxa"/>
            <w:noWrap/>
            <w:vAlign w:val="center"/>
          </w:tcPr>
          <w:p>
            <w:pPr>
              <w:widowControl/>
              <w:spacing w:line="300" w:lineRule="exact"/>
              <w:jc w:val="center"/>
              <w:rPr>
                <w:rFonts w:ascii="Times New Roman" w:hAnsi="Times New Roman"/>
                <w:sz w:val="24"/>
              </w:rPr>
            </w:pPr>
            <w:r>
              <w:rPr>
                <w:rFonts w:ascii="Times New Roman" w:hAnsi="Times New Roman"/>
                <w:sz w:val="24"/>
              </w:rPr>
              <w:t xml:space="preserve">656.2 </w:t>
            </w:r>
          </w:p>
        </w:tc>
        <w:tc>
          <w:tcPr>
            <w:tcW w:w="1316" w:type="dxa"/>
            <w:noWrap/>
            <w:vAlign w:val="center"/>
          </w:tcPr>
          <w:p>
            <w:pPr>
              <w:widowControl/>
              <w:spacing w:line="300" w:lineRule="exact"/>
              <w:jc w:val="center"/>
              <w:rPr>
                <w:rFonts w:ascii="Times New Roman" w:hAnsi="Times New Roman"/>
                <w:sz w:val="24"/>
              </w:rPr>
            </w:pPr>
            <w:r>
              <w:rPr>
                <w:rFonts w:ascii="Times New Roman" w:hAnsi="Times New Roman"/>
                <w:sz w:val="24"/>
              </w:rPr>
              <w:t xml:space="preserve">2.9 </w:t>
            </w:r>
          </w:p>
        </w:tc>
        <w:tc>
          <w:tcPr>
            <w:tcW w:w="1774" w:type="dxa"/>
            <w:noWrap w:val="0"/>
            <w:vAlign w:val="center"/>
          </w:tcPr>
          <w:p>
            <w:pPr>
              <w:widowControl/>
              <w:spacing w:line="300" w:lineRule="exact"/>
              <w:jc w:val="center"/>
              <w:rPr>
                <w:rFonts w:ascii="Times New Roman" w:hAnsi="Times New Roman"/>
                <w:sz w:val="24"/>
              </w:rPr>
            </w:pPr>
            <w:r>
              <w:rPr>
                <w:rFonts w:ascii="Times New Roman" w:hAnsi="Times New Roman"/>
                <w:sz w:val="24"/>
              </w:rPr>
              <w:t xml:space="preserve">11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871" w:type="dxa"/>
            <w:noWrap w:val="0"/>
            <w:vAlign w:val="center"/>
          </w:tcPr>
          <w:p>
            <w:pPr>
              <w:widowControl/>
              <w:jc w:val="center"/>
              <w:rPr>
                <w:rFonts w:ascii="Times New Roman" w:hAnsi="Times New Roman"/>
                <w:bCs/>
                <w:sz w:val="24"/>
                <w:szCs w:val="24"/>
              </w:rPr>
            </w:pPr>
            <w:r>
              <w:rPr>
                <w:rFonts w:ascii="Times New Roman" w:hAnsi="Times New Roman"/>
                <w:bCs/>
                <w:sz w:val="24"/>
                <w:szCs w:val="24"/>
              </w:rPr>
              <w:t>常州经开区</w:t>
            </w:r>
          </w:p>
        </w:tc>
        <w:tc>
          <w:tcPr>
            <w:tcW w:w="1327" w:type="dxa"/>
            <w:noWrap/>
            <w:vAlign w:val="center"/>
          </w:tcPr>
          <w:p>
            <w:pPr>
              <w:widowControl/>
              <w:spacing w:line="300" w:lineRule="exact"/>
              <w:jc w:val="center"/>
              <w:rPr>
                <w:rFonts w:ascii="Times New Roman" w:hAnsi="Times New Roman"/>
                <w:sz w:val="24"/>
              </w:rPr>
            </w:pPr>
            <w:r>
              <w:rPr>
                <w:rFonts w:ascii="Times New Roman" w:hAnsi="Times New Roman"/>
                <w:sz w:val="24"/>
              </w:rPr>
              <w:t xml:space="preserve">55.9 </w:t>
            </w:r>
          </w:p>
        </w:tc>
        <w:tc>
          <w:tcPr>
            <w:tcW w:w="1320" w:type="dxa"/>
            <w:noWrap/>
            <w:vAlign w:val="center"/>
          </w:tcPr>
          <w:p>
            <w:pPr>
              <w:widowControl/>
              <w:spacing w:line="300" w:lineRule="exact"/>
              <w:jc w:val="center"/>
              <w:rPr>
                <w:rFonts w:ascii="Times New Roman" w:hAnsi="Times New Roman"/>
                <w:sz w:val="24"/>
              </w:rPr>
            </w:pPr>
            <w:r>
              <w:rPr>
                <w:rFonts w:ascii="Times New Roman" w:hAnsi="Times New Roman"/>
                <w:sz w:val="24"/>
              </w:rPr>
              <w:t xml:space="preserve">1.5 </w:t>
            </w:r>
          </w:p>
        </w:tc>
        <w:tc>
          <w:tcPr>
            <w:tcW w:w="1460" w:type="dxa"/>
            <w:noWrap/>
            <w:vAlign w:val="center"/>
          </w:tcPr>
          <w:p>
            <w:pPr>
              <w:widowControl/>
              <w:spacing w:line="300" w:lineRule="exact"/>
              <w:jc w:val="center"/>
              <w:rPr>
                <w:rFonts w:ascii="Times New Roman" w:hAnsi="Times New Roman"/>
                <w:sz w:val="24"/>
              </w:rPr>
            </w:pPr>
            <w:r>
              <w:rPr>
                <w:rFonts w:ascii="Times New Roman" w:hAnsi="Times New Roman"/>
                <w:sz w:val="24"/>
              </w:rPr>
              <w:t xml:space="preserve">1947.9 </w:t>
            </w:r>
          </w:p>
        </w:tc>
        <w:tc>
          <w:tcPr>
            <w:tcW w:w="1328" w:type="dxa"/>
            <w:noWrap/>
            <w:vAlign w:val="center"/>
          </w:tcPr>
          <w:p>
            <w:pPr>
              <w:widowControl/>
              <w:spacing w:line="300" w:lineRule="exact"/>
              <w:jc w:val="center"/>
              <w:rPr>
                <w:rFonts w:ascii="Times New Roman" w:hAnsi="Times New Roman"/>
                <w:sz w:val="24"/>
              </w:rPr>
            </w:pPr>
            <w:r>
              <w:rPr>
                <w:rFonts w:ascii="Times New Roman" w:hAnsi="Times New Roman"/>
                <w:sz w:val="24"/>
              </w:rPr>
              <w:t xml:space="preserve">7.3 </w:t>
            </w:r>
          </w:p>
        </w:tc>
        <w:tc>
          <w:tcPr>
            <w:tcW w:w="1228" w:type="dxa"/>
            <w:noWrap/>
            <w:vAlign w:val="center"/>
          </w:tcPr>
          <w:p>
            <w:pPr>
              <w:widowControl/>
              <w:spacing w:line="300" w:lineRule="exact"/>
              <w:jc w:val="center"/>
              <w:rPr>
                <w:rFonts w:ascii="Times New Roman" w:hAnsi="Times New Roman"/>
                <w:sz w:val="24"/>
              </w:rPr>
            </w:pPr>
            <w:r>
              <w:rPr>
                <w:rFonts w:ascii="Times New Roman" w:hAnsi="Times New Roman"/>
                <w:sz w:val="24"/>
              </w:rPr>
              <w:t xml:space="preserve">15054 </w:t>
            </w:r>
          </w:p>
        </w:tc>
        <w:tc>
          <w:tcPr>
            <w:tcW w:w="1150" w:type="dxa"/>
            <w:noWrap/>
            <w:vAlign w:val="center"/>
          </w:tcPr>
          <w:p>
            <w:pPr>
              <w:widowControl/>
              <w:spacing w:line="300" w:lineRule="exact"/>
              <w:jc w:val="center"/>
              <w:rPr>
                <w:rFonts w:ascii="Times New Roman" w:hAnsi="Times New Roman"/>
                <w:sz w:val="24"/>
              </w:rPr>
            </w:pPr>
            <w:r>
              <w:rPr>
                <w:rFonts w:ascii="Times New Roman" w:hAnsi="Times New Roman"/>
                <w:sz w:val="24"/>
              </w:rPr>
              <w:t xml:space="preserve">56.8 </w:t>
            </w:r>
          </w:p>
        </w:tc>
        <w:tc>
          <w:tcPr>
            <w:tcW w:w="1401" w:type="dxa"/>
            <w:noWrap/>
            <w:vAlign w:val="center"/>
          </w:tcPr>
          <w:p>
            <w:pPr>
              <w:widowControl/>
              <w:spacing w:line="300" w:lineRule="exact"/>
              <w:jc w:val="center"/>
              <w:rPr>
                <w:rFonts w:ascii="Times New Roman" w:hAnsi="Times New Roman"/>
                <w:sz w:val="24"/>
              </w:rPr>
            </w:pPr>
            <w:r>
              <w:rPr>
                <w:rFonts w:ascii="Times New Roman" w:hAnsi="Times New Roman"/>
                <w:sz w:val="24"/>
              </w:rPr>
              <w:t xml:space="preserve">694.7 </w:t>
            </w:r>
          </w:p>
        </w:tc>
        <w:tc>
          <w:tcPr>
            <w:tcW w:w="1316" w:type="dxa"/>
            <w:noWrap/>
            <w:vAlign w:val="center"/>
          </w:tcPr>
          <w:p>
            <w:pPr>
              <w:widowControl/>
              <w:spacing w:line="300" w:lineRule="exact"/>
              <w:jc w:val="center"/>
              <w:rPr>
                <w:rFonts w:ascii="Times New Roman" w:hAnsi="Times New Roman"/>
                <w:sz w:val="24"/>
              </w:rPr>
            </w:pPr>
            <w:r>
              <w:rPr>
                <w:rFonts w:ascii="Times New Roman" w:hAnsi="Times New Roman"/>
                <w:sz w:val="24"/>
              </w:rPr>
              <w:t xml:space="preserve">4.8 </w:t>
            </w:r>
          </w:p>
        </w:tc>
        <w:tc>
          <w:tcPr>
            <w:tcW w:w="1774" w:type="dxa"/>
            <w:noWrap w:val="0"/>
            <w:vAlign w:val="center"/>
          </w:tcPr>
          <w:p>
            <w:pPr>
              <w:widowControl/>
              <w:spacing w:line="300" w:lineRule="exact"/>
              <w:jc w:val="center"/>
              <w:rPr>
                <w:rFonts w:ascii="Times New Roman" w:hAnsi="Times New Roman"/>
                <w:sz w:val="24"/>
              </w:rPr>
            </w:pPr>
            <w:r>
              <w:rPr>
                <w:rFonts w:ascii="Times New Roman" w:hAnsi="Times New Roman"/>
                <w:sz w:val="24"/>
              </w:rPr>
              <w:t xml:space="preserve">4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871" w:type="dxa"/>
            <w:noWrap w:val="0"/>
            <w:vAlign w:val="center"/>
          </w:tcPr>
          <w:p>
            <w:pPr>
              <w:widowControl/>
              <w:jc w:val="center"/>
              <w:rPr>
                <w:rFonts w:ascii="Times New Roman" w:hAnsi="Times New Roman"/>
                <w:bCs/>
                <w:sz w:val="24"/>
                <w:szCs w:val="24"/>
              </w:rPr>
            </w:pPr>
            <w:r>
              <w:rPr>
                <w:rFonts w:ascii="Times New Roman" w:hAnsi="Times New Roman"/>
                <w:bCs/>
                <w:sz w:val="24"/>
                <w:szCs w:val="24"/>
              </w:rPr>
              <w:t>金坛经开区</w:t>
            </w:r>
          </w:p>
        </w:tc>
        <w:tc>
          <w:tcPr>
            <w:tcW w:w="1327" w:type="dxa"/>
            <w:noWrap/>
            <w:vAlign w:val="center"/>
          </w:tcPr>
          <w:p>
            <w:pPr>
              <w:widowControl/>
              <w:spacing w:line="300" w:lineRule="exact"/>
              <w:jc w:val="center"/>
              <w:rPr>
                <w:rFonts w:ascii="Times New Roman" w:hAnsi="Times New Roman"/>
                <w:sz w:val="24"/>
              </w:rPr>
            </w:pPr>
            <w:r>
              <w:rPr>
                <w:rFonts w:ascii="Times New Roman" w:hAnsi="Times New Roman"/>
                <w:sz w:val="24"/>
              </w:rPr>
              <w:t xml:space="preserve">15.2 </w:t>
            </w:r>
          </w:p>
        </w:tc>
        <w:tc>
          <w:tcPr>
            <w:tcW w:w="1320" w:type="dxa"/>
            <w:noWrap/>
            <w:vAlign w:val="center"/>
          </w:tcPr>
          <w:p>
            <w:pPr>
              <w:widowControl/>
              <w:spacing w:line="300" w:lineRule="exact"/>
              <w:jc w:val="center"/>
              <w:rPr>
                <w:rFonts w:ascii="Times New Roman" w:hAnsi="Times New Roman"/>
                <w:sz w:val="24"/>
              </w:rPr>
            </w:pPr>
            <w:r>
              <w:rPr>
                <w:rFonts w:ascii="Times New Roman" w:hAnsi="Times New Roman"/>
                <w:sz w:val="24"/>
              </w:rPr>
              <w:t xml:space="preserve">-28.2 </w:t>
            </w:r>
          </w:p>
        </w:tc>
        <w:tc>
          <w:tcPr>
            <w:tcW w:w="1460" w:type="dxa"/>
            <w:noWrap/>
            <w:vAlign w:val="center"/>
          </w:tcPr>
          <w:p>
            <w:pPr>
              <w:widowControl/>
              <w:spacing w:line="300" w:lineRule="exact"/>
              <w:jc w:val="center"/>
              <w:rPr>
                <w:rFonts w:ascii="Times New Roman" w:hAnsi="Times New Roman"/>
                <w:sz w:val="24"/>
              </w:rPr>
            </w:pPr>
            <w:r>
              <w:rPr>
                <w:rFonts w:ascii="Times New Roman" w:hAnsi="Times New Roman"/>
                <w:sz w:val="24"/>
              </w:rPr>
              <w:t xml:space="preserve">931.5 </w:t>
            </w:r>
          </w:p>
        </w:tc>
        <w:tc>
          <w:tcPr>
            <w:tcW w:w="1328" w:type="dxa"/>
            <w:noWrap/>
            <w:vAlign w:val="center"/>
          </w:tcPr>
          <w:p>
            <w:pPr>
              <w:widowControl/>
              <w:spacing w:line="300" w:lineRule="exact"/>
              <w:jc w:val="center"/>
              <w:rPr>
                <w:rFonts w:ascii="Times New Roman" w:hAnsi="Times New Roman"/>
                <w:sz w:val="24"/>
              </w:rPr>
            </w:pPr>
            <w:r>
              <w:rPr>
                <w:rFonts w:ascii="Times New Roman" w:hAnsi="Times New Roman"/>
                <w:sz w:val="24"/>
              </w:rPr>
              <w:t xml:space="preserve">8.7 </w:t>
            </w:r>
          </w:p>
        </w:tc>
        <w:tc>
          <w:tcPr>
            <w:tcW w:w="1228" w:type="dxa"/>
            <w:noWrap/>
            <w:vAlign w:val="center"/>
          </w:tcPr>
          <w:p>
            <w:pPr>
              <w:widowControl/>
              <w:spacing w:line="300" w:lineRule="exact"/>
              <w:jc w:val="center"/>
              <w:rPr>
                <w:rFonts w:ascii="Times New Roman" w:hAnsi="Times New Roman"/>
                <w:sz w:val="24"/>
              </w:rPr>
            </w:pPr>
            <w:r>
              <w:rPr>
                <w:rFonts w:ascii="Times New Roman" w:hAnsi="Times New Roman"/>
                <w:sz w:val="24"/>
              </w:rPr>
              <w:t xml:space="preserve">18395 </w:t>
            </w:r>
          </w:p>
        </w:tc>
        <w:tc>
          <w:tcPr>
            <w:tcW w:w="1150" w:type="dxa"/>
            <w:noWrap/>
            <w:vAlign w:val="center"/>
          </w:tcPr>
          <w:p>
            <w:pPr>
              <w:widowControl/>
              <w:spacing w:line="300" w:lineRule="exact"/>
              <w:jc w:val="center"/>
              <w:rPr>
                <w:rFonts w:ascii="Times New Roman" w:hAnsi="Times New Roman"/>
                <w:sz w:val="24"/>
              </w:rPr>
            </w:pPr>
            <w:r>
              <w:rPr>
                <w:rFonts w:ascii="Times New Roman" w:hAnsi="Times New Roman"/>
                <w:sz w:val="24"/>
              </w:rPr>
              <w:t xml:space="preserve">-26.5 </w:t>
            </w:r>
          </w:p>
        </w:tc>
        <w:tc>
          <w:tcPr>
            <w:tcW w:w="1401" w:type="dxa"/>
            <w:noWrap/>
            <w:vAlign w:val="center"/>
          </w:tcPr>
          <w:p>
            <w:pPr>
              <w:widowControl/>
              <w:spacing w:line="300" w:lineRule="exact"/>
              <w:jc w:val="center"/>
              <w:rPr>
                <w:rFonts w:ascii="Times New Roman" w:hAnsi="Times New Roman"/>
                <w:sz w:val="24"/>
              </w:rPr>
            </w:pPr>
            <w:r>
              <w:rPr>
                <w:rFonts w:ascii="Times New Roman" w:hAnsi="Times New Roman"/>
                <w:sz w:val="24"/>
              </w:rPr>
              <w:t xml:space="preserve">499.8 </w:t>
            </w:r>
          </w:p>
        </w:tc>
        <w:tc>
          <w:tcPr>
            <w:tcW w:w="1316" w:type="dxa"/>
            <w:noWrap/>
            <w:vAlign w:val="center"/>
          </w:tcPr>
          <w:p>
            <w:pPr>
              <w:widowControl/>
              <w:spacing w:line="300" w:lineRule="exact"/>
              <w:jc w:val="center"/>
              <w:rPr>
                <w:rFonts w:ascii="Times New Roman" w:hAnsi="Times New Roman"/>
                <w:sz w:val="24"/>
              </w:rPr>
            </w:pPr>
            <w:r>
              <w:rPr>
                <w:rFonts w:ascii="Times New Roman" w:hAnsi="Times New Roman"/>
                <w:sz w:val="24"/>
              </w:rPr>
              <w:t xml:space="preserve">7.6 </w:t>
            </w:r>
          </w:p>
        </w:tc>
        <w:tc>
          <w:tcPr>
            <w:tcW w:w="1774" w:type="dxa"/>
            <w:noWrap w:val="0"/>
            <w:vAlign w:val="center"/>
          </w:tcPr>
          <w:p>
            <w:pPr>
              <w:widowControl/>
              <w:spacing w:line="300" w:lineRule="exact"/>
              <w:jc w:val="center"/>
              <w:rPr>
                <w:rFonts w:ascii="Times New Roman" w:hAnsi="Times New Roman"/>
                <w:sz w:val="24"/>
              </w:rPr>
            </w:pPr>
            <w:r>
              <w:rPr>
                <w:rFonts w:ascii="Times New Roman" w:hAnsi="Times New Roman"/>
                <w:sz w:val="24"/>
              </w:rPr>
              <w:t xml:space="preserve">6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871" w:type="dxa"/>
            <w:noWrap w:val="0"/>
            <w:vAlign w:val="center"/>
          </w:tcPr>
          <w:p>
            <w:pPr>
              <w:widowControl/>
              <w:jc w:val="center"/>
              <w:rPr>
                <w:rFonts w:ascii="Times New Roman" w:hAnsi="Times New Roman"/>
                <w:bCs/>
                <w:sz w:val="24"/>
                <w:szCs w:val="24"/>
              </w:rPr>
            </w:pPr>
            <w:r>
              <w:rPr>
                <w:rFonts w:ascii="Times New Roman" w:hAnsi="Times New Roman"/>
                <w:bCs/>
                <w:sz w:val="24"/>
                <w:szCs w:val="24"/>
              </w:rPr>
              <w:t>中关村高新区</w:t>
            </w:r>
          </w:p>
        </w:tc>
        <w:tc>
          <w:tcPr>
            <w:tcW w:w="1327" w:type="dxa"/>
            <w:noWrap/>
            <w:vAlign w:val="center"/>
          </w:tcPr>
          <w:p>
            <w:pPr>
              <w:widowControl/>
              <w:spacing w:line="300" w:lineRule="exact"/>
              <w:jc w:val="center"/>
              <w:rPr>
                <w:rFonts w:ascii="Times New Roman" w:hAnsi="Times New Roman"/>
                <w:sz w:val="24"/>
              </w:rPr>
            </w:pPr>
            <w:r>
              <w:rPr>
                <w:rFonts w:ascii="Times New Roman" w:hAnsi="Times New Roman"/>
                <w:sz w:val="24"/>
              </w:rPr>
              <w:t xml:space="preserve">23.3 </w:t>
            </w:r>
          </w:p>
        </w:tc>
        <w:tc>
          <w:tcPr>
            <w:tcW w:w="1320" w:type="dxa"/>
            <w:noWrap/>
            <w:vAlign w:val="center"/>
          </w:tcPr>
          <w:p>
            <w:pPr>
              <w:widowControl/>
              <w:spacing w:line="300" w:lineRule="exact"/>
              <w:jc w:val="center"/>
              <w:rPr>
                <w:rFonts w:ascii="Times New Roman" w:hAnsi="Times New Roman"/>
                <w:sz w:val="24"/>
              </w:rPr>
            </w:pPr>
            <w:r>
              <w:rPr>
                <w:rFonts w:ascii="Times New Roman" w:hAnsi="Times New Roman"/>
                <w:sz w:val="24"/>
              </w:rPr>
              <w:t xml:space="preserve">11.2 </w:t>
            </w:r>
          </w:p>
        </w:tc>
        <w:tc>
          <w:tcPr>
            <w:tcW w:w="1460" w:type="dxa"/>
            <w:noWrap/>
            <w:vAlign w:val="center"/>
          </w:tcPr>
          <w:p>
            <w:pPr>
              <w:widowControl/>
              <w:spacing w:line="300" w:lineRule="exact"/>
              <w:jc w:val="center"/>
              <w:rPr>
                <w:rFonts w:ascii="Times New Roman" w:hAnsi="Times New Roman"/>
                <w:sz w:val="24"/>
              </w:rPr>
            </w:pPr>
            <w:r>
              <w:rPr>
                <w:rFonts w:ascii="Times New Roman" w:hAnsi="Times New Roman"/>
                <w:sz w:val="24"/>
              </w:rPr>
              <w:t xml:space="preserve">821.6 </w:t>
            </w:r>
          </w:p>
        </w:tc>
        <w:tc>
          <w:tcPr>
            <w:tcW w:w="1328" w:type="dxa"/>
            <w:noWrap/>
            <w:vAlign w:val="center"/>
          </w:tcPr>
          <w:p>
            <w:pPr>
              <w:widowControl/>
              <w:spacing w:line="300" w:lineRule="exact"/>
              <w:jc w:val="center"/>
              <w:rPr>
                <w:rFonts w:ascii="Times New Roman" w:hAnsi="Times New Roman"/>
                <w:sz w:val="24"/>
              </w:rPr>
            </w:pPr>
            <w:r>
              <w:rPr>
                <w:rFonts w:ascii="Times New Roman" w:hAnsi="Times New Roman"/>
                <w:sz w:val="24"/>
              </w:rPr>
              <w:t xml:space="preserve">12.7 </w:t>
            </w:r>
          </w:p>
        </w:tc>
        <w:tc>
          <w:tcPr>
            <w:tcW w:w="1228" w:type="dxa"/>
            <w:noWrap/>
            <w:vAlign w:val="center"/>
          </w:tcPr>
          <w:p>
            <w:pPr>
              <w:widowControl/>
              <w:spacing w:line="300" w:lineRule="exact"/>
              <w:jc w:val="center"/>
              <w:rPr>
                <w:rFonts w:ascii="Times New Roman" w:hAnsi="Times New Roman"/>
                <w:sz w:val="24"/>
              </w:rPr>
            </w:pPr>
            <w:r>
              <w:rPr>
                <w:rFonts w:ascii="Times New Roman" w:hAnsi="Times New Roman"/>
                <w:sz w:val="24"/>
              </w:rPr>
              <w:t xml:space="preserve">20680 </w:t>
            </w:r>
          </w:p>
        </w:tc>
        <w:tc>
          <w:tcPr>
            <w:tcW w:w="1150" w:type="dxa"/>
            <w:noWrap/>
            <w:vAlign w:val="center"/>
          </w:tcPr>
          <w:p>
            <w:pPr>
              <w:widowControl/>
              <w:spacing w:line="300" w:lineRule="exact"/>
              <w:jc w:val="center"/>
              <w:rPr>
                <w:rFonts w:ascii="Times New Roman" w:hAnsi="Times New Roman"/>
                <w:sz w:val="24"/>
              </w:rPr>
            </w:pPr>
            <w:r>
              <w:rPr>
                <w:rFonts w:ascii="Times New Roman" w:hAnsi="Times New Roman"/>
                <w:sz w:val="24"/>
              </w:rPr>
              <w:t xml:space="preserve">1.2 </w:t>
            </w:r>
          </w:p>
        </w:tc>
        <w:tc>
          <w:tcPr>
            <w:tcW w:w="1401" w:type="dxa"/>
            <w:noWrap/>
            <w:vAlign w:val="center"/>
          </w:tcPr>
          <w:p>
            <w:pPr>
              <w:widowControl/>
              <w:spacing w:line="300" w:lineRule="exact"/>
              <w:jc w:val="center"/>
              <w:rPr>
                <w:rFonts w:ascii="Times New Roman" w:hAnsi="Times New Roman"/>
                <w:sz w:val="24"/>
              </w:rPr>
            </w:pPr>
            <w:r>
              <w:rPr>
                <w:rFonts w:ascii="Times New Roman" w:hAnsi="Times New Roman"/>
                <w:sz w:val="24"/>
              </w:rPr>
              <w:t xml:space="preserve">322.4 </w:t>
            </w:r>
          </w:p>
        </w:tc>
        <w:tc>
          <w:tcPr>
            <w:tcW w:w="1316" w:type="dxa"/>
            <w:noWrap/>
            <w:vAlign w:val="center"/>
          </w:tcPr>
          <w:p>
            <w:pPr>
              <w:widowControl/>
              <w:spacing w:line="300" w:lineRule="exact"/>
              <w:jc w:val="center"/>
              <w:rPr>
                <w:rFonts w:ascii="Times New Roman" w:hAnsi="Times New Roman"/>
                <w:sz w:val="24"/>
              </w:rPr>
            </w:pPr>
            <w:r>
              <w:rPr>
                <w:rFonts w:ascii="Times New Roman" w:hAnsi="Times New Roman"/>
                <w:sz w:val="24"/>
              </w:rPr>
              <w:t xml:space="preserve">9.1 </w:t>
            </w:r>
          </w:p>
        </w:tc>
        <w:tc>
          <w:tcPr>
            <w:tcW w:w="1774" w:type="dxa"/>
            <w:noWrap w:val="0"/>
            <w:vAlign w:val="center"/>
          </w:tcPr>
          <w:p>
            <w:pPr>
              <w:widowControl/>
              <w:spacing w:line="300" w:lineRule="exact"/>
              <w:jc w:val="center"/>
              <w:rPr>
                <w:rFonts w:ascii="Times New Roman" w:hAnsi="Times New Roman"/>
                <w:sz w:val="24"/>
              </w:rPr>
            </w:pPr>
            <w:r>
              <w:rPr>
                <w:rFonts w:ascii="Times New Roman" w:hAnsi="Times New Roman"/>
                <w:sz w:val="24"/>
              </w:rPr>
              <w:t xml:space="preserve">9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871" w:type="dxa"/>
            <w:noWrap w:val="0"/>
            <w:vAlign w:val="center"/>
          </w:tcPr>
          <w:p>
            <w:pPr>
              <w:widowControl/>
              <w:jc w:val="center"/>
              <w:rPr>
                <w:rFonts w:ascii="Times New Roman" w:hAnsi="Times New Roman"/>
                <w:bCs/>
                <w:sz w:val="24"/>
                <w:szCs w:val="24"/>
              </w:rPr>
            </w:pPr>
            <w:r>
              <w:rPr>
                <w:rFonts w:ascii="Times New Roman" w:hAnsi="Times New Roman"/>
                <w:bCs/>
                <w:sz w:val="24"/>
                <w:szCs w:val="24"/>
              </w:rPr>
              <w:t>溧阳经开区</w:t>
            </w:r>
          </w:p>
        </w:tc>
        <w:tc>
          <w:tcPr>
            <w:tcW w:w="1327" w:type="dxa"/>
            <w:noWrap/>
            <w:vAlign w:val="center"/>
          </w:tcPr>
          <w:p>
            <w:pPr>
              <w:widowControl/>
              <w:spacing w:line="300" w:lineRule="exact"/>
              <w:jc w:val="center"/>
              <w:rPr>
                <w:rFonts w:ascii="Times New Roman" w:hAnsi="Times New Roman"/>
                <w:sz w:val="24"/>
              </w:rPr>
            </w:pPr>
            <w:r>
              <w:rPr>
                <w:rFonts w:ascii="Times New Roman" w:hAnsi="Times New Roman"/>
                <w:sz w:val="24"/>
              </w:rPr>
              <w:t xml:space="preserve">12.9 </w:t>
            </w:r>
          </w:p>
        </w:tc>
        <w:tc>
          <w:tcPr>
            <w:tcW w:w="1320" w:type="dxa"/>
            <w:noWrap/>
            <w:vAlign w:val="center"/>
          </w:tcPr>
          <w:p>
            <w:pPr>
              <w:widowControl/>
              <w:spacing w:line="300" w:lineRule="exact"/>
              <w:jc w:val="center"/>
              <w:rPr>
                <w:rFonts w:ascii="Times New Roman" w:hAnsi="Times New Roman"/>
                <w:sz w:val="24"/>
              </w:rPr>
            </w:pPr>
            <w:r>
              <w:rPr>
                <w:rFonts w:ascii="Times New Roman" w:hAnsi="Times New Roman"/>
                <w:sz w:val="24"/>
              </w:rPr>
              <w:t xml:space="preserve">-5.7 </w:t>
            </w:r>
          </w:p>
        </w:tc>
        <w:tc>
          <w:tcPr>
            <w:tcW w:w="1460" w:type="dxa"/>
            <w:noWrap/>
            <w:vAlign w:val="center"/>
          </w:tcPr>
          <w:p>
            <w:pPr>
              <w:widowControl/>
              <w:spacing w:line="300" w:lineRule="exact"/>
              <w:jc w:val="center"/>
              <w:rPr>
                <w:rFonts w:ascii="Times New Roman" w:hAnsi="Times New Roman"/>
                <w:sz w:val="24"/>
              </w:rPr>
            </w:pPr>
            <w:r>
              <w:rPr>
                <w:rFonts w:ascii="Times New Roman" w:hAnsi="Times New Roman"/>
                <w:sz w:val="24"/>
              </w:rPr>
              <w:t xml:space="preserve">234.4 </w:t>
            </w:r>
          </w:p>
        </w:tc>
        <w:tc>
          <w:tcPr>
            <w:tcW w:w="1328" w:type="dxa"/>
            <w:noWrap/>
            <w:vAlign w:val="center"/>
          </w:tcPr>
          <w:p>
            <w:pPr>
              <w:widowControl/>
              <w:spacing w:line="300" w:lineRule="exact"/>
              <w:jc w:val="center"/>
              <w:rPr>
                <w:rFonts w:ascii="Times New Roman" w:hAnsi="Times New Roman"/>
                <w:sz w:val="24"/>
              </w:rPr>
            </w:pPr>
            <w:r>
              <w:rPr>
                <w:rFonts w:ascii="Times New Roman" w:hAnsi="Times New Roman"/>
                <w:sz w:val="24"/>
              </w:rPr>
              <w:t xml:space="preserve">8.5 </w:t>
            </w:r>
          </w:p>
        </w:tc>
        <w:tc>
          <w:tcPr>
            <w:tcW w:w="1228" w:type="dxa"/>
            <w:noWrap/>
            <w:vAlign w:val="center"/>
          </w:tcPr>
          <w:p>
            <w:pPr>
              <w:widowControl/>
              <w:spacing w:line="300" w:lineRule="exact"/>
              <w:jc w:val="center"/>
              <w:rPr>
                <w:rFonts w:ascii="Times New Roman" w:hAnsi="Times New Roman"/>
                <w:sz w:val="24"/>
              </w:rPr>
            </w:pPr>
            <w:r>
              <w:rPr>
                <w:rFonts w:ascii="Times New Roman" w:hAnsi="Times New Roman"/>
                <w:sz w:val="24"/>
              </w:rPr>
              <w:t xml:space="preserve">8595 </w:t>
            </w:r>
          </w:p>
        </w:tc>
        <w:tc>
          <w:tcPr>
            <w:tcW w:w="1150" w:type="dxa"/>
            <w:noWrap/>
            <w:vAlign w:val="center"/>
          </w:tcPr>
          <w:p>
            <w:pPr>
              <w:widowControl/>
              <w:spacing w:line="300" w:lineRule="exact"/>
              <w:jc w:val="center"/>
              <w:rPr>
                <w:rFonts w:ascii="Times New Roman" w:hAnsi="Times New Roman"/>
                <w:sz w:val="24"/>
              </w:rPr>
            </w:pPr>
            <w:r>
              <w:rPr>
                <w:rFonts w:ascii="Times New Roman" w:hAnsi="Times New Roman"/>
                <w:sz w:val="24"/>
              </w:rPr>
              <w:t xml:space="preserve">12.6 </w:t>
            </w:r>
          </w:p>
        </w:tc>
        <w:tc>
          <w:tcPr>
            <w:tcW w:w="1401" w:type="dxa"/>
            <w:noWrap/>
            <w:vAlign w:val="center"/>
          </w:tcPr>
          <w:p>
            <w:pPr>
              <w:widowControl/>
              <w:spacing w:line="300" w:lineRule="exact"/>
              <w:jc w:val="center"/>
              <w:rPr>
                <w:rFonts w:ascii="Times New Roman" w:hAnsi="Times New Roman"/>
                <w:sz w:val="24"/>
              </w:rPr>
            </w:pPr>
            <w:r>
              <w:rPr>
                <w:rFonts w:ascii="Times New Roman" w:hAnsi="Times New Roman"/>
                <w:sz w:val="24"/>
              </w:rPr>
              <w:t xml:space="preserve">34.9 </w:t>
            </w:r>
          </w:p>
        </w:tc>
        <w:tc>
          <w:tcPr>
            <w:tcW w:w="1316" w:type="dxa"/>
            <w:noWrap/>
            <w:vAlign w:val="center"/>
          </w:tcPr>
          <w:p>
            <w:pPr>
              <w:widowControl/>
              <w:spacing w:line="300" w:lineRule="exact"/>
              <w:jc w:val="center"/>
              <w:rPr>
                <w:rFonts w:ascii="Times New Roman" w:hAnsi="Times New Roman"/>
                <w:sz w:val="24"/>
              </w:rPr>
            </w:pPr>
            <w:r>
              <w:rPr>
                <w:rFonts w:ascii="Times New Roman" w:hAnsi="Times New Roman"/>
                <w:sz w:val="24"/>
              </w:rPr>
              <w:t xml:space="preserve">29.5 </w:t>
            </w:r>
          </w:p>
        </w:tc>
        <w:tc>
          <w:tcPr>
            <w:tcW w:w="1774" w:type="dxa"/>
            <w:noWrap w:val="0"/>
            <w:vAlign w:val="center"/>
          </w:tcPr>
          <w:p>
            <w:pPr>
              <w:widowControl/>
              <w:spacing w:line="300" w:lineRule="exact"/>
              <w:jc w:val="center"/>
              <w:rPr>
                <w:rFonts w:ascii="Times New Roman" w:hAnsi="Times New Roman"/>
                <w:sz w:val="24"/>
              </w:rPr>
            </w:pPr>
            <w:r>
              <w:rPr>
                <w:rFonts w:ascii="Times New Roman" w:hAnsi="Times New Roman"/>
                <w:sz w:val="24"/>
              </w:rPr>
              <w:t xml:space="preserve">4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871" w:type="dxa"/>
            <w:noWrap w:val="0"/>
            <w:vAlign w:val="center"/>
          </w:tcPr>
          <w:p>
            <w:pPr>
              <w:widowControl/>
              <w:jc w:val="center"/>
              <w:rPr>
                <w:rFonts w:ascii="Times New Roman" w:hAnsi="Times New Roman"/>
                <w:bCs/>
                <w:sz w:val="24"/>
                <w:szCs w:val="24"/>
              </w:rPr>
            </w:pPr>
            <w:r>
              <w:rPr>
                <w:rFonts w:ascii="Times New Roman" w:hAnsi="Times New Roman"/>
                <w:bCs/>
                <w:sz w:val="24"/>
                <w:szCs w:val="24"/>
              </w:rPr>
              <w:t>滨江经开区</w:t>
            </w:r>
          </w:p>
        </w:tc>
        <w:tc>
          <w:tcPr>
            <w:tcW w:w="1327" w:type="dxa"/>
            <w:noWrap/>
            <w:vAlign w:val="center"/>
          </w:tcPr>
          <w:p>
            <w:pPr>
              <w:widowControl/>
              <w:spacing w:line="300" w:lineRule="exact"/>
              <w:jc w:val="center"/>
              <w:rPr>
                <w:rFonts w:ascii="Times New Roman" w:hAnsi="Times New Roman"/>
                <w:sz w:val="24"/>
              </w:rPr>
            </w:pPr>
            <w:r>
              <w:rPr>
                <w:rFonts w:ascii="Times New Roman" w:hAnsi="Times New Roman"/>
                <w:sz w:val="24"/>
              </w:rPr>
              <w:t xml:space="preserve">18.5 </w:t>
            </w:r>
          </w:p>
        </w:tc>
        <w:tc>
          <w:tcPr>
            <w:tcW w:w="1320" w:type="dxa"/>
            <w:noWrap/>
            <w:vAlign w:val="center"/>
          </w:tcPr>
          <w:p>
            <w:pPr>
              <w:widowControl/>
              <w:spacing w:line="300" w:lineRule="exact"/>
              <w:jc w:val="center"/>
              <w:rPr>
                <w:rFonts w:ascii="Times New Roman" w:hAnsi="Times New Roman"/>
                <w:sz w:val="24"/>
              </w:rPr>
            </w:pPr>
            <w:r>
              <w:rPr>
                <w:rFonts w:ascii="Times New Roman" w:hAnsi="Times New Roman"/>
                <w:sz w:val="24"/>
              </w:rPr>
              <w:t xml:space="preserve">4.1 </w:t>
            </w:r>
          </w:p>
        </w:tc>
        <w:tc>
          <w:tcPr>
            <w:tcW w:w="1460" w:type="dxa"/>
            <w:noWrap/>
            <w:vAlign w:val="center"/>
          </w:tcPr>
          <w:p>
            <w:pPr>
              <w:widowControl/>
              <w:spacing w:line="300" w:lineRule="exact"/>
              <w:jc w:val="center"/>
              <w:rPr>
                <w:rFonts w:ascii="Times New Roman" w:hAnsi="Times New Roman"/>
                <w:sz w:val="24"/>
              </w:rPr>
            </w:pPr>
            <w:r>
              <w:rPr>
                <w:rFonts w:ascii="Times New Roman" w:hAnsi="Times New Roman"/>
                <w:sz w:val="24"/>
              </w:rPr>
              <w:t xml:space="preserve">707.3 </w:t>
            </w:r>
          </w:p>
        </w:tc>
        <w:tc>
          <w:tcPr>
            <w:tcW w:w="1328" w:type="dxa"/>
            <w:noWrap/>
            <w:vAlign w:val="center"/>
          </w:tcPr>
          <w:p>
            <w:pPr>
              <w:widowControl/>
              <w:spacing w:line="300" w:lineRule="exact"/>
              <w:jc w:val="center"/>
              <w:rPr>
                <w:rFonts w:ascii="Times New Roman" w:hAnsi="Times New Roman"/>
                <w:sz w:val="24"/>
              </w:rPr>
            </w:pPr>
            <w:r>
              <w:rPr>
                <w:rFonts w:ascii="Times New Roman" w:hAnsi="Times New Roman"/>
                <w:sz w:val="24"/>
              </w:rPr>
              <w:t xml:space="preserve">1.7 </w:t>
            </w:r>
          </w:p>
        </w:tc>
        <w:tc>
          <w:tcPr>
            <w:tcW w:w="1228" w:type="dxa"/>
            <w:noWrap/>
            <w:vAlign w:val="center"/>
          </w:tcPr>
          <w:p>
            <w:pPr>
              <w:widowControl/>
              <w:spacing w:line="300" w:lineRule="exact"/>
              <w:jc w:val="center"/>
              <w:rPr>
                <w:rFonts w:ascii="Times New Roman" w:hAnsi="Times New Roman"/>
                <w:sz w:val="24"/>
              </w:rPr>
            </w:pPr>
            <w:r>
              <w:rPr>
                <w:rFonts w:ascii="Times New Roman" w:hAnsi="Times New Roman"/>
                <w:sz w:val="24"/>
              </w:rPr>
              <w:t xml:space="preserve">11667 </w:t>
            </w:r>
          </w:p>
        </w:tc>
        <w:tc>
          <w:tcPr>
            <w:tcW w:w="1150" w:type="dxa"/>
            <w:noWrap/>
            <w:vAlign w:val="center"/>
          </w:tcPr>
          <w:p>
            <w:pPr>
              <w:widowControl/>
              <w:spacing w:line="300" w:lineRule="exact"/>
              <w:jc w:val="center"/>
              <w:rPr>
                <w:rFonts w:ascii="Times New Roman" w:hAnsi="Times New Roman"/>
                <w:sz w:val="24"/>
              </w:rPr>
            </w:pPr>
            <w:r>
              <w:rPr>
                <w:rFonts w:ascii="Times New Roman" w:hAnsi="Times New Roman"/>
                <w:sz w:val="24"/>
              </w:rPr>
              <w:t xml:space="preserve">-44.8 </w:t>
            </w:r>
          </w:p>
        </w:tc>
        <w:tc>
          <w:tcPr>
            <w:tcW w:w="1401" w:type="dxa"/>
            <w:noWrap/>
            <w:vAlign w:val="center"/>
          </w:tcPr>
          <w:p>
            <w:pPr>
              <w:widowControl/>
              <w:spacing w:line="300" w:lineRule="exact"/>
              <w:jc w:val="center"/>
              <w:rPr>
                <w:rFonts w:ascii="Times New Roman" w:hAnsi="Times New Roman"/>
                <w:sz w:val="24"/>
              </w:rPr>
            </w:pPr>
            <w:r>
              <w:rPr>
                <w:rFonts w:ascii="Times New Roman" w:hAnsi="Times New Roman"/>
                <w:sz w:val="24"/>
              </w:rPr>
              <w:t xml:space="preserve">317.5 </w:t>
            </w:r>
          </w:p>
        </w:tc>
        <w:tc>
          <w:tcPr>
            <w:tcW w:w="1316" w:type="dxa"/>
            <w:noWrap/>
            <w:vAlign w:val="center"/>
          </w:tcPr>
          <w:p>
            <w:pPr>
              <w:widowControl/>
              <w:spacing w:line="300" w:lineRule="exact"/>
              <w:jc w:val="center"/>
              <w:rPr>
                <w:rFonts w:ascii="Times New Roman" w:hAnsi="Times New Roman"/>
                <w:sz w:val="24"/>
              </w:rPr>
            </w:pPr>
            <w:r>
              <w:rPr>
                <w:rFonts w:ascii="Times New Roman" w:hAnsi="Times New Roman"/>
                <w:sz w:val="24"/>
              </w:rPr>
              <w:t xml:space="preserve">-1.1 </w:t>
            </w:r>
          </w:p>
        </w:tc>
        <w:tc>
          <w:tcPr>
            <w:tcW w:w="1774" w:type="dxa"/>
            <w:noWrap w:val="0"/>
            <w:vAlign w:val="center"/>
          </w:tcPr>
          <w:p>
            <w:pPr>
              <w:widowControl/>
              <w:spacing w:line="300" w:lineRule="exact"/>
              <w:jc w:val="center"/>
              <w:rPr>
                <w:rFonts w:ascii="Times New Roman" w:hAnsi="Times New Roman"/>
                <w:sz w:val="24"/>
              </w:rPr>
            </w:pPr>
            <w:r>
              <w:rPr>
                <w:rFonts w:ascii="Times New Roman" w:hAnsi="Times New Roman"/>
                <w:sz w:val="24"/>
              </w:rPr>
              <w:t xml:space="preserve">3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871" w:type="dxa"/>
            <w:noWrap w:val="0"/>
            <w:vAlign w:val="center"/>
          </w:tcPr>
          <w:p>
            <w:pPr>
              <w:widowControl/>
              <w:jc w:val="center"/>
              <w:rPr>
                <w:rFonts w:ascii="Times New Roman" w:hAnsi="Times New Roman"/>
                <w:bCs/>
                <w:sz w:val="24"/>
                <w:szCs w:val="24"/>
              </w:rPr>
            </w:pPr>
            <w:r>
              <w:rPr>
                <w:rFonts w:ascii="Times New Roman" w:hAnsi="Times New Roman"/>
                <w:bCs/>
                <w:sz w:val="24"/>
                <w:szCs w:val="24"/>
              </w:rPr>
              <w:t>武进经开区</w:t>
            </w:r>
          </w:p>
        </w:tc>
        <w:tc>
          <w:tcPr>
            <w:tcW w:w="1327" w:type="dxa"/>
            <w:noWrap/>
            <w:vAlign w:val="center"/>
          </w:tcPr>
          <w:p>
            <w:pPr>
              <w:widowControl/>
              <w:spacing w:line="300" w:lineRule="exact"/>
              <w:jc w:val="center"/>
              <w:rPr>
                <w:rFonts w:ascii="Times New Roman" w:hAnsi="Times New Roman"/>
                <w:sz w:val="24"/>
              </w:rPr>
            </w:pPr>
            <w:r>
              <w:rPr>
                <w:rFonts w:ascii="Times New Roman" w:hAnsi="Times New Roman"/>
                <w:sz w:val="24"/>
              </w:rPr>
              <w:t xml:space="preserve">17.1 </w:t>
            </w:r>
          </w:p>
        </w:tc>
        <w:tc>
          <w:tcPr>
            <w:tcW w:w="1320" w:type="dxa"/>
            <w:noWrap/>
            <w:vAlign w:val="center"/>
          </w:tcPr>
          <w:p>
            <w:pPr>
              <w:widowControl/>
              <w:spacing w:line="300" w:lineRule="exact"/>
              <w:jc w:val="center"/>
              <w:rPr>
                <w:rFonts w:ascii="Times New Roman" w:hAnsi="Times New Roman"/>
                <w:sz w:val="24"/>
              </w:rPr>
            </w:pPr>
            <w:r>
              <w:rPr>
                <w:rFonts w:ascii="Times New Roman" w:hAnsi="Times New Roman"/>
                <w:sz w:val="24"/>
              </w:rPr>
              <w:t xml:space="preserve">33.2 </w:t>
            </w:r>
          </w:p>
        </w:tc>
        <w:tc>
          <w:tcPr>
            <w:tcW w:w="1460" w:type="dxa"/>
            <w:noWrap/>
            <w:vAlign w:val="center"/>
          </w:tcPr>
          <w:p>
            <w:pPr>
              <w:widowControl/>
              <w:spacing w:line="300" w:lineRule="exact"/>
              <w:jc w:val="center"/>
              <w:rPr>
                <w:rFonts w:ascii="Times New Roman" w:hAnsi="Times New Roman"/>
                <w:sz w:val="24"/>
              </w:rPr>
            </w:pPr>
            <w:r>
              <w:rPr>
                <w:rFonts w:ascii="Times New Roman" w:hAnsi="Times New Roman"/>
                <w:sz w:val="24"/>
              </w:rPr>
              <w:t xml:space="preserve">216.4 </w:t>
            </w:r>
          </w:p>
        </w:tc>
        <w:tc>
          <w:tcPr>
            <w:tcW w:w="1328" w:type="dxa"/>
            <w:noWrap/>
            <w:vAlign w:val="center"/>
          </w:tcPr>
          <w:p>
            <w:pPr>
              <w:widowControl/>
              <w:spacing w:line="300" w:lineRule="exact"/>
              <w:jc w:val="center"/>
              <w:rPr>
                <w:rFonts w:ascii="Times New Roman" w:hAnsi="Times New Roman"/>
                <w:sz w:val="24"/>
              </w:rPr>
            </w:pPr>
            <w:r>
              <w:rPr>
                <w:rFonts w:ascii="Times New Roman" w:hAnsi="Times New Roman"/>
                <w:sz w:val="24"/>
              </w:rPr>
              <w:t xml:space="preserve">8.5 </w:t>
            </w:r>
          </w:p>
        </w:tc>
        <w:tc>
          <w:tcPr>
            <w:tcW w:w="1228" w:type="dxa"/>
            <w:noWrap/>
            <w:vAlign w:val="center"/>
          </w:tcPr>
          <w:p>
            <w:pPr>
              <w:widowControl/>
              <w:spacing w:line="300" w:lineRule="exact"/>
              <w:jc w:val="center"/>
              <w:rPr>
                <w:rFonts w:ascii="Times New Roman" w:hAnsi="Times New Roman"/>
                <w:sz w:val="24"/>
              </w:rPr>
            </w:pPr>
            <w:r>
              <w:rPr>
                <w:rFonts w:ascii="Times New Roman" w:hAnsi="Times New Roman"/>
                <w:sz w:val="24"/>
              </w:rPr>
              <w:t xml:space="preserve">4134 </w:t>
            </w:r>
          </w:p>
        </w:tc>
        <w:tc>
          <w:tcPr>
            <w:tcW w:w="1150" w:type="dxa"/>
            <w:noWrap/>
            <w:vAlign w:val="center"/>
          </w:tcPr>
          <w:p>
            <w:pPr>
              <w:widowControl/>
              <w:spacing w:line="300" w:lineRule="exact"/>
              <w:jc w:val="center"/>
              <w:rPr>
                <w:rFonts w:ascii="Times New Roman" w:hAnsi="Times New Roman"/>
                <w:sz w:val="24"/>
              </w:rPr>
            </w:pPr>
            <w:r>
              <w:rPr>
                <w:rFonts w:ascii="Times New Roman" w:hAnsi="Times New Roman"/>
                <w:sz w:val="24"/>
              </w:rPr>
              <w:t xml:space="preserve">-28.3 </w:t>
            </w:r>
          </w:p>
        </w:tc>
        <w:tc>
          <w:tcPr>
            <w:tcW w:w="1401" w:type="dxa"/>
            <w:noWrap/>
            <w:vAlign w:val="center"/>
          </w:tcPr>
          <w:p>
            <w:pPr>
              <w:widowControl/>
              <w:spacing w:line="300" w:lineRule="exact"/>
              <w:jc w:val="center"/>
              <w:rPr>
                <w:rFonts w:ascii="Times New Roman" w:hAnsi="Times New Roman"/>
                <w:sz w:val="24"/>
              </w:rPr>
            </w:pPr>
            <w:r>
              <w:rPr>
                <w:rFonts w:ascii="Times New Roman" w:hAnsi="Times New Roman"/>
                <w:sz w:val="24"/>
              </w:rPr>
              <w:t xml:space="preserve">147.8 </w:t>
            </w:r>
          </w:p>
        </w:tc>
        <w:tc>
          <w:tcPr>
            <w:tcW w:w="1316" w:type="dxa"/>
            <w:noWrap/>
            <w:vAlign w:val="center"/>
          </w:tcPr>
          <w:p>
            <w:pPr>
              <w:widowControl/>
              <w:spacing w:line="300" w:lineRule="exact"/>
              <w:jc w:val="center"/>
              <w:rPr>
                <w:rFonts w:ascii="Times New Roman" w:hAnsi="Times New Roman"/>
                <w:sz w:val="24"/>
              </w:rPr>
            </w:pPr>
            <w:r>
              <w:rPr>
                <w:rFonts w:ascii="Times New Roman" w:hAnsi="Times New Roman"/>
                <w:sz w:val="24"/>
              </w:rPr>
              <w:t xml:space="preserve">14.2 </w:t>
            </w:r>
          </w:p>
        </w:tc>
        <w:tc>
          <w:tcPr>
            <w:tcW w:w="1774" w:type="dxa"/>
            <w:noWrap w:val="0"/>
            <w:vAlign w:val="center"/>
          </w:tcPr>
          <w:p>
            <w:pPr>
              <w:widowControl/>
              <w:spacing w:line="300" w:lineRule="exact"/>
              <w:jc w:val="center"/>
              <w:rPr>
                <w:rFonts w:ascii="Times New Roman" w:hAnsi="Times New Roman"/>
                <w:sz w:val="24"/>
              </w:rPr>
            </w:pPr>
            <w:r>
              <w:rPr>
                <w:rFonts w:ascii="Times New Roman" w:hAnsi="Times New Roman"/>
                <w:sz w:val="24"/>
              </w:rPr>
              <w:t xml:space="preserve">2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871" w:type="dxa"/>
            <w:noWrap w:val="0"/>
            <w:vAlign w:val="center"/>
          </w:tcPr>
          <w:p>
            <w:pPr>
              <w:widowControl/>
              <w:jc w:val="center"/>
              <w:rPr>
                <w:rFonts w:ascii="Times New Roman" w:hAnsi="Times New Roman"/>
                <w:bCs/>
                <w:sz w:val="24"/>
                <w:szCs w:val="24"/>
              </w:rPr>
            </w:pPr>
            <w:r>
              <w:rPr>
                <w:rFonts w:ascii="Times New Roman" w:hAnsi="Times New Roman"/>
                <w:bCs/>
                <w:sz w:val="24"/>
                <w:szCs w:val="24"/>
              </w:rPr>
              <w:t>天宁经开区</w:t>
            </w:r>
          </w:p>
        </w:tc>
        <w:tc>
          <w:tcPr>
            <w:tcW w:w="1327" w:type="dxa"/>
            <w:noWrap/>
            <w:vAlign w:val="center"/>
          </w:tcPr>
          <w:p>
            <w:pPr>
              <w:widowControl/>
              <w:spacing w:line="300" w:lineRule="exact"/>
              <w:jc w:val="center"/>
              <w:rPr>
                <w:rFonts w:ascii="Times New Roman" w:hAnsi="Times New Roman"/>
                <w:sz w:val="24"/>
              </w:rPr>
            </w:pPr>
            <w:r>
              <w:rPr>
                <w:rFonts w:ascii="Times New Roman" w:hAnsi="Times New Roman"/>
                <w:sz w:val="24"/>
              </w:rPr>
              <w:t xml:space="preserve">27.0 </w:t>
            </w:r>
          </w:p>
        </w:tc>
        <w:tc>
          <w:tcPr>
            <w:tcW w:w="1320" w:type="dxa"/>
            <w:noWrap/>
            <w:vAlign w:val="center"/>
          </w:tcPr>
          <w:p>
            <w:pPr>
              <w:widowControl/>
              <w:spacing w:line="300" w:lineRule="exact"/>
              <w:jc w:val="center"/>
              <w:rPr>
                <w:rFonts w:ascii="Times New Roman" w:hAnsi="Times New Roman"/>
                <w:sz w:val="24"/>
              </w:rPr>
            </w:pPr>
            <w:r>
              <w:rPr>
                <w:rFonts w:ascii="Times New Roman" w:hAnsi="Times New Roman"/>
                <w:sz w:val="24"/>
              </w:rPr>
              <w:t xml:space="preserve">10.3 </w:t>
            </w:r>
          </w:p>
        </w:tc>
        <w:tc>
          <w:tcPr>
            <w:tcW w:w="1460" w:type="dxa"/>
            <w:noWrap/>
            <w:vAlign w:val="center"/>
          </w:tcPr>
          <w:p>
            <w:pPr>
              <w:widowControl/>
              <w:spacing w:line="300" w:lineRule="exact"/>
              <w:jc w:val="center"/>
              <w:rPr>
                <w:rFonts w:ascii="Times New Roman" w:hAnsi="Times New Roman"/>
                <w:sz w:val="24"/>
              </w:rPr>
            </w:pPr>
            <w:r>
              <w:rPr>
                <w:rFonts w:ascii="Times New Roman" w:hAnsi="Times New Roman"/>
                <w:sz w:val="24"/>
              </w:rPr>
              <w:t xml:space="preserve">372.0 </w:t>
            </w:r>
          </w:p>
        </w:tc>
        <w:tc>
          <w:tcPr>
            <w:tcW w:w="1328" w:type="dxa"/>
            <w:noWrap/>
            <w:vAlign w:val="center"/>
          </w:tcPr>
          <w:p>
            <w:pPr>
              <w:widowControl/>
              <w:spacing w:line="300" w:lineRule="exact"/>
              <w:jc w:val="center"/>
              <w:rPr>
                <w:rFonts w:ascii="Times New Roman" w:hAnsi="Times New Roman"/>
                <w:sz w:val="24"/>
              </w:rPr>
            </w:pPr>
            <w:r>
              <w:rPr>
                <w:rFonts w:ascii="Times New Roman" w:hAnsi="Times New Roman"/>
                <w:sz w:val="24"/>
              </w:rPr>
              <w:t xml:space="preserve">-1.3 </w:t>
            </w:r>
          </w:p>
        </w:tc>
        <w:tc>
          <w:tcPr>
            <w:tcW w:w="1228" w:type="dxa"/>
            <w:noWrap/>
            <w:vAlign w:val="center"/>
          </w:tcPr>
          <w:p>
            <w:pPr>
              <w:widowControl/>
              <w:spacing w:line="300" w:lineRule="exact"/>
              <w:jc w:val="center"/>
              <w:rPr>
                <w:rFonts w:ascii="Times New Roman" w:hAnsi="Times New Roman"/>
                <w:sz w:val="24"/>
              </w:rPr>
            </w:pPr>
            <w:r>
              <w:rPr>
                <w:rFonts w:ascii="Times New Roman" w:hAnsi="Times New Roman"/>
                <w:sz w:val="24"/>
              </w:rPr>
              <w:t xml:space="preserve">18119 </w:t>
            </w:r>
          </w:p>
        </w:tc>
        <w:tc>
          <w:tcPr>
            <w:tcW w:w="1150" w:type="dxa"/>
            <w:noWrap/>
            <w:vAlign w:val="center"/>
          </w:tcPr>
          <w:p>
            <w:pPr>
              <w:widowControl/>
              <w:spacing w:line="300" w:lineRule="exact"/>
              <w:jc w:val="center"/>
              <w:rPr>
                <w:rFonts w:ascii="Times New Roman" w:hAnsi="Times New Roman"/>
                <w:sz w:val="24"/>
              </w:rPr>
            </w:pPr>
            <w:r>
              <w:rPr>
                <w:rFonts w:ascii="Times New Roman" w:hAnsi="Times New Roman"/>
                <w:sz w:val="24"/>
              </w:rPr>
              <w:t xml:space="preserve">4.2 </w:t>
            </w:r>
          </w:p>
        </w:tc>
        <w:tc>
          <w:tcPr>
            <w:tcW w:w="1401" w:type="dxa"/>
            <w:noWrap/>
            <w:vAlign w:val="center"/>
          </w:tcPr>
          <w:p>
            <w:pPr>
              <w:widowControl/>
              <w:spacing w:line="300" w:lineRule="exact"/>
              <w:jc w:val="center"/>
              <w:rPr>
                <w:rFonts w:ascii="Times New Roman" w:hAnsi="Times New Roman"/>
                <w:sz w:val="24"/>
              </w:rPr>
            </w:pPr>
            <w:r>
              <w:rPr>
                <w:rFonts w:ascii="Times New Roman" w:hAnsi="Times New Roman"/>
                <w:sz w:val="24"/>
              </w:rPr>
              <w:t xml:space="preserve">119.6 </w:t>
            </w:r>
          </w:p>
        </w:tc>
        <w:tc>
          <w:tcPr>
            <w:tcW w:w="1316" w:type="dxa"/>
            <w:noWrap/>
            <w:vAlign w:val="center"/>
          </w:tcPr>
          <w:p>
            <w:pPr>
              <w:widowControl/>
              <w:spacing w:line="300" w:lineRule="exact"/>
              <w:jc w:val="center"/>
              <w:rPr>
                <w:rFonts w:ascii="Times New Roman" w:hAnsi="Times New Roman"/>
                <w:sz w:val="24"/>
              </w:rPr>
            </w:pPr>
            <w:r>
              <w:rPr>
                <w:rFonts w:ascii="Times New Roman" w:hAnsi="Times New Roman"/>
                <w:sz w:val="24"/>
              </w:rPr>
              <w:t xml:space="preserve">6.3 </w:t>
            </w:r>
          </w:p>
        </w:tc>
        <w:tc>
          <w:tcPr>
            <w:tcW w:w="1774" w:type="dxa"/>
            <w:noWrap w:val="0"/>
            <w:vAlign w:val="center"/>
          </w:tcPr>
          <w:p>
            <w:pPr>
              <w:widowControl/>
              <w:spacing w:line="300" w:lineRule="exact"/>
              <w:jc w:val="center"/>
              <w:rPr>
                <w:rFonts w:ascii="Times New Roman" w:hAnsi="Times New Roman"/>
                <w:sz w:val="24"/>
              </w:rPr>
            </w:pPr>
            <w:r>
              <w:rPr>
                <w:rFonts w:ascii="Times New Roman" w:hAnsi="Times New Roman"/>
                <w:sz w:val="24"/>
              </w:rPr>
              <w:t xml:space="preserve">3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871" w:type="dxa"/>
            <w:noWrap w:val="0"/>
            <w:vAlign w:val="center"/>
          </w:tcPr>
          <w:p>
            <w:pPr>
              <w:widowControl/>
              <w:jc w:val="center"/>
              <w:rPr>
                <w:rFonts w:ascii="Times New Roman" w:hAnsi="Times New Roman"/>
                <w:bCs/>
                <w:sz w:val="24"/>
                <w:szCs w:val="24"/>
              </w:rPr>
            </w:pPr>
            <w:r>
              <w:rPr>
                <w:rFonts w:ascii="Times New Roman" w:hAnsi="Times New Roman"/>
                <w:bCs/>
                <w:sz w:val="24"/>
                <w:szCs w:val="24"/>
              </w:rPr>
              <w:t>钟楼经开区</w:t>
            </w:r>
          </w:p>
        </w:tc>
        <w:tc>
          <w:tcPr>
            <w:tcW w:w="1327" w:type="dxa"/>
            <w:noWrap/>
            <w:vAlign w:val="center"/>
          </w:tcPr>
          <w:p>
            <w:pPr>
              <w:widowControl/>
              <w:spacing w:line="300" w:lineRule="exact"/>
              <w:jc w:val="center"/>
              <w:rPr>
                <w:rFonts w:ascii="Times New Roman" w:hAnsi="Times New Roman"/>
                <w:sz w:val="24"/>
              </w:rPr>
            </w:pPr>
            <w:r>
              <w:rPr>
                <w:rFonts w:ascii="Times New Roman" w:hAnsi="Times New Roman"/>
                <w:sz w:val="24"/>
              </w:rPr>
              <w:t xml:space="preserve">23.4 </w:t>
            </w:r>
          </w:p>
        </w:tc>
        <w:tc>
          <w:tcPr>
            <w:tcW w:w="1320" w:type="dxa"/>
            <w:noWrap/>
            <w:vAlign w:val="center"/>
          </w:tcPr>
          <w:p>
            <w:pPr>
              <w:widowControl/>
              <w:spacing w:line="300" w:lineRule="exact"/>
              <w:jc w:val="center"/>
              <w:rPr>
                <w:rFonts w:ascii="Times New Roman" w:hAnsi="Times New Roman"/>
                <w:sz w:val="24"/>
              </w:rPr>
            </w:pPr>
            <w:r>
              <w:rPr>
                <w:rFonts w:ascii="Times New Roman" w:hAnsi="Times New Roman"/>
                <w:sz w:val="24"/>
              </w:rPr>
              <w:t xml:space="preserve">12.3 </w:t>
            </w:r>
          </w:p>
        </w:tc>
        <w:tc>
          <w:tcPr>
            <w:tcW w:w="1460" w:type="dxa"/>
            <w:noWrap w:val="0"/>
            <w:vAlign w:val="center"/>
          </w:tcPr>
          <w:p>
            <w:pPr>
              <w:widowControl/>
              <w:spacing w:line="300" w:lineRule="exact"/>
              <w:jc w:val="center"/>
              <w:rPr>
                <w:rFonts w:ascii="Times New Roman" w:hAnsi="Times New Roman"/>
                <w:sz w:val="24"/>
              </w:rPr>
            </w:pPr>
            <w:r>
              <w:rPr>
                <w:rFonts w:ascii="Times New Roman" w:hAnsi="Times New Roman"/>
                <w:sz w:val="24"/>
              </w:rPr>
              <w:t xml:space="preserve">384.3 </w:t>
            </w:r>
          </w:p>
        </w:tc>
        <w:tc>
          <w:tcPr>
            <w:tcW w:w="1328" w:type="dxa"/>
            <w:noWrap w:val="0"/>
            <w:vAlign w:val="center"/>
          </w:tcPr>
          <w:p>
            <w:pPr>
              <w:widowControl/>
              <w:spacing w:line="300" w:lineRule="exact"/>
              <w:jc w:val="center"/>
              <w:rPr>
                <w:rFonts w:ascii="Times New Roman" w:hAnsi="Times New Roman"/>
                <w:sz w:val="24"/>
              </w:rPr>
            </w:pPr>
            <w:r>
              <w:rPr>
                <w:rFonts w:ascii="Times New Roman" w:hAnsi="Times New Roman"/>
                <w:sz w:val="24"/>
              </w:rPr>
              <w:t xml:space="preserve">5.7 </w:t>
            </w:r>
          </w:p>
        </w:tc>
        <w:tc>
          <w:tcPr>
            <w:tcW w:w="1228" w:type="dxa"/>
            <w:noWrap w:val="0"/>
            <w:vAlign w:val="center"/>
          </w:tcPr>
          <w:p>
            <w:pPr>
              <w:widowControl/>
              <w:spacing w:line="300" w:lineRule="exact"/>
              <w:jc w:val="center"/>
              <w:rPr>
                <w:rFonts w:ascii="Times New Roman" w:hAnsi="Times New Roman"/>
                <w:sz w:val="24"/>
              </w:rPr>
            </w:pPr>
            <w:r>
              <w:rPr>
                <w:rFonts w:ascii="Times New Roman" w:hAnsi="Times New Roman"/>
                <w:sz w:val="24"/>
              </w:rPr>
              <w:t xml:space="preserve">9364 </w:t>
            </w:r>
          </w:p>
        </w:tc>
        <w:tc>
          <w:tcPr>
            <w:tcW w:w="1150" w:type="dxa"/>
            <w:noWrap/>
            <w:vAlign w:val="center"/>
          </w:tcPr>
          <w:p>
            <w:pPr>
              <w:widowControl/>
              <w:spacing w:line="300" w:lineRule="exact"/>
              <w:jc w:val="center"/>
              <w:rPr>
                <w:rFonts w:ascii="Times New Roman" w:hAnsi="Times New Roman"/>
                <w:sz w:val="24"/>
              </w:rPr>
            </w:pPr>
            <w:r>
              <w:rPr>
                <w:rFonts w:ascii="Times New Roman" w:hAnsi="Times New Roman"/>
                <w:sz w:val="24"/>
              </w:rPr>
              <w:t xml:space="preserve">-25.6 </w:t>
            </w:r>
          </w:p>
        </w:tc>
        <w:tc>
          <w:tcPr>
            <w:tcW w:w="1401" w:type="dxa"/>
            <w:noWrap w:val="0"/>
            <w:vAlign w:val="center"/>
          </w:tcPr>
          <w:p>
            <w:pPr>
              <w:widowControl/>
              <w:spacing w:line="300" w:lineRule="exact"/>
              <w:jc w:val="center"/>
              <w:rPr>
                <w:rFonts w:ascii="Times New Roman" w:hAnsi="Times New Roman"/>
                <w:sz w:val="24"/>
              </w:rPr>
            </w:pPr>
            <w:r>
              <w:rPr>
                <w:rFonts w:ascii="Times New Roman" w:hAnsi="Times New Roman"/>
                <w:sz w:val="24"/>
              </w:rPr>
              <w:t xml:space="preserve">189.2 </w:t>
            </w:r>
          </w:p>
        </w:tc>
        <w:tc>
          <w:tcPr>
            <w:tcW w:w="1316" w:type="dxa"/>
            <w:noWrap/>
            <w:vAlign w:val="center"/>
          </w:tcPr>
          <w:p>
            <w:pPr>
              <w:widowControl/>
              <w:spacing w:line="300" w:lineRule="exact"/>
              <w:jc w:val="center"/>
              <w:rPr>
                <w:rFonts w:ascii="Times New Roman" w:hAnsi="Times New Roman"/>
                <w:sz w:val="24"/>
              </w:rPr>
            </w:pPr>
            <w:r>
              <w:rPr>
                <w:rFonts w:ascii="Times New Roman" w:hAnsi="Times New Roman"/>
                <w:sz w:val="24"/>
              </w:rPr>
              <w:t xml:space="preserve">0.8 </w:t>
            </w:r>
          </w:p>
        </w:tc>
        <w:tc>
          <w:tcPr>
            <w:tcW w:w="1774" w:type="dxa"/>
            <w:noWrap w:val="0"/>
            <w:vAlign w:val="center"/>
          </w:tcPr>
          <w:p>
            <w:pPr>
              <w:widowControl/>
              <w:spacing w:line="300" w:lineRule="exact"/>
              <w:jc w:val="center"/>
              <w:rPr>
                <w:rFonts w:ascii="Times New Roman" w:hAnsi="Times New Roman"/>
                <w:sz w:val="24"/>
              </w:rPr>
            </w:pPr>
            <w:r>
              <w:rPr>
                <w:rFonts w:ascii="Times New Roman" w:hAnsi="Times New Roman"/>
                <w:sz w:val="24"/>
              </w:rPr>
              <w:t xml:space="preserve">3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871" w:type="dxa"/>
            <w:noWrap w:val="0"/>
            <w:vAlign w:val="center"/>
          </w:tcPr>
          <w:p>
            <w:pPr>
              <w:widowControl/>
              <w:jc w:val="center"/>
              <w:rPr>
                <w:rFonts w:ascii="Times New Roman" w:hAnsi="Times New Roman"/>
                <w:bCs/>
                <w:sz w:val="24"/>
                <w:szCs w:val="24"/>
              </w:rPr>
            </w:pPr>
            <w:r>
              <w:rPr>
                <w:rFonts w:ascii="Times New Roman" w:hAnsi="Times New Roman"/>
                <w:bCs/>
                <w:sz w:val="24"/>
                <w:szCs w:val="24"/>
              </w:rPr>
              <w:t>合计</w:t>
            </w:r>
          </w:p>
        </w:tc>
        <w:tc>
          <w:tcPr>
            <w:tcW w:w="1327" w:type="dxa"/>
            <w:noWrap/>
            <w:vAlign w:val="center"/>
          </w:tcPr>
          <w:p>
            <w:pPr>
              <w:widowControl/>
              <w:spacing w:line="300" w:lineRule="exact"/>
              <w:jc w:val="center"/>
              <w:rPr>
                <w:rFonts w:ascii="Times New Roman" w:hAnsi="Times New Roman"/>
                <w:sz w:val="24"/>
              </w:rPr>
            </w:pPr>
            <w:r>
              <w:rPr>
                <w:rFonts w:ascii="Times New Roman" w:hAnsi="Times New Roman"/>
                <w:sz w:val="24"/>
              </w:rPr>
              <w:t xml:space="preserve">334.5 </w:t>
            </w:r>
          </w:p>
        </w:tc>
        <w:tc>
          <w:tcPr>
            <w:tcW w:w="1320" w:type="dxa"/>
            <w:noWrap/>
            <w:vAlign w:val="center"/>
          </w:tcPr>
          <w:p>
            <w:pPr>
              <w:widowControl/>
              <w:spacing w:line="300" w:lineRule="exact"/>
              <w:jc w:val="center"/>
              <w:rPr>
                <w:rFonts w:ascii="Times New Roman" w:hAnsi="Times New Roman"/>
                <w:sz w:val="24"/>
              </w:rPr>
            </w:pPr>
            <w:r>
              <w:rPr>
                <w:rFonts w:ascii="Times New Roman" w:hAnsi="Times New Roman"/>
                <w:sz w:val="24"/>
              </w:rPr>
              <w:t xml:space="preserve">5.0 </w:t>
            </w:r>
          </w:p>
        </w:tc>
        <w:tc>
          <w:tcPr>
            <w:tcW w:w="1460" w:type="dxa"/>
            <w:noWrap w:val="0"/>
            <w:vAlign w:val="center"/>
          </w:tcPr>
          <w:p>
            <w:pPr>
              <w:widowControl/>
              <w:spacing w:line="300" w:lineRule="exact"/>
              <w:jc w:val="center"/>
              <w:rPr>
                <w:rFonts w:ascii="Times New Roman" w:hAnsi="Times New Roman"/>
                <w:sz w:val="24"/>
              </w:rPr>
            </w:pPr>
            <w:r>
              <w:rPr>
                <w:rFonts w:ascii="Times New Roman" w:hAnsi="Times New Roman"/>
                <w:sz w:val="24"/>
              </w:rPr>
              <w:t xml:space="preserve">8226.3 </w:t>
            </w:r>
          </w:p>
        </w:tc>
        <w:tc>
          <w:tcPr>
            <w:tcW w:w="1328" w:type="dxa"/>
            <w:noWrap w:val="0"/>
            <w:vAlign w:val="center"/>
          </w:tcPr>
          <w:p>
            <w:pPr>
              <w:widowControl/>
              <w:spacing w:line="300" w:lineRule="exact"/>
              <w:jc w:val="center"/>
              <w:rPr>
                <w:rFonts w:ascii="Times New Roman" w:hAnsi="Times New Roman"/>
                <w:sz w:val="24"/>
              </w:rPr>
            </w:pPr>
            <w:r>
              <w:rPr>
                <w:rFonts w:ascii="Times New Roman" w:hAnsi="Times New Roman"/>
                <w:sz w:val="24"/>
              </w:rPr>
              <w:t xml:space="preserve">7.6 </w:t>
            </w:r>
          </w:p>
        </w:tc>
        <w:tc>
          <w:tcPr>
            <w:tcW w:w="1228" w:type="dxa"/>
            <w:noWrap w:val="0"/>
            <w:vAlign w:val="center"/>
          </w:tcPr>
          <w:p>
            <w:pPr>
              <w:widowControl/>
              <w:spacing w:line="300" w:lineRule="exact"/>
              <w:jc w:val="center"/>
              <w:rPr>
                <w:rFonts w:ascii="Times New Roman" w:hAnsi="Times New Roman"/>
                <w:sz w:val="24"/>
              </w:rPr>
            </w:pPr>
            <w:r>
              <w:rPr>
                <w:rFonts w:ascii="Times New Roman" w:hAnsi="Times New Roman"/>
                <w:sz w:val="24"/>
              </w:rPr>
              <w:t xml:space="preserve">229021 </w:t>
            </w:r>
          </w:p>
        </w:tc>
        <w:tc>
          <w:tcPr>
            <w:tcW w:w="1150" w:type="dxa"/>
            <w:noWrap/>
            <w:vAlign w:val="center"/>
          </w:tcPr>
          <w:p>
            <w:pPr>
              <w:widowControl/>
              <w:spacing w:line="300" w:lineRule="exact"/>
              <w:jc w:val="center"/>
              <w:rPr>
                <w:rFonts w:ascii="Times New Roman" w:hAnsi="Times New Roman"/>
                <w:sz w:val="24"/>
              </w:rPr>
            </w:pPr>
            <w:r>
              <w:rPr>
                <w:rFonts w:ascii="Times New Roman" w:hAnsi="Times New Roman"/>
                <w:sz w:val="24"/>
              </w:rPr>
              <w:t xml:space="preserve">-0.5 </w:t>
            </w:r>
          </w:p>
        </w:tc>
        <w:tc>
          <w:tcPr>
            <w:tcW w:w="1401" w:type="dxa"/>
            <w:noWrap w:val="0"/>
            <w:vAlign w:val="center"/>
          </w:tcPr>
          <w:p>
            <w:pPr>
              <w:widowControl/>
              <w:spacing w:line="300" w:lineRule="exact"/>
              <w:jc w:val="center"/>
              <w:rPr>
                <w:rFonts w:ascii="Times New Roman" w:hAnsi="Times New Roman"/>
                <w:sz w:val="24"/>
              </w:rPr>
            </w:pPr>
            <w:r>
              <w:rPr>
                <w:rFonts w:ascii="Times New Roman" w:hAnsi="Times New Roman"/>
                <w:sz w:val="24"/>
              </w:rPr>
              <w:t xml:space="preserve">4166.2 </w:t>
            </w:r>
          </w:p>
        </w:tc>
        <w:tc>
          <w:tcPr>
            <w:tcW w:w="1316" w:type="dxa"/>
            <w:noWrap/>
            <w:vAlign w:val="center"/>
          </w:tcPr>
          <w:p>
            <w:pPr>
              <w:widowControl/>
              <w:spacing w:line="300" w:lineRule="exact"/>
              <w:jc w:val="center"/>
              <w:rPr>
                <w:rFonts w:ascii="Times New Roman" w:hAnsi="Times New Roman"/>
                <w:sz w:val="24"/>
              </w:rPr>
            </w:pPr>
            <w:r>
              <w:rPr>
                <w:rFonts w:ascii="Times New Roman" w:hAnsi="Times New Roman"/>
                <w:sz w:val="24"/>
              </w:rPr>
              <w:t xml:space="preserve">6.3 </w:t>
            </w:r>
          </w:p>
        </w:tc>
        <w:tc>
          <w:tcPr>
            <w:tcW w:w="1774" w:type="dxa"/>
            <w:noWrap w:val="0"/>
            <w:vAlign w:val="center"/>
          </w:tcPr>
          <w:p>
            <w:pPr>
              <w:widowControl/>
              <w:spacing w:line="300" w:lineRule="exact"/>
              <w:jc w:val="center"/>
              <w:rPr>
                <w:rFonts w:ascii="Times New Roman" w:hAnsi="Times New Roman"/>
                <w:sz w:val="24"/>
              </w:rPr>
            </w:pPr>
            <w:r>
              <w:rPr>
                <w:rFonts w:ascii="Times New Roman" w:hAnsi="Times New Roman"/>
                <w:sz w:val="24"/>
              </w:rPr>
              <w:t xml:space="preserve">61 </w:t>
            </w:r>
          </w:p>
        </w:tc>
      </w:tr>
    </w:tbl>
    <w:p>
      <w:pPr>
        <w:spacing w:line="280" w:lineRule="exact"/>
        <w:rPr>
          <w:rFonts w:hint="eastAsia" w:ascii="Times New Roman" w:hAnsi="Times New Roman"/>
          <w:spacing w:val="-2"/>
          <w:szCs w:val="21"/>
        </w:rPr>
      </w:pPr>
      <w:r>
        <w:rPr>
          <w:rFonts w:ascii="Times New Roman" w:hAnsi="Times New Roman"/>
          <w:spacing w:val="-2"/>
          <w:szCs w:val="21"/>
        </w:rPr>
        <w:t>注：1. 统计范围：常州高新区即新北区，武进高新区即武进高新区，常州经开区含丁堰街道、潞城街道、戚墅堰街道、遥观镇、横林镇和横山桥镇（含中</w:t>
      </w:r>
    </w:p>
    <w:p>
      <w:pPr>
        <w:spacing w:line="280" w:lineRule="exact"/>
        <w:ind w:firstLine="642" w:firstLineChars="312"/>
        <w:rPr>
          <w:rFonts w:hint="eastAsia" w:ascii="Times New Roman" w:hAnsi="Times New Roman"/>
          <w:spacing w:val="-2"/>
          <w:szCs w:val="21"/>
        </w:rPr>
      </w:pPr>
      <w:r>
        <w:rPr>
          <w:rFonts w:ascii="Times New Roman" w:hAnsi="Times New Roman"/>
          <w:spacing w:val="-2"/>
          <w:szCs w:val="21"/>
        </w:rPr>
        <w:t>天钢铁集团），金坛经开区含东城街道和尧塘街道，溧阳经开区含溧城镇、上兴镇，滨江经开区含春江街道和魏村街道，武进经开区即武进经开区，</w:t>
      </w:r>
    </w:p>
    <w:p>
      <w:pPr>
        <w:spacing w:line="280" w:lineRule="exact"/>
        <w:ind w:firstLine="642" w:firstLineChars="312"/>
        <w:rPr>
          <w:rFonts w:hint="eastAsia" w:ascii="Times New Roman" w:hAnsi="Times New Roman"/>
          <w:spacing w:val="-2"/>
          <w:szCs w:val="21"/>
        </w:rPr>
      </w:pPr>
      <w:r>
        <w:rPr>
          <w:rFonts w:ascii="Times New Roman" w:hAnsi="Times New Roman"/>
          <w:spacing w:val="-2"/>
          <w:szCs w:val="21"/>
        </w:rPr>
        <w:t>天宁经开区含青龙街道、雕庄街道和东青片区（东青村、和平村、武城村、青松村、花园村、东青社区），钟楼经开区含北港街道、新闸街道和邹</w:t>
      </w:r>
    </w:p>
    <w:p>
      <w:pPr>
        <w:spacing w:line="280" w:lineRule="exact"/>
        <w:ind w:firstLine="642" w:firstLineChars="312"/>
        <w:rPr>
          <w:rFonts w:ascii="Times New Roman" w:hAnsi="Times New Roman"/>
          <w:spacing w:val="-2"/>
          <w:szCs w:val="21"/>
        </w:rPr>
      </w:pPr>
      <w:r>
        <w:rPr>
          <w:rFonts w:ascii="Times New Roman" w:hAnsi="Times New Roman"/>
          <w:spacing w:val="-2"/>
          <w:szCs w:val="21"/>
        </w:rPr>
        <w:t>区高新技术产业园（前王村、杨庄村、鹤溪村、桥东村、林场村、卜弋村、刘巷村），江苏中关村高新区即昆仑街道。</w:t>
      </w:r>
    </w:p>
    <w:p>
      <w:pPr>
        <w:spacing w:line="280" w:lineRule="exact"/>
        <w:ind w:firstLine="396" w:firstLineChars="200"/>
        <w:rPr>
          <w:rFonts w:hint="eastAsia" w:ascii="Times New Roman" w:hAnsi="Times New Roman"/>
          <w:spacing w:val="-6"/>
          <w:szCs w:val="21"/>
        </w:rPr>
      </w:pPr>
      <w:r>
        <w:rPr>
          <w:rFonts w:ascii="Times New Roman" w:hAnsi="Times New Roman"/>
          <w:spacing w:val="-6"/>
          <w:szCs w:val="21"/>
        </w:rPr>
        <w:t>2. 新增重大产业类项目：内资为单个项目总投资10亿元人民币以上（以发改部门核准备案文件为准），外资为单个项目新增协议注册外资3000万美元。</w:t>
      </w:r>
    </w:p>
    <w:p>
      <w:pPr>
        <w:spacing w:line="280" w:lineRule="exact"/>
        <w:ind w:firstLine="396" w:firstLineChars="200"/>
        <w:rPr>
          <w:rFonts w:hint="eastAsia" w:ascii="Times New Roman" w:hAnsi="Times New Roman"/>
          <w:spacing w:val="-6"/>
          <w:szCs w:val="21"/>
        </w:rPr>
      </w:pPr>
    </w:p>
    <w:p>
      <w:pPr>
        <w:spacing w:line="280" w:lineRule="exact"/>
        <w:ind w:firstLine="396" w:firstLineChars="200"/>
        <w:rPr>
          <w:rFonts w:ascii="Times New Roman" w:hAnsi="Times New Roman"/>
          <w:spacing w:val="-6"/>
          <w:szCs w:val="21"/>
        </w:rPr>
        <w:sectPr>
          <w:pgSz w:w="16838" w:h="11906" w:orient="landscape"/>
          <w:pgMar w:top="1418" w:right="1531" w:bottom="1531" w:left="1531" w:header="709" w:footer="1361" w:gutter="0"/>
          <w:cols w:space="720" w:num="1"/>
          <w:docGrid w:linePitch="312" w:charSpace="0"/>
        </w:sectPr>
      </w:pPr>
    </w:p>
    <w:p>
      <w:pPr>
        <w:overflowPunct w:val="0"/>
        <w:autoSpaceDE w:val="0"/>
        <w:autoSpaceDN w:val="0"/>
        <w:adjustRightInd w:val="0"/>
        <w:snapToGrid w:val="0"/>
        <w:spacing w:line="57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5. 口岸开放功能提升、效应放大。全市拥有常州港和常州机场2个一类开放口岸，“十三五”时期常州水运口岸货物吞吐量达2.44亿吨，是“十二五”的1.4倍；水运口岸外贸总运量达4789万吨，是“十二五”的2倍；2019年外贸运量首次突破1000万吨，2020年达到1383万吨。常州航空口岸先后开辟12个国家和地区的24条境外航线，出入境人员总数达150万人次，2019年出入境人员总数首次突破60万人次。口岸功能和服务效能明显提升，海铁联运稳步推进，常州至上海洋山港已开通海铁循环班列。综合港务区建设加快推进，常州、武进综保区获批一般纳税人资格试点，对外开放功能不断扩大。2020年，常州被列入全国37家具备国际客运航班接收能力的口岸城市之一，航空口岸国际旅客占比位列全国前12名。</w:t>
      </w:r>
    </w:p>
    <w:p>
      <w:pPr>
        <w:adjustRightInd w:val="0"/>
        <w:spacing w:before="120" w:after="120" w:line="560" w:lineRule="exact"/>
        <w:jc w:val="center"/>
        <w:rPr>
          <w:rFonts w:ascii="Times New Roman" w:hAnsi="Times New Roman" w:eastAsia="方正黑体_GBK"/>
          <w:sz w:val="32"/>
          <w:szCs w:val="32"/>
        </w:rPr>
      </w:pPr>
      <w:r>
        <w:rPr>
          <w:rFonts w:ascii="Times New Roman" w:hAnsi="Times New Roman" w:eastAsia="方正黑体_GBK"/>
          <w:sz w:val="32"/>
          <w:szCs w:val="32"/>
        </w:rPr>
        <w:t>2016</w:t>
      </w:r>
      <w:r>
        <w:rPr>
          <w:rFonts w:ascii="黑体" w:hAnsi="黑体" w:eastAsia="黑体"/>
          <w:sz w:val="32"/>
          <w:szCs w:val="32"/>
        </w:rPr>
        <w:t>—</w:t>
      </w:r>
      <w:r>
        <w:rPr>
          <w:rFonts w:ascii="Times New Roman" w:hAnsi="Times New Roman" w:eastAsia="方正黑体_GBK"/>
          <w:sz w:val="32"/>
          <w:szCs w:val="32"/>
        </w:rPr>
        <w:t>2020年常州水运口岸运行情况表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59"/>
        <w:gridCol w:w="1982"/>
        <w:gridCol w:w="1670"/>
        <w:gridCol w:w="2083"/>
        <w:gridCol w:w="19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2" w:hRule="atLeast"/>
          <w:jc w:val="center"/>
        </w:trPr>
        <w:tc>
          <w:tcPr>
            <w:tcW w:w="1359" w:type="dxa"/>
            <w:tcBorders>
              <w:tl2br w:val="single" w:color="000000" w:sz="6" w:space="0"/>
            </w:tcBorders>
            <w:noWrap w:val="0"/>
            <w:vAlign w:val="top"/>
          </w:tcPr>
          <w:p>
            <w:pPr>
              <w:spacing w:line="320" w:lineRule="exact"/>
              <w:jc w:val="right"/>
              <w:rPr>
                <w:rFonts w:ascii="Times New Roman" w:hAnsi="Times New Roman" w:eastAsia="黑体"/>
                <w:sz w:val="24"/>
                <w:szCs w:val="24"/>
              </w:rPr>
            </w:pPr>
            <w:r>
              <w:rPr>
                <w:rFonts w:ascii="Times New Roman" w:hAnsi="Times New Roman" w:eastAsia="黑体"/>
                <w:sz w:val="24"/>
                <w:szCs w:val="24"/>
              </w:rPr>
              <w:t>项目</w:t>
            </w:r>
          </w:p>
          <w:p>
            <w:pPr>
              <w:spacing w:line="320" w:lineRule="exact"/>
              <w:rPr>
                <w:rFonts w:ascii="Times New Roman" w:hAnsi="Times New Roman" w:eastAsia="黑体"/>
                <w:sz w:val="24"/>
                <w:szCs w:val="24"/>
              </w:rPr>
            </w:pPr>
          </w:p>
          <w:p>
            <w:pPr>
              <w:spacing w:line="320" w:lineRule="exact"/>
              <w:rPr>
                <w:rFonts w:ascii="Times New Roman" w:hAnsi="Times New Roman" w:eastAsia="黑体"/>
                <w:sz w:val="24"/>
                <w:szCs w:val="24"/>
              </w:rPr>
            </w:pPr>
            <w:r>
              <w:rPr>
                <w:rFonts w:ascii="Times New Roman" w:hAnsi="Times New Roman" w:eastAsia="黑体"/>
                <w:sz w:val="24"/>
                <w:szCs w:val="24"/>
              </w:rPr>
              <w:t>年份</w:t>
            </w:r>
          </w:p>
        </w:tc>
        <w:tc>
          <w:tcPr>
            <w:tcW w:w="1982" w:type="dxa"/>
            <w:noWrap w:val="0"/>
            <w:vAlign w:val="center"/>
          </w:tcPr>
          <w:p>
            <w:pPr>
              <w:spacing w:line="320" w:lineRule="exact"/>
              <w:jc w:val="center"/>
              <w:rPr>
                <w:rFonts w:ascii="Times New Roman" w:hAnsi="Times New Roman" w:eastAsia="黑体"/>
                <w:sz w:val="24"/>
                <w:szCs w:val="24"/>
              </w:rPr>
            </w:pPr>
            <w:r>
              <w:rPr>
                <w:rFonts w:ascii="Times New Roman" w:hAnsi="Times New Roman" w:eastAsia="黑体"/>
                <w:sz w:val="24"/>
                <w:szCs w:val="24"/>
              </w:rPr>
              <w:t>口岸货物吞吐量（万吨）</w:t>
            </w:r>
          </w:p>
        </w:tc>
        <w:tc>
          <w:tcPr>
            <w:tcW w:w="1670" w:type="dxa"/>
            <w:noWrap w:val="0"/>
            <w:vAlign w:val="center"/>
          </w:tcPr>
          <w:p>
            <w:pPr>
              <w:spacing w:line="320" w:lineRule="exact"/>
              <w:jc w:val="center"/>
              <w:rPr>
                <w:rFonts w:ascii="Times New Roman" w:hAnsi="Times New Roman" w:eastAsia="黑体"/>
                <w:sz w:val="24"/>
                <w:szCs w:val="24"/>
              </w:rPr>
            </w:pPr>
            <w:r>
              <w:rPr>
                <w:rFonts w:ascii="Times New Roman" w:hAnsi="Times New Roman" w:eastAsia="黑体"/>
                <w:sz w:val="24"/>
                <w:szCs w:val="24"/>
              </w:rPr>
              <w:t>其中：外贸</w:t>
            </w:r>
          </w:p>
          <w:p>
            <w:pPr>
              <w:spacing w:line="320" w:lineRule="exact"/>
              <w:jc w:val="center"/>
              <w:rPr>
                <w:rFonts w:ascii="Times New Roman" w:hAnsi="Times New Roman" w:eastAsia="黑体"/>
                <w:sz w:val="24"/>
                <w:szCs w:val="24"/>
              </w:rPr>
            </w:pPr>
            <w:r>
              <w:rPr>
                <w:rFonts w:ascii="Times New Roman" w:hAnsi="Times New Roman" w:eastAsia="黑体"/>
                <w:sz w:val="24"/>
                <w:szCs w:val="24"/>
              </w:rPr>
              <w:t>吞吐量（万吨）</w:t>
            </w:r>
          </w:p>
        </w:tc>
        <w:tc>
          <w:tcPr>
            <w:tcW w:w="2083" w:type="dxa"/>
            <w:noWrap w:val="0"/>
            <w:vAlign w:val="center"/>
          </w:tcPr>
          <w:p>
            <w:pPr>
              <w:spacing w:line="320" w:lineRule="exact"/>
              <w:jc w:val="center"/>
              <w:rPr>
                <w:rFonts w:ascii="Times New Roman" w:hAnsi="Times New Roman" w:eastAsia="黑体"/>
                <w:sz w:val="24"/>
                <w:szCs w:val="24"/>
              </w:rPr>
            </w:pPr>
            <w:r>
              <w:rPr>
                <w:rFonts w:ascii="Times New Roman" w:hAnsi="Times New Roman" w:eastAsia="黑体"/>
                <w:sz w:val="24"/>
                <w:szCs w:val="24"/>
              </w:rPr>
              <w:t>口岸集装箱运量（万标箱）</w:t>
            </w:r>
          </w:p>
        </w:tc>
        <w:tc>
          <w:tcPr>
            <w:tcW w:w="1978" w:type="dxa"/>
            <w:noWrap w:val="0"/>
            <w:vAlign w:val="center"/>
          </w:tcPr>
          <w:p>
            <w:pPr>
              <w:spacing w:line="320" w:lineRule="exact"/>
              <w:jc w:val="center"/>
              <w:rPr>
                <w:rFonts w:ascii="Times New Roman" w:hAnsi="Times New Roman" w:eastAsia="黑体"/>
                <w:sz w:val="24"/>
                <w:szCs w:val="24"/>
              </w:rPr>
            </w:pPr>
            <w:r>
              <w:rPr>
                <w:rFonts w:ascii="Times New Roman" w:hAnsi="Times New Roman" w:eastAsia="黑体"/>
                <w:sz w:val="24"/>
                <w:szCs w:val="24"/>
              </w:rPr>
              <w:t>其中：外贸集装箱运量（万标箱）</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2" w:hRule="atLeast"/>
          <w:jc w:val="center"/>
        </w:trPr>
        <w:tc>
          <w:tcPr>
            <w:tcW w:w="1359" w:type="dxa"/>
            <w:noWrap w:val="0"/>
            <w:vAlign w:val="center"/>
          </w:tcPr>
          <w:p>
            <w:pPr>
              <w:spacing w:line="320" w:lineRule="exact"/>
              <w:jc w:val="center"/>
              <w:rPr>
                <w:rFonts w:ascii="Times New Roman" w:hAnsi="Times New Roman"/>
                <w:sz w:val="24"/>
                <w:szCs w:val="24"/>
              </w:rPr>
            </w:pPr>
            <w:bookmarkStart w:id="7" w:name="OLE_LINK5" w:colFirst="1" w:colLast="4"/>
            <w:r>
              <w:rPr>
                <w:rFonts w:ascii="Times New Roman" w:hAnsi="Times New Roman"/>
                <w:sz w:val="24"/>
                <w:szCs w:val="24"/>
              </w:rPr>
              <w:t>2016年</w:t>
            </w:r>
          </w:p>
        </w:tc>
        <w:tc>
          <w:tcPr>
            <w:tcW w:w="1982" w:type="dxa"/>
            <w:noWrap w:val="0"/>
            <w:vAlign w:val="center"/>
          </w:tcPr>
          <w:p>
            <w:pPr>
              <w:spacing w:line="320" w:lineRule="exact"/>
              <w:jc w:val="center"/>
              <w:rPr>
                <w:rFonts w:ascii="Times New Roman" w:hAnsi="Times New Roman"/>
                <w:sz w:val="24"/>
                <w:szCs w:val="24"/>
              </w:rPr>
            </w:pPr>
            <w:r>
              <w:rPr>
                <w:rFonts w:ascii="Times New Roman" w:hAnsi="Times New Roman"/>
                <w:sz w:val="24"/>
                <w:szCs w:val="24"/>
              </w:rPr>
              <w:t>4031.0</w:t>
            </w:r>
          </w:p>
        </w:tc>
        <w:tc>
          <w:tcPr>
            <w:tcW w:w="1670" w:type="dxa"/>
            <w:noWrap w:val="0"/>
            <w:vAlign w:val="center"/>
          </w:tcPr>
          <w:p>
            <w:pPr>
              <w:spacing w:line="320" w:lineRule="exact"/>
              <w:jc w:val="center"/>
              <w:rPr>
                <w:rFonts w:ascii="Times New Roman" w:hAnsi="Times New Roman"/>
                <w:sz w:val="24"/>
                <w:szCs w:val="24"/>
              </w:rPr>
            </w:pPr>
            <w:r>
              <w:rPr>
                <w:rFonts w:ascii="Times New Roman" w:hAnsi="Times New Roman"/>
                <w:sz w:val="24"/>
                <w:szCs w:val="24"/>
              </w:rPr>
              <w:t>565.3</w:t>
            </w:r>
          </w:p>
        </w:tc>
        <w:tc>
          <w:tcPr>
            <w:tcW w:w="2083" w:type="dxa"/>
            <w:noWrap w:val="0"/>
            <w:vAlign w:val="center"/>
          </w:tcPr>
          <w:p>
            <w:pPr>
              <w:spacing w:line="320" w:lineRule="exact"/>
              <w:jc w:val="center"/>
              <w:rPr>
                <w:rFonts w:ascii="Times New Roman" w:hAnsi="Times New Roman"/>
                <w:sz w:val="24"/>
                <w:szCs w:val="24"/>
              </w:rPr>
            </w:pPr>
            <w:r>
              <w:rPr>
                <w:rFonts w:ascii="Times New Roman" w:hAnsi="Times New Roman"/>
                <w:sz w:val="24"/>
                <w:szCs w:val="24"/>
              </w:rPr>
              <w:t>21.5</w:t>
            </w:r>
          </w:p>
        </w:tc>
        <w:tc>
          <w:tcPr>
            <w:tcW w:w="1978" w:type="dxa"/>
            <w:noWrap w:val="0"/>
            <w:vAlign w:val="center"/>
          </w:tcPr>
          <w:p>
            <w:pPr>
              <w:spacing w:line="320" w:lineRule="exact"/>
              <w:jc w:val="center"/>
              <w:rPr>
                <w:rFonts w:ascii="Times New Roman" w:hAnsi="Times New Roman"/>
                <w:sz w:val="24"/>
                <w:szCs w:val="24"/>
              </w:rPr>
            </w:pPr>
            <w:r>
              <w:rPr>
                <w:rFonts w:ascii="Times New Roman" w:hAnsi="Times New Roman"/>
                <w:sz w:val="24"/>
                <w:szCs w:val="24"/>
              </w:rPr>
              <w:t>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2" w:hRule="atLeast"/>
          <w:jc w:val="center"/>
        </w:trPr>
        <w:tc>
          <w:tcPr>
            <w:tcW w:w="1359" w:type="dxa"/>
            <w:noWrap w:val="0"/>
            <w:vAlign w:val="center"/>
          </w:tcPr>
          <w:p>
            <w:pPr>
              <w:spacing w:line="320" w:lineRule="exact"/>
              <w:jc w:val="center"/>
              <w:rPr>
                <w:rFonts w:ascii="Times New Roman" w:hAnsi="Times New Roman"/>
                <w:sz w:val="24"/>
                <w:szCs w:val="24"/>
              </w:rPr>
            </w:pPr>
            <w:r>
              <w:rPr>
                <w:rFonts w:ascii="Times New Roman" w:hAnsi="Times New Roman"/>
                <w:sz w:val="24"/>
                <w:szCs w:val="24"/>
              </w:rPr>
              <w:t>2017年</w:t>
            </w:r>
          </w:p>
        </w:tc>
        <w:tc>
          <w:tcPr>
            <w:tcW w:w="1982" w:type="dxa"/>
            <w:noWrap w:val="0"/>
            <w:vAlign w:val="center"/>
          </w:tcPr>
          <w:p>
            <w:pPr>
              <w:spacing w:line="320" w:lineRule="exact"/>
              <w:jc w:val="center"/>
              <w:rPr>
                <w:rFonts w:ascii="Times New Roman" w:hAnsi="Times New Roman"/>
                <w:sz w:val="24"/>
                <w:szCs w:val="24"/>
              </w:rPr>
            </w:pPr>
            <w:r>
              <w:rPr>
                <w:rFonts w:ascii="Times New Roman" w:hAnsi="Times New Roman"/>
                <w:sz w:val="24"/>
                <w:szCs w:val="24"/>
              </w:rPr>
              <w:t>4714.1</w:t>
            </w:r>
          </w:p>
        </w:tc>
        <w:tc>
          <w:tcPr>
            <w:tcW w:w="1670" w:type="dxa"/>
            <w:noWrap w:val="0"/>
            <w:vAlign w:val="center"/>
          </w:tcPr>
          <w:p>
            <w:pPr>
              <w:spacing w:line="320" w:lineRule="exact"/>
              <w:jc w:val="center"/>
              <w:rPr>
                <w:rFonts w:ascii="Times New Roman" w:hAnsi="Times New Roman"/>
                <w:sz w:val="24"/>
                <w:szCs w:val="24"/>
              </w:rPr>
            </w:pPr>
            <w:r>
              <w:rPr>
                <w:rFonts w:ascii="Times New Roman" w:hAnsi="Times New Roman"/>
                <w:sz w:val="24"/>
                <w:szCs w:val="24"/>
              </w:rPr>
              <w:t>692.4</w:t>
            </w:r>
          </w:p>
        </w:tc>
        <w:tc>
          <w:tcPr>
            <w:tcW w:w="2083" w:type="dxa"/>
            <w:noWrap w:val="0"/>
            <w:vAlign w:val="center"/>
          </w:tcPr>
          <w:p>
            <w:pPr>
              <w:spacing w:line="320" w:lineRule="exact"/>
              <w:jc w:val="center"/>
              <w:rPr>
                <w:rFonts w:ascii="Times New Roman" w:hAnsi="Times New Roman"/>
                <w:sz w:val="24"/>
                <w:szCs w:val="24"/>
              </w:rPr>
            </w:pPr>
            <w:r>
              <w:rPr>
                <w:rFonts w:ascii="Times New Roman" w:hAnsi="Times New Roman"/>
                <w:sz w:val="24"/>
                <w:szCs w:val="24"/>
              </w:rPr>
              <w:t>25.4</w:t>
            </w:r>
          </w:p>
        </w:tc>
        <w:tc>
          <w:tcPr>
            <w:tcW w:w="1978" w:type="dxa"/>
            <w:noWrap w:val="0"/>
            <w:vAlign w:val="center"/>
          </w:tcPr>
          <w:p>
            <w:pPr>
              <w:spacing w:line="320" w:lineRule="exact"/>
              <w:jc w:val="center"/>
              <w:rPr>
                <w:rFonts w:ascii="Times New Roman" w:hAnsi="Times New Roman"/>
                <w:sz w:val="24"/>
                <w:szCs w:val="24"/>
              </w:rPr>
            </w:pPr>
            <w:r>
              <w:rPr>
                <w:rFonts w:ascii="Times New Roman" w:hAnsi="Times New Roman"/>
                <w:sz w:val="24"/>
                <w:szCs w:val="24"/>
              </w:rPr>
              <w:t>16.1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2" w:hRule="atLeast"/>
          <w:jc w:val="center"/>
        </w:trPr>
        <w:tc>
          <w:tcPr>
            <w:tcW w:w="1359" w:type="dxa"/>
            <w:noWrap w:val="0"/>
            <w:vAlign w:val="center"/>
          </w:tcPr>
          <w:p>
            <w:pPr>
              <w:spacing w:line="320" w:lineRule="exact"/>
              <w:jc w:val="center"/>
              <w:rPr>
                <w:rFonts w:ascii="Times New Roman" w:hAnsi="Times New Roman"/>
                <w:sz w:val="24"/>
                <w:szCs w:val="24"/>
              </w:rPr>
            </w:pPr>
            <w:r>
              <w:rPr>
                <w:rFonts w:ascii="Times New Roman" w:hAnsi="Times New Roman"/>
                <w:sz w:val="24"/>
                <w:szCs w:val="24"/>
              </w:rPr>
              <w:t>2018年</w:t>
            </w:r>
          </w:p>
        </w:tc>
        <w:tc>
          <w:tcPr>
            <w:tcW w:w="1982" w:type="dxa"/>
            <w:noWrap w:val="0"/>
            <w:vAlign w:val="center"/>
          </w:tcPr>
          <w:p>
            <w:pPr>
              <w:spacing w:line="320" w:lineRule="exact"/>
              <w:jc w:val="center"/>
              <w:rPr>
                <w:rFonts w:ascii="Times New Roman" w:hAnsi="Times New Roman"/>
                <w:sz w:val="24"/>
                <w:szCs w:val="24"/>
              </w:rPr>
            </w:pPr>
            <w:r>
              <w:rPr>
                <w:rFonts w:ascii="Times New Roman" w:hAnsi="Times New Roman"/>
                <w:sz w:val="24"/>
                <w:szCs w:val="24"/>
              </w:rPr>
              <w:t>4861.8</w:t>
            </w:r>
          </w:p>
        </w:tc>
        <w:tc>
          <w:tcPr>
            <w:tcW w:w="1670" w:type="dxa"/>
            <w:noWrap w:val="0"/>
            <w:vAlign w:val="center"/>
          </w:tcPr>
          <w:p>
            <w:pPr>
              <w:spacing w:line="320" w:lineRule="exact"/>
              <w:jc w:val="center"/>
              <w:rPr>
                <w:rFonts w:ascii="Times New Roman" w:hAnsi="Times New Roman"/>
                <w:sz w:val="24"/>
                <w:szCs w:val="24"/>
              </w:rPr>
            </w:pPr>
            <w:r>
              <w:rPr>
                <w:rFonts w:ascii="Times New Roman" w:hAnsi="Times New Roman"/>
                <w:sz w:val="24"/>
                <w:szCs w:val="24"/>
              </w:rPr>
              <w:t>949.8</w:t>
            </w:r>
          </w:p>
        </w:tc>
        <w:tc>
          <w:tcPr>
            <w:tcW w:w="2083" w:type="dxa"/>
            <w:noWrap w:val="0"/>
            <w:vAlign w:val="center"/>
          </w:tcPr>
          <w:p>
            <w:pPr>
              <w:spacing w:line="320" w:lineRule="exact"/>
              <w:jc w:val="center"/>
              <w:rPr>
                <w:rFonts w:ascii="Times New Roman" w:hAnsi="Times New Roman"/>
                <w:sz w:val="24"/>
                <w:szCs w:val="24"/>
              </w:rPr>
            </w:pPr>
            <w:r>
              <w:rPr>
                <w:rFonts w:ascii="Times New Roman" w:hAnsi="Times New Roman"/>
                <w:sz w:val="24"/>
                <w:szCs w:val="24"/>
              </w:rPr>
              <w:t>31.2</w:t>
            </w:r>
          </w:p>
        </w:tc>
        <w:tc>
          <w:tcPr>
            <w:tcW w:w="1978" w:type="dxa"/>
            <w:noWrap w:val="0"/>
            <w:vAlign w:val="center"/>
          </w:tcPr>
          <w:p>
            <w:pPr>
              <w:spacing w:line="320" w:lineRule="exact"/>
              <w:jc w:val="center"/>
              <w:rPr>
                <w:rFonts w:ascii="Times New Roman" w:hAnsi="Times New Roman"/>
                <w:sz w:val="24"/>
                <w:szCs w:val="24"/>
              </w:rPr>
            </w:pPr>
            <w:r>
              <w:rPr>
                <w:rFonts w:ascii="Times New Roman" w:hAnsi="Times New Roman"/>
                <w:sz w:val="24"/>
                <w:szCs w:val="24"/>
              </w:rPr>
              <w:t>16.8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2" w:hRule="atLeast"/>
          <w:jc w:val="center"/>
        </w:trPr>
        <w:tc>
          <w:tcPr>
            <w:tcW w:w="1359" w:type="dxa"/>
            <w:noWrap w:val="0"/>
            <w:vAlign w:val="center"/>
          </w:tcPr>
          <w:p>
            <w:pPr>
              <w:spacing w:line="320" w:lineRule="exact"/>
              <w:jc w:val="center"/>
              <w:rPr>
                <w:rFonts w:ascii="Times New Roman" w:hAnsi="Times New Roman"/>
                <w:sz w:val="24"/>
                <w:szCs w:val="24"/>
              </w:rPr>
            </w:pPr>
            <w:r>
              <w:rPr>
                <w:rFonts w:ascii="Times New Roman" w:hAnsi="Times New Roman"/>
                <w:sz w:val="24"/>
                <w:szCs w:val="24"/>
              </w:rPr>
              <w:t>2019年</w:t>
            </w:r>
          </w:p>
        </w:tc>
        <w:tc>
          <w:tcPr>
            <w:tcW w:w="1982" w:type="dxa"/>
            <w:noWrap w:val="0"/>
            <w:vAlign w:val="center"/>
          </w:tcPr>
          <w:p>
            <w:pPr>
              <w:spacing w:line="320" w:lineRule="exact"/>
              <w:jc w:val="center"/>
              <w:rPr>
                <w:rFonts w:ascii="Times New Roman" w:hAnsi="Times New Roman"/>
                <w:sz w:val="24"/>
                <w:szCs w:val="24"/>
              </w:rPr>
            </w:pPr>
            <w:r>
              <w:rPr>
                <w:rFonts w:ascii="Times New Roman" w:hAnsi="Times New Roman"/>
                <w:sz w:val="24"/>
                <w:szCs w:val="24"/>
              </w:rPr>
              <w:t>5352.8</w:t>
            </w:r>
          </w:p>
        </w:tc>
        <w:tc>
          <w:tcPr>
            <w:tcW w:w="1670" w:type="dxa"/>
            <w:noWrap w:val="0"/>
            <w:vAlign w:val="center"/>
          </w:tcPr>
          <w:p>
            <w:pPr>
              <w:spacing w:line="320" w:lineRule="exact"/>
              <w:jc w:val="center"/>
              <w:rPr>
                <w:rFonts w:ascii="Times New Roman" w:hAnsi="Times New Roman"/>
                <w:sz w:val="24"/>
                <w:szCs w:val="24"/>
              </w:rPr>
            </w:pPr>
            <w:r>
              <w:rPr>
                <w:rFonts w:ascii="Times New Roman" w:hAnsi="Times New Roman"/>
                <w:sz w:val="24"/>
                <w:szCs w:val="24"/>
              </w:rPr>
              <w:t>1199.2</w:t>
            </w:r>
          </w:p>
        </w:tc>
        <w:tc>
          <w:tcPr>
            <w:tcW w:w="2083" w:type="dxa"/>
            <w:noWrap w:val="0"/>
            <w:vAlign w:val="center"/>
          </w:tcPr>
          <w:p>
            <w:pPr>
              <w:spacing w:line="320" w:lineRule="exact"/>
              <w:jc w:val="center"/>
              <w:rPr>
                <w:rFonts w:ascii="Times New Roman" w:hAnsi="Times New Roman"/>
                <w:sz w:val="24"/>
                <w:szCs w:val="24"/>
              </w:rPr>
            </w:pPr>
            <w:r>
              <w:rPr>
                <w:rFonts w:ascii="Times New Roman" w:hAnsi="Times New Roman"/>
                <w:sz w:val="24"/>
                <w:szCs w:val="24"/>
              </w:rPr>
              <w:t>32.0</w:t>
            </w:r>
          </w:p>
        </w:tc>
        <w:tc>
          <w:tcPr>
            <w:tcW w:w="1978" w:type="dxa"/>
            <w:noWrap w:val="0"/>
            <w:vAlign w:val="center"/>
          </w:tcPr>
          <w:p>
            <w:pPr>
              <w:spacing w:line="320" w:lineRule="exact"/>
              <w:jc w:val="center"/>
              <w:rPr>
                <w:rFonts w:ascii="Times New Roman" w:hAnsi="Times New Roman"/>
                <w:sz w:val="24"/>
                <w:szCs w:val="24"/>
              </w:rPr>
            </w:pPr>
            <w:r>
              <w:rPr>
                <w:rFonts w:ascii="Times New Roman" w:hAnsi="Times New Roman"/>
                <w:sz w:val="24"/>
                <w:szCs w:val="24"/>
              </w:rPr>
              <w:t>15.1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2" w:hRule="atLeast"/>
          <w:jc w:val="center"/>
        </w:trPr>
        <w:tc>
          <w:tcPr>
            <w:tcW w:w="1359" w:type="dxa"/>
            <w:noWrap w:val="0"/>
            <w:vAlign w:val="center"/>
          </w:tcPr>
          <w:p>
            <w:pPr>
              <w:spacing w:line="320" w:lineRule="exact"/>
              <w:jc w:val="center"/>
              <w:rPr>
                <w:rFonts w:ascii="Times New Roman" w:hAnsi="Times New Roman"/>
                <w:sz w:val="24"/>
                <w:szCs w:val="24"/>
              </w:rPr>
            </w:pPr>
            <w:r>
              <w:rPr>
                <w:rFonts w:ascii="Times New Roman" w:hAnsi="Times New Roman"/>
                <w:sz w:val="24"/>
                <w:szCs w:val="24"/>
              </w:rPr>
              <w:t>2020年</w:t>
            </w:r>
          </w:p>
        </w:tc>
        <w:tc>
          <w:tcPr>
            <w:tcW w:w="1982" w:type="dxa"/>
            <w:noWrap w:val="0"/>
            <w:vAlign w:val="center"/>
          </w:tcPr>
          <w:p>
            <w:pPr>
              <w:spacing w:line="320" w:lineRule="exact"/>
              <w:jc w:val="center"/>
              <w:rPr>
                <w:rFonts w:ascii="Times New Roman" w:hAnsi="Times New Roman"/>
                <w:sz w:val="24"/>
                <w:szCs w:val="24"/>
              </w:rPr>
            </w:pPr>
            <w:r>
              <w:rPr>
                <w:rFonts w:ascii="Times New Roman" w:hAnsi="Times New Roman"/>
                <w:sz w:val="24"/>
                <w:szCs w:val="24"/>
              </w:rPr>
              <w:t>5441</w:t>
            </w:r>
          </w:p>
        </w:tc>
        <w:tc>
          <w:tcPr>
            <w:tcW w:w="1670" w:type="dxa"/>
            <w:noWrap w:val="0"/>
            <w:vAlign w:val="center"/>
          </w:tcPr>
          <w:p>
            <w:pPr>
              <w:spacing w:line="320" w:lineRule="exact"/>
              <w:jc w:val="center"/>
              <w:rPr>
                <w:rFonts w:ascii="Times New Roman" w:hAnsi="Times New Roman"/>
                <w:sz w:val="24"/>
                <w:szCs w:val="24"/>
              </w:rPr>
            </w:pPr>
            <w:r>
              <w:rPr>
                <w:rFonts w:ascii="Times New Roman" w:hAnsi="Times New Roman"/>
                <w:sz w:val="24"/>
                <w:szCs w:val="24"/>
              </w:rPr>
              <w:t>1383</w:t>
            </w:r>
          </w:p>
        </w:tc>
        <w:tc>
          <w:tcPr>
            <w:tcW w:w="2083" w:type="dxa"/>
            <w:noWrap w:val="0"/>
            <w:vAlign w:val="center"/>
          </w:tcPr>
          <w:p>
            <w:pPr>
              <w:spacing w:line="320" w:lineRule="exact"/>
              <w:jc w:val="center"/>
              <w:rPr>
                <w:rFonts w:ascii="Times New Roman" w:hAnsi="Times New Roman"/>
                <w:sz w:val="24"/>
                <w:szCs w:val="24"/>
              </w:rPr>
            </w:pPr>
            <w:r>
              <w:rPr>
                <w:rFonts w:ascii="Times New Roman" w:hAnsi="Times New Roman"/>
                <w:sz w:val="24"/>
                <w:szCs w:val="24"/>
              </w:rPr>
              <w:t>35.1</w:t>
            </w:r>
          </w:p>
        </w:tc>
        <w:tc>
          <w:tcPr>
            <w:tcW w:w="1978" w:type="dxa"/>
            <w:noWrap w:val="0"/>
            <w:vAlign w:val="center"/>
          </w:tcPr>
          <w:p>
            <w:pPr>
              <w:spacing w:line="320" w:lineRule="exact"/>
              <w:jc w:val="center"/>
              <w:rPr>
                <w:rFonts w:ascii="Times New Roman" w:hAnsi="Times New Roman"/>
                <w:sz w:val="24"/>
                <w:szCs w:val="24"/>
              </w:rPr>
            </w:pPr>
            <w:r>
              <w:rPr>
                <w:rFonts w:ascii="Times New Roman" w:hAnsi="Times New Roman"/>
                <w:sz w:val="24"/>
                <w:szCs w:val="24"/>
              </w:rPr>
              <w:t>12.9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2" w:hRule="atLeast"/>
          <w:jc w:val="center"/>
        </w:trPr>
        <w:tc>
          <w:tcPr>
            <w:tcW w:w="1359" w:type="dxa"/>
            <w:noWrap w:val="0"/>
            <w:vAlign w:val="center"/>
          </w:tcPr>
          <w:p>
            <w:pPr>
              <w:spacing w:line="320" w:lineRule="exact"/>
              <w:jc w:val="center"/>
              <w:rPr>
                <w:rFonts w:ascii="Times New Roman" w:hAnsi="Times New Roman"/>
                <w:sz w:val="24"/>
                <w:szCs w:val="24"/>
              </w:rPr>
            </w:pPr>
            <w:r>
              <w:rPr>
                <w:rFonts w:ascii="Times New Roman" w:hAnsi="Times New Roman"/>
                <w:sz w:val="24"/>
                <w:szCs w:val="24"/>
              </w:rPr>
              <w:t>总  计</w:t>
            </w:r>
          </w:p>
        </w:tc>
        <w:tc>
          <w:tcPr>
            <w:tcW w:w="1982" w:type="dxa"/>
            <w:noWrap w:val="0"/>
            <w:vAlign w:val="center"/>
          </w:tcPr>
          <w:p>
            <w:pPr>
              <w:spacing w:line="320" w:lineRule="exact"/>
              <w:jc w:val="center"/>
              <w:rPr>
                <w:rFonts w:ascii="Times New Roman" w:hAnsi="Times New Roman"/>
                <w:sz w:val="24"/>
                <w:szCs w:val="24"/>
              </w:rPr>
            </w:pPr>
            <w:r>
              <w:rPr>
                <w:rFonts w:ascii="Times New Roman" w:hAnsi="Times New Roman"/>
                <w:sz w:val="24"/>
                <w:szCs w:val="24"/>
              </w:rPr>
              <w:t>24400.7</w:t>
            </w:r>
          </w:p>
        </w:tc>
        <w:tc>
          <w:tcPr>
            <w:tcW w:w="1670" w:type="dxa"/>
            <w:noWrap w:val="0"/>
            <w:vAlign w:val="center"/>
          </w:tcPr>
          <w:p>
            <w:pPr>
              <w:spacing w:line="320" w:lineRule="exact"/>
              <w:jc w:val="center"/>
              <w:rPr>
                <w:rFonts w:ascii="Times New Roman" w:hAnsi="Times New Roman"/>
                <w:sz w:val="24"/>
                <w:szCs w:val="24"/>
              </w:rPr>
            </w:pPr>
            <w:r>
              <w:rPr>
                <w:rFonts w:ascii="Times New Roman" w:hAnsi="Times New Roman"/>
                <w:sz w:val="24"/>
                <w:szCs w:val="24"/>
              </w:rPr>
              <w:t>4789.7</w:t>
            </w:r>
          </w:p>
        </w:tc>
        <w:tc>
          <w:tcPr>
            <w:tcW w:w="2083" w:type="dxa"/>
            <w:noWrap w:val="0"/>
            <w:vAlign w:val="center"/>
          </w:tcPr>
          <w:p>
            <w:pPr>
              <w:spacing w:line="320" w:lineRule="exact"/>
              <w:jc w:val="center"/>
              <w:rPr>
                <w:rFonts w:ascii="Times New Roman" w:hAnsi="Times New Roman"/>
                <w:sz w:val="24"/>
                <w:szCs w:val="24"/>
              </w:rPr>
            </w:pPr>
            <w:r>
              <w:rPr>
                <w:rFonts w:ascii="Times New Roman" w:hAnsi="Times New Roman"/>
                <w:sz w:val="24"/>
                <w:szCs w:val="24"/>
              </w:rPr>
              <w:t>145.2</w:t>
            </w:r>
          </w:p>
        </w:tc>
        <w:tc>
          <w:tcPr>
            <w:tcW w:w="1978" w:type="dxa"/>
            <w:noWrap w:val="0"/>
            <w:vAlign w:val="center"/>
          </w:tcPr>
          <w:p>
            <w:pPr>
              <w:spacing w:line="320" w:lineRule="exact"/>
              <w:jc w:val="center"/>
              <w:rPr>
                <w:rFonts w:ascii="Times New Roman" w:hAnsi="Times New Roman"/>
                <w:sz w:val="24"/>
                <w:szCs w:val="24"/>
              </w:rPr>
            </w:pPr>
            <w:r>
              <w:rPr>
                <w:rFonts w:ascii="Times New Roman" w:hAnsi="Times New Roman"/>
                <w:sz w:val="24"/>
                <w:szCs w:val="24"/>
              </w:rPr>
              <w:t>74.9</w:t>
            </w:r>
          </w:p>
        </w:tc>
      </w:tr>
      <w:bookmarkEnd w:id="2"/>
      <w:bookmarkEnd w:id="3"/>
      <w:bookmarkEnd w:id="7"/>
    </w:tbl>
    <w:p>
      <w:pPr>
        <w:overflowPunct w:val="0"/>
        <w:autoSpaceDE w:val="0"/>
        <w:autoSpaceDN w:val="0"/>
        <w:adjustRightInd w:val="0"/>
        <w:snapToGrid w:val="0"/>
        <w:spacing w:line="570" w:lineRule="exact"/>
        <w:ind w:firstLine="641"/>
        <w:rPr>
          <w:rFonts w:ascii="Times New Roman" w:hAnsi="Times New Roman" w:eastAsia="方正楷体_GBK"/>
          <w:snapToGrid w:val="0"/>
          <w:kern w:val="0"/>
          <w:sz w:val="32"/>
          <w:szCs w:val="32"/>
        </w:rPr>
      </w:pPr>
      <w:r>
        <w:rPr>
          <w:rFonts w:ascii="Times New Roman" w:hAnsi="Times New Roman" w:eastAsia="方正楷体_GBK"/>
          <w:snapToGrid w:val="0"/>
          <w:kern w:val="0"/>
          <w:sz w:val="32"/>
          <w:szCs w:val="32"/>
        </w:rPr>
        <w:t>（二）问题不足</w:t>
      </w:r>
    </w:p>
    <w:p>
      <w:pPr>
        <w:overflowPunct w:val="0"/>
        <w:autoSpaceDE w:val="0"/>
        <w:autoSpaceDN w:val="0"/>
        <w:adjustRightInd w:val="0"/>
        <w:snapToGrid w:val="0"/>
        <w:spacing w:line="57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 外资带动作用不够。一是旗舰型重大外资项目不多。无锡SK海力士项目累计总投资超200亿美元，南京台积电总投资超过30亿美元，苏州也有一大批旗舰型外资项目，而我市尚没有类似的旗舰型重大外资项目，超5亿、超10亿美元的大项目也不多，与这些地区相比存在较大差距。二是现代服务业外资相对薄弱。虽然国家不断加大服务业领域的开放程度，但就我市来说，现代服务业引资水平还不高，无论是医疗、教育，还是金融、文化，利用外资都不多，不利于我市国际化水平的整体提升。三是区域性总部不多。全市经省商务厅认定的地区总部和功能性机构仅23家，经省商务厅等有关部门联合认定的外资研发中心尚未突破，与南京、苏州、无锡差距明显。</w:t>
      </w:r>
    </w:p>
    <w:p>
      <w:pPr>
        <w:overflowPunct w:val="0"/>
        <w:autoSpaceDE w:val="0"/>
        <w:autoSpaceDN w:val="0"/>
        <w:adjustRightInd w:val="0"/>
        <w:snapToGrid w:val="0"/>
        <w:spacing w:line="57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 外贸竞争基础不牢。一是外贸规模总量仍有差距。虽然近年来我市外贸总量不断跨上新台阶，但是和苏州、无锡相比，我市外贸总量只有苏州的十分之一，无锡的三分之一，和我市经济总量不相匹配。二是外贸增长动力不足。随着我市要素成本持续攀升，传统制造价格优势明显削弱，光伏、纺织、服装等传统重点行业产能转移趋势明显，而新能源汽车、新材料、新医药及生物技术、航空装备、节能环保等新兴产业发展与外贸的融合度还不够。三是外贸新业态发展缓慢。外贸综合服务平台、进口交易中心、跨境电商、海外仓等外贸新业态经过多年的发展，或遭遇瓶颈，或规模仍然十分有限，未能对全市外贸形成重要支撑。</w:t>
      </w:r>
    </w:p>
    <w:p>
      <w:pPr>
        <w:overflowPunct w:val="0"/>
        <w:autoSpaceDE w:val="0"/>
        <w:autoSpaceDN w:val="0"/>
        <w:adjustRightInd w:val="0"/>
        <w:snapToGrid w:val="0"/>
        <w:spacing w:line="57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3. 外经合作水平不高。一是本土知名跨国公司不多。除天合光能、瑞声、恒立等少部分企业国际化发展较为顺利以外，大多数企业跨国经营还处于初级阶段，缺乏全球思维和远期规划，大部分以延续国内业务为主，在海外设立、兼并、收购先进研发机构的企业不多，国际科技合作和成果转化的效率不高。二是重点境外合作园区较少。虽然近年来金昇乌兹别克斯坦纺织工业园、天合光能国际产业园等境外园区建设不断推进，但园区功能仍然单一，平台较为薄弱，未能形成一定的集聚效应，缺乏如无锡柬埔寨西哈努克港经济特区、苏州埃塞俄比亚东方工业园、南通印尼双马农工贸合作区、连云港中哈物流基地等国家级或省级境外园区。三是“走出去”综合服务体系不够健全。我市企业境外投资和经营风险评估体系、风险防范机制和境外风险应急体系还不够完善，企业“走出去”咨询服务能力和水平有待提升。</w:t>
      </w:r>
    </w:p>
    <w:p>
      <w:pPr>
        <w:overflowPunct w:val="0"/>
        <w:autoSpaceDE w:val="0"/>
        <w:autoSpaceDN w:val="0"/>
        <w:adjustRightInd w:val="0"/>
        <w:snapToGrid w:val="0"/>
        <w:spacing w:line="57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4. 开放载体平台不强。一是开发园区综合实力不强。与苏州、无锡和浙江嘉兴等地的开发区相比，我市部分开发区规划起点不高、功能环境不优、体制机制不活、竞争实力不强，全市开发区规模最大的产业年产值不足800亿元，千亿元以上产业尚未形成，大部分产业仍徘徊在百亿元左右，呈现出总量规模小、产业门类杂、集聚程度弱等发展短板。二是高水平开放平台不够。苏州拥有国家级高新区和经开区12家，南通有5家，无锡有4家，而我市仅有2家国家级高新区，国家级经开区尚未突破，各类国家级试点和平台也相对较少，高水平开放平台仍然欠缺。三是开发园区体制机制没有凸显发展优势。开发区转型创新步伐较慢，开发区行政化倾向越来越明显，对开发区的考核也越来越政府化，分散了开发区主要抓经济、抓项目、抓建设的精力。</w:t>
      </w:r>
    </w:p>
    <w:p>
      <w:pPr>
        <w:overflowPunct w:val="0"/>
        <w:autoSpaceDE w:val="0"/>
        <w:autoSpaceDN w:val="0"/>
        <w:adjustRightInd w:val="0"/>
        <w:snapToGrid w:val="0"/>
        <w:spacing w:line="57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5. 国际化功能配套不足。一是高品质的国际化功能不足。我市尚无外籍人士子女学校和真正意义上的国际医院，尚未形成适合国外人士居住的国际化社区，文化的包容度和商业的多元性不够，双语标识、外语地图、文化娱乐等国际化功能也不够到位。二是高标准的国际性活动不多。目前，省内兄弟城市大多都已打造各具特色的品牌展会和国际性峰会论坛，比如南京的软博会、无锡的物联网大会、淮安的食品博览会等等，而我市具有较大国际影响力的特色品牌展会和国际性峰会论坛相对较少。三是高水平的国际化口岸不够。在开国际航班数量仍然有限，综合保税区功能比较单一，常州港和上海港、宁波港等国际性港口的联系有待加强，各开放口岸之间的整合协同不够，整体发展水平不高。</w:t>
      </w:r>
    </w:p>
    <w:p>
      <w:pPr>
        <w:overflowPunct w:val="0"/>
        <w:autoSpaceDE w:val="0"/>
        <w:autoSpaceDN w:val="0"/>
        <w:adjustRightInd w:val="0"/>
        <w:snapToGrid w:val="0"/>
        <w:spacing w:line="570" w:lineRule="exact"/>
        <w:ind w:firstLine="641"/>
        <w:rPr>
          <w:rFonts w:ascii="Times New Roman" w:hAnsi="Times New Roman" w:eastAsia="方正黑体_GBK"/>
          <w:snapToGrid w:val="0"/>
          <w:kern w:val="0"/>
          <w:sz w:val="32"/>
          <w:szCs w:val="32"/>
        </w:rPr>
      </w:pPr>
      <w:r>
        <w:rPr>
          <w:rFonts w:ascii="Times New Roman" w:hAnsi="Times New Roman" w:eastAsia="方正黑体_GBK"/>
          <w:snapToGrid w:val="0"/>
          <w:kern w:val="0"/>
          <w:sz w:val="32"/>
          <w:szCs w:val="32"/>
        </w:rPr>
        <w:t>二、发展环境</w:t>
      </w:r>
    </w:p>
    <w:p>
      <w:pPr>
        <w:overflowPunct w:val="0"/>
        <w:autoSpaceDE w:val="0"/>
        <w:autoSpaceDN w:val="0"/>
        <w:adjustRightInd w:val="0"/>
        <w:snapToGrid w:val="0"/>
        <w:spacing w:line="57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当今世界正经历百年未有之大变局，新冠疫情促使大变局加速变化，世界经济总体低迷，保护主义、单边主义上升，中美战略博弈成为常态，国际环境日趋复杂，经济全球化遭遇逆流，“十四五”期间开放型经济发展面临诸多不确定因素。同时，从国内来看，中央坚定不移全面扩大开放的信心和决心，党的十九届五中全会和习近平总书记视察江苏时都明确指出，要建设更高水平开放型经济新体制，构建高水平对外开放新高地，国家、省一系列有力政策措施的陆续出台和重大国家战略的深入实施，都将为我市开放型经济发展提供有力支撑。“十四五”开放型经济发展环境的总体判断是：机遇挑战并存、总体审慎乐观。</w:t>
      </w:r>
    </w:p>
    <w:p>
      <w:pPr>
        <w:overflowPunct w:val="0"/>
        <w:autoSpaceDE w:val="0"/>
        <w:autoSpaceDN w:val="0"/>
        <w:adjustRightInd w:val="0"/>
        <w:snapToGrid w:val="0"/>
        <w:spacing w:line="570" w:lineRule="exact"/>
        <w:ind w:firstLine="641"/>
        <w:rPr>
          <w:rFonts w:ascii="Times New Roman" w:hAnsi="Times New Roman" w:eastAsia="方正楷体_GBK"/>
          <w:snapToGrid w:val="0"/>
          <w:kern w:val="0"/>
          <w:sz w:val="32"/>
          <w:szCs w:val="32"/>
        </w:rPr>
      </w:pPr>
      <w:r>
        <w:rPr>
          <w:rFonts w:ascii="Times New Roman" w:hAnsi="Times New Roman" w:eastAsia="方正楷体_GBK"/>
          <w:snapToGrid w:val="0"/>
          <w:kern w:val="0"/>
          <w:sz w:val="32"/>
          <w:szCs w:val="32"/>
        </w:rPr>
        <w:t>（一）从挑战看</w:t>
      </w:r>
    </w:p>
    <w:p>
      <w:pPr>
        <w:overflowPunct w:val="0"/>
        <w:autoSpaceDE w:val="0"/>
        <w:autoSpaceDN w:val="0"/>
        <w:adjustRightInd w:val="0"/>
        <w:snapToGrid w:val="0"/>
        <w:spacing w:line="57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中美战略博弈是主线，也是重要变量。中美关系的本质是传统霸权国对新型崛起大国的遏制，美国两党已达成对华强硬共识，在中国崛起的背景下，拜登政府必然会维护美国利益，在避免冷战、脱钩的基础上，通过联合盟友长期制衡和打压中国。同时，全球疫情后期走势仍然存在诸多不确定性，病毒不断产生变异并多地传播，疫苗供给充足程度、有效期限、接种意愿等存在明显的地区差异，疫情走势将直接影响国际经贸形势和预期，全球供应链、产业链、服务链、价值链或面临重要调整，为应对疫情造成的全球货币大放水，可能构成重大金融风险隐患。因此，“十四五”期间，开放型经济发展环境面临诸多挑战。</w:t>
      </w:r>
    </w:p>
    <w:p>
      <w:pPr>
        <w:overflowPunct w:val="0"/>
        <w:autoSpaceDE w:val="0"/>
        <w:autoSpaceDN w:val="0"/>
        <w:adjustRightInd w:val="0"/>
        <w:snapToGrid w:val="0"/>
        <w:spacing w:line="570" w:lineRule="exact"/>
        <w:ind w:firstLine="641"/>
        <w:rPr>
          <w:rFonts w:ascii="Times New Roman" w:hAnsi="Times New Roman" w:eastAsia="方正楷体_GBK"/>
          <w:snapToGrid w:val="0"/>
          <w:kern w:val="0"/>
          <w:sz w:val="32"/>
          <w:szCs w:val="32"/>
        </w:rPr>
      </w:pPr>
      <w:r>
        <w:rPr>
          <w:rFonts w:ascii="Times New Roman" w:hAnsi="Times New Roman" w:eastAsia="方正楷体_GBK"/>
          <w:snapToGrid w:val="0"/>
          <w:kern w:val="0"/>
          <w:sz w:val="32"/>
          <w:szCs w:val="32"/>
        </w:rPr>
        <w:t>（二）从机遇看</w:t>
      </w:r>
    </w:p>
    <w:p>
      <w:pPr>
        <w:overflowPunct w:val="0"/>
        <w:autoSpaceDE w:val="0"/>
        <w:autoSpaceDN w:val="0"/>
        <w:adjustRightInd w:val="0"/>
        <w:snapToGrid w:val="0"/>
        <w:spacing w:line="57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 国际区域合作拓展了我国对外开放的新空间</w:t>
      </w:r>
    </w:p>
    <w:p>
      <w:pPr>
        <w:overflowPunct w:val="0"/>
        <w:autoSpaceDE w:val="0"/>
        <w:autoSpaceDN w:val="0"/>
        <w:adjustRightInd w:val="0"/>
        <w:snapToGrid w:val="0"/>
        <w:spacing w:line="57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RCEP。RCEP（区域全面经济伙伴关系协定）正式签署，区域合作取得了重大突破，各成员国承诺降低关税、开放市场、减少标准壁垒等制度性安排，将为对外贸易、吸引外资、外经合作提供广阔的空间。对我市来说，有利于促进进口多元化，激发进口潜力，优化进口结构，扩大先进技术、关键设备、核心零部件、资源性产品、优质民生产品的进口，同时推动跨境电商加速发展，为服务贸易发展提供新机遇。</w:t>
      </w:r>
    </w:p>
    <w:p>
      <w:pPr>
        <w:overflowPunct w:val="0"/>
        <w:autoSpaceDE w:val="0"/>
        <w:autoSpaceDN w:val="0"/>
        <w:adjustRightInd w:val="0"/>
        <w:snapToGrid w:val="0"/>
        <w:spacing w:line="57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CAI（中欧投资协定）。2020年末，中欧投资协定谈判如期完成，虽然随后欧洲议会对协定的审议遭遇一定波折，但中欧合作是大势所趋。长期以来，虽然欧盟和中国互为极其重要的贸易伙伴，但是双方的直接投资金额却仍然较低，这意味着后期双方在直接投资上有着巨大的增长潜力，中欧双边经贸往来的融合度将进一步提升。</w:t>
      </w:r>
    </w:p>
    <w:p>
      <w:pPr>
        <w:overflowPunct w:val="0"/>
        <w:autoSpaceDE w:val="0"/>
        <w:autoSpaceDN w:val="0"/>
        <w:adjustRightInd w:val="0"/>
        <w:snapToGrid w:val="0"/>
        <w:spacing w:line="57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3）中日韩区域合作。RCEP签署后，我国主动提出了加入CPTPP的意向，由中国参与推动的RCEP和日本主导的CPTPP会部分重叠，其中最核心的就是中日韩自贸协定的推进。近年来，省委、省政府也提出要加大对日本、韩国的对接力度，深入推动中日韩区域合作，努力吸引日本、韩国将汽车、电子信息、装备制造等产业转移至中国。中日韩区域合作将是我市“十四五”开放发展的重要契机。</w:t>
      </w:r>
    </w:p>
    <w:p>
      <w:pPr>
        <w:overflowPunct w:val="0"/>
        <w:autoSpaceDE w:val="0"/>
        <w:autoSpaceDN w:val="0"/>
        <w:adjustRightInd w:val="0"/>
        <w:snapToGrid w:val="0"/>
        <w:spacing w:line="57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4）“一带一路”。近年来，我市开放型经济在对传统国别和地区的拓展中遇到了一些瓶颈，我市机电产品、纺织服装和化工塑料等传统优势产业迫切需要寻求新市场，“一带一路”拥有广阔的市场、丰富的资源和良好的合作基础，为我市产业转型发展带</w:t>
      </w:r>
      <w:r>
        <w:rPr>
          <w:rFonts w:hint="eastAsia" w:ascii="Times New Roman" w:hAnsi="Times New Roman" w:eastAsia="方正仿宋_GBK"/>
          <w:sz w:val="32"/>
          <w:szCs w:val="32"/>
        </w:rPr>
        <w:t>来</w:t>
      </w:r>
      <w:r>
        <w:rPr>
          <w:rFonts w:ascii="Times New Roman" w:hAnsi="Times New Roman" w:eastAsia="方正仿宋_GBK"/>
          <w:sz w:val="32"/>
          <w:szCs w:val="32"/>
        </w:rPr>
        <w:t>了新的机遇。对于企业“走出去”，一方面要抱团取暖，鼓励中小企业抱团走出去，依托国家级、省级境外合作园区，集聚抱团发展；另一方面，要背靠大树，紧跟央企、国企步伐，积极承揽和参与央企国企在“一带一路”投资项目，降低投资风险。</w:t>
      </w:r>
    </w:p>
    <w:p>
      <w:pPr>
        <w:overflowPunct w:val="0"/>
        <w:autoSpaceDE w:val="0"/>
        <w:autoSpaceDN w:val="0"/>
        <w:adjustRightInd w:val="0"/>
        <w:snapToGrid w:val="0"/>
        <w:spacing w:line="57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 新发展格局是主基调，对外开放力度进一步加大。以国内大循环为主体、国内国际双循环相互促进的新发展格局将是“十四五”时期我国经济社会发展的主基调。国内国际双循环相互促进，重中之重是要推进更高水平对外开放，更好利用国内国际两个市场、两种资源，努力实现“四个转变”：从扩大对外开放向主动引领开放转变；从以传统要素为主的循环向依靠新要素赋能的循环转变；从更多注重利用外需市场向更多强化内需市场转变；从参与嵌入全球产业链价值链向“以我为主”配置全球高端要素转变，努力构筑高水平对外开放新高地。</w:t>
      </w:r>
    </w:p>
    <w:p>
      <w:pPr>
        <w:overflowPunct w:val="0"/>
        <w:autoSpaceDE w:val="0"/>
        <w:autoSpaceDN w:val="0"/>
        <w:adjustRightInd w:val="0"/>
        <w:snapToGrid w:val="0"/>
        <w:spacing w:line="57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3. 区域一体化战略是重要发展机遇。近年来，中央以区域一体化为基本导向，谋划了长三角区域一体化、长江经济带、上海大都市圈等一系列国家重点战略，这些都是我国“十四五”期间区域经济发展的重中之重。特别是中央明确提出要推进长三角一体化发展，打造创新平台和新增长极，这将推动长三角成为全球最具竞争力的城市群之一，长三角一体化发展将进入全面提升的新阶段。“十四五”时期，我市要按照“国际化智造名城、长三角中轴枢纽”目标定位，抢抓机遇、优化路径、积极融入，在推动长三角一体化中实现高质量发展。</w:t>
      </w:r>
    </w:p>
    <w:p>
      <w:pPr>
        <w:overflowPunct w:val="0"/>
        <w:autoSpaceDE w:val="0"/>
        <w:autoSpaceDN w:val="0"/>
        <w:adjustRightInd w:val="0"/>
        <w:snapToGrid w:val="0"/>
        <w:spacing w:line="57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总体来看，“十四五”时期国内外形势和环境较为复杂，我市开放型经济发展压力和动力同在，机遇和挑战并存。要增强忧患意识，把握长期趋势，抓住主要矛盾，始终把常州开放型经济放到国际国内经济大格局中去思考和谋划，积极融入新发展格局，争取在新一轮开放发展中抢得先机，努力在对外开放格局、高质量发展全局中“争当表率、争做示范、走在前列”。</w:t>
      </w:r>
    </w:p>
    <w:p>
      <w:pPr>
        <w:overflowPunct w:val="0"/>
        <w:autoSpaceDE w:val="0"/>
        <w:autoSpaceDN w:val="0"/>
        <w:adjustRightInd w:val="0"/>
        <w:snapToGrid w:val="0"/>
        <w:spacing w:line="570" w:lineRule="exact"/>
        <w:ind w:firstLine="641"/>
        <w:rPr>
          <w:rFonts w:ascii="Times New Roman" w:hAnsi="Times New Roman" w:eastAsia="方正黑体_GBK"/>
          <w:snapToGrid w:val="0"/>
          <w:kern w:val="0"/>
          <w:sz w:val="32"/>
          <w:szCs w:val="32"/>
        </w:rPr>
      </w:pPr>
      <w:r>
        <w:rPr>
          <w:rFonts w:ascii="Times New Roman" w:hAnsi="Times New Roman" w:eastAsia="方正黑体_GBK"/>
          <w:snapToGrid w:val="0"/>
          <w:kern w:val="0"/>
          <w:sz w:val="32"/>
          <w:szCs w:val="32"/>
        </w:rPr>
        <w:t>三、总体思路</w:t>
      </w:r>
    </w:p>
    <w:p>
      <w:pPr>
        <w:overflowPunct w:val="0"/>
        <w:autoSpaceDE w:val="0"/>
        <w:autoSpaceDN w:val="0"/>
        <w:adjustRightInd w:val="0"/>
        <w:snapToGrid w:val="0"/>
        <w:spacing w:line="570" w:lineRule="exact"/>
        <w:ind w:firstLine="641"/>
        <w:rPr>
          <w:rFonts w:ascii="Times New Roman" w:hAnsi="Times New Roman" w:eastAsia="方正楷体_GBK"/>
          <w:snapToGrid w:val="0"/>
          <w:kern w:val="0"/>
          <w:sz w:val="32"/>
          <w:szCs w:val="32"/>
        </w:rPr>
      </w:pPr>
      <w:r>
        <w:rPr>
          <w:rFonts w:ascii="Times New Roman" w:hAnsi="Times New Roman" w:eastAsia="方正楷体_GBK"/>
          <w:snapToGrid w:val="0"/>
          <w:kern w:val="0"/>
          <w:sz w:val="32"/>
          <w:szCs w:val="32"/>
        </w:rPr>
        <w:t>（一）指导思想</w:t>
      </w:r>
    </w:p>
    <w:p>
      <w:pPr>
        <w:overflowPunct w:val="0"/>
        <w:autoSpaceDE w:val="0"/>
        <w:autoSpaceDN w:val="0"/>
        <w:adjustRightInd w:val="0"/>
        <w:snapToGrid w:val="0"/>
        <w:spacing w:line="57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以习近平新时代中国特色社会主义思想为指导，全面贯彻党的十九大和十九届二中、三中、四中、五中全会精神及习近平总书记视察江苏重要指示，深入践行新发展理念，主动融入新发展格局，坚定实施全方位开放战略，深度融入“一带一路”、长江经济带、长三角区域一体化、上海大都市圈等重大发展战略，抢抓江苏获批自由贸易试验区契机，按照我市打造“国际化智造名城、长三角中轴枢纽”的战略定位，对标德国、接轨上海、走向世界，持续优化开放布局、拓展开放空间、丰富开放内涵、提升开放能级，加快形成高水平全面开放新格局，努力打造新时代对外开放新高地。</w:t>
      </w:r>
    </w:p>
    <w:p>
      <w:pPr>
        <w:overflowPunct w:val="0"/>
        <w:autoSpaceDE w:val="0"/>
        <w:autoSpaceDN w:val="0"/>
        <w:adjustRightInd w:val="0"/>
        <w:snapToGrid w:val="0"/>
        <w:spacing w:line="570" w:lineRule="exact"/>
        <w:ind w:firstLine="641"/>
        <w:rPr>
          <w:rFonts w:ascii="Times New Roman" w:hAnsi="Times New Roman" w:eastAsia="方正楷体_GBK"/>
          <w:snapToGrid w:val="0"/>
          <w:kern w:val="0"/>
          <w:sz w:val="32"/>
          <w:szCs w:val="32"/>
        </w:rPr>
      </w:pPr>
      <w:r>
        <w:rPr>
          <w:rFonts w:ascii="Times New Roman" w:hAnsi="Times New Roman" w:eastAsia="方正楷体_GBK"/>
          <w:snapToGrid w:val="0"/>
          <w:kern w:val="0"/>
          <w:sz w:val="32"/>
          <w:szCs w:val="32"/>
        </w:rPr>
        <w:t>（二）基本原则</w:t>
      </w:r>
    </w:p>
    <w:p>
      <w:pPr>
        <w:overflowPunct w:val="0"/>
        <w:autoSpaceDE w:val="0"/>
        <w:autoSpaceDN w:val="0"/>
        <w:adjustRightInd w:val="0"/>
        <w:snapToGrid w:val="0"/>
        <w:spacing w:line="57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 聚焦新格局，促进内外联动。依托我市在国内大循环中的优势，更高层次融入国际大循环，成为链接国际国内双循环的重要支点。联接好内需和外需，通过放大内需内涵、拓展外需外延、推动“外转内”等途径，实现内需、外需高水平动态平衡和深度融合。把握好引进来和走出去，促进双向投资、双边贸易和双方合作，做到内外联动、相互促进。</w:t>
      </w:r>
    </w:p>
    <w:p>
      <w:pPr>
        <w:overflowPunct w:val="0"/>
        <w:autoSpaceDE w:val="0"/>
        <w:autoSpaceDN w:val="0"/>
        <w:adjustRightInd w:val="0"/>
        <w:snapToGrid w:val="0"/>
        <w:spacing w:line="57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 聚焦新蓝图，集聚国际资源。把服务“国际化智造名城、长三角中轴枢纽”建设，作为开放型经济发展的重要任务，深度融入“一带一路”交汇点建设、长三角区域一体化发展、上海大都市圈等国家重大战略，更大力度集聚国际智造产业、国际创新资源、国际物流项目，推动开放战略与区域发展战略相互促进、互为补充，形成层次分明、优势互补的全方位开放新格局。</w:t>
      </w:r>
    </w:p>
    <w:p>
      <w:pPr>
        <w:overflowPunct w:val="0"/>
        <w:autoSpaceDE w:val="0"/>
        <w:autoSpaceDN w:val="0"/>
        <w:adjustRightInd w:val="0"/>
        <w:snapToGrid w:val="0"/>
        <w:spacing w:line="57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3. 聚焦高质量，塑造开放品牌。坚持开放型经济高质量发展主题，通过高水平开放和大力度创新，推动开发园区、利用外资、对外贸易、外经合作等全方位高质量发展，塑造开放品牌，打造开放高地，着力提升开放型经济发展质效。立足常州产业特色，坚持差异化、特色化发展思路，把自主创新与开放创新融合起来，把产业特色优势转化为国际知名品牌优势，实现品牌形象和城市形象的有机结合。</w:t>
      </w:r>
    </w:p>
    <w:p>
      <w:pPr>
        <w:overflowPunct w:val="0"/>
        <w:autoSpaceDE w:val="0"/>
        <w:autoSpaceDN w:val="0"/>
        <w:adjustRightInd w:val="0"/>
        <w:snapToGrid w:val="0"/>
        <w:spacing w:line="57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4. 聚焦新动能，深化制度改革。利用江苏自贸区获批机会，积极开展各类改革试点，主动复制推广试点经验，积极推动江苏自贸区联动创新发展区建设，集聚集约配置资源，着力破除与扩大开放不相适应、不相匹配的制度规则，构建更高水平的开放型经济制度体系，增强开放发展新动能。</w:t>
      </w:r>
    </w:p>
    <w:p>
      <w:pPr>
        <w:overflowPunct w:val="0"/>
        <w:autoSpaceDE w:val="0"/>
        <w:autoSpaceDN w:val="0"/>
        <w:adjustRightInd w:val="0"/>
        <w:snapToGrid w:val="0"/>
        <w:spacing w:line="57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5. 聚焦国际化，优化营商环境。着力补齐“国际化”短板，以经济国际化引领文化、科技、教育等领域的国际化，带动城市基础建设、人居环境等方面的国际化，有规划、有步骤、统筹推进提升国际化发展水平，营造公开透明可预期的国际化营商环境，增强城市国际影响力。</w:t>
      </w:r>
    </w:p>
    <w:p>
      <w:pPr>
        <w:overflowPunct w:val="0"/>
        <w:autoSpaceDE w:val="0"/>
        <w:autoSpaceDN w:val="0"/>
        <w:adjustRightInd w:val="0"/>
        <w:snapToGrid w:val="0"/>
        <w:spacing w:line="570" w:lineRule="exact"/>
        <w:ind w:firstLine="641"/>
        <w:rPr>
          <w:rFonts w:ascii="Times New Roman" w:hAnsi="Times New Roman" w:eastAsia="方正楷体_GBK"/>
          <w:snapToGrid w:val="0"/>
          <w:kern w:val="0"/>
          <w:sz w:val="32"/>
          <w:szCs w:val="32"/>
        </w:rPr>
      </w:pPr>
      <w:r>
        <w:rPr>
          <w:rFonts w:ascii="Times New Roman" w:hAnsi="Times New Roman" w:eastAsia="方正楷体_GBK"/>
          <w:snapToGrid w:val="0"/>
          <w:kern w:val="0"/>
          <w:sz w:val="32"/>
          <w:szCs w:val="32"/>
        </w:rPr>
        <w:t>（三）发展目标</w:t>
      </w:r>
    </w:p>
    <w:p>
      <w:pPr>
        <w:overflowPunct w:val="0"/>
        <w:autoSpaceDE w:val="0"/>
        <w:autoSpaceDN w:val="0"/>
        <w:adjustRightInd w:val="0"/>
        <w:snapToGrid w:val="0"/>
        <w:spacing w:line="57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 利用外资。保持利用外资稳定发展，“十四五”期间累计实际到账外资150亿美元以上，力争在全省份额进一步提升，位次进一步前移。持续提升利用外资质效，制造业实际利用外资占比保持50%以上，先进制造业产业集群项目和战略性新兴产业项目利用外资比重有所增加；每年引进总投资超3亿美元以上重大外资项目不少于5个，超5亿、超10亿美元外资重大项目取得新突破；新增一批世界500强、地区总部及功能性机构。</w:t>
      </w:r>
    </w:p>
    <w:p>
      <w:pPr>
        <w:overflowPunct w:val="0"/>
        <w:autoSpaceDE w:val="0"/>
        <w:autoSpaceDN w:val="0"/>
        <w:adjustRightInd w:val="0"/>
        <w:snapToGrid w:val="0"/>
        <w:spacing w:line="57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 对外贸易。全市对外贸易总量保持平稳，“十四五”期间累计进出口总额1800亿美元，占全省份额进一步提升。围绕“253”先进制造业产业集群建设，打造一批优势产业出口集群和出口品牌，形成若干年出口规模超10亿美元、5亿美元、3亿美元出口基地和出口企业。推动贸易结构优化，一般贸易比重稳步提高，高技术产品出口大幅提升，知识密集型服务进出口比重有所提升。创新贸易方式，跨境电商综合试验区试点和轨道交通进境维修业务取得实效，培育若干进口交易中心、外贸综合服务企业和海外仓。服务贸易规模实现较快增长，积极创建国家服务外包示范城市和国家文化出口基地，服务外包执行额年均增长10%以上，新增一批服务贸易示范企业、集聚区。</w:t>
      </w:r>
    </w:p>
    <w:p>
      <w:pPr>
        <w:overflowPunct w:val="0"/>
        <w:autoSpaceDE w:val="0"/>
        <w:autoSpaceDN w:val="0"/>
        <w:adjustRightInd w:val="0"/>
        <w:snapToGrid w:val="0"/>
        <w:spacing w:line="57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3. 外经合作。境外投资保持平稳健康发展，培育一批具有全球视野和全球资源整合能力的本土跨国公司，跨国经营能力进一步增强，境外资源合作开发深入实施，对外承包工程和劳务合作层次明显提升，与欧美发达国家的项目和产业合作不断深化，至2025年累计拥有本土跨国经营企业200家以上，实现跨国并购50例，发展境外合作园区3家。</w:t>
      </w:r>
    </w:p>
    <w:p>
      <w:pPr>
        <w:overflowPunct w:val="0"/>
        <w:autoSpaceDE w:val="0"/>
        <w:autoSpaceDN w:val="0"/>
        <w:adjustRightInd w:val="0"/>
        <w:snapToGrid w:val="0"/>
        <w:spacing w:line="57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4. 园区建设。新增1—2家国家级开发区，新增2—3家省级开发区，开发区在全省排位总体稳中有升。各级各类开发区产业集聚度和集约发展水平进一步提升，力争全市开发区实际到账外资、规上工业主营业务收入、公共财政预算收入占全市比重分别超过90%、75%和60%，开发区新增协议外资3000万美元以上的制造业项目占全市的90%以上。提升开发区集约发展水平，园区单位建设用地税收收入有所增长。中以、中德、中欧、中瑞等中外合作园区合作机制有所突破，其中中以（常州）创新园要着力提升江苏省中以产业技术研究院、以色列江苏创新中心、固立高端装备创新中心等平台能级，打造“中国以色列创新合作领航者”，中德（常州）创新产业园要引进以德语区为主的欧洲企业100家，打造最具竞争力的中德合作平台。</w:t>
      </w:r>
    </w:p>
    <w:p>
      <w:pPr>
        <w:overflowPunct w:val="0"/>
        <w:autoSpaceDE w:val="0"/>
        <w:autoSpaceDN w:val="0"/>
        <w:adjustRightInd w:val="0"/>
        <w:snapToGrid w:val="0"/>
        <w:spacing w:line="57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5. 口岸功能。到2025年初步建成水陆空联动发展、客货运快速增长、高效运作的现代化立体口岸体系。口岸吞吐量保持较快增长，空港国际航线数量有所增加，海铁联运规模进一步扩大，推动金坛港开通海运直航功能及综保区分区设置，综保区发展形成一定规模和特色。口岸综合服务效率、口岸营商环境、智能创新应用水平等居全省前列。</w:t>
      </w:r>
    </w:p>
    <w:p>
      <w:pPr>
        <w:overflowPunct w:val="0"/>
        <w:autoSpaceDE w:val="0"/>
        <w:autoSpaceDN w:val="0"/>
        <w:adjustRightInd w:val="0"/>
        <w:snapToGrid w:val="0"/>
        <w:spacing w:line="570" w:lineRule="exact"/>
        <w:ind w:firstLine="641"/>
        <w:rPr>
          <w:rFonts w:ascii="Times New Roman" w:hAnsi="Times New Roman" w:eastAsia="方正楷体_GBK"/>
          <w:snapToGrid w:val="0"/>
          <w:kern w:val="0"/>
          <w:sz w:val="32"/>
          <w:szCs w:val="32"/>
        </w:rPr>
      </w:pPr>
      <w:r>
        <w:rPr>
          <w:rFonts w:ascii="Times New Roman" w:hAnsi="Times New Roman" w:eastAsia="方正楷体_GBK"/>
          <w:snapToGrid w:val="0"/>
          <w:kern w:val="0"/>
          <w:sz w:val="32"/>
          <w:szCs w:val="32"/>
        </w:rPr>
        <w:t>（四）重点方向</w:t>
      </w:r>
    </w:p>
    <w:p>
      <w:pPr>
        <w:overflowPunct w:val="0"/>
        <w:autoSpaceDE w:val="0"/>
        <w:autoSpaceDN w:val="0"/>
        <w:adjustRightInd w:val="0"/>
        <w:snapToGrid w:val="0"/>
        <w:spacing w:line="57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 立足经济国际化，加快融入国内国际双循环新发展格局。在国内国际双循环相互促进的新发展格局中找准定位，主动向全球开放市场。统筹利用国内国际两个市场、两种资源，推动国内市场和国际市场更好联通、相互促进，以国内国外双向互促的贸易投资，实现经济更加强劲可持续的发展。更高水平引进外资、留住外资，使蒂森克虏伯、西门子、格力博等重点外资企业扎根常州、深耕发展，千方百计稳住产业链供应链。同时，鼓励优势产业和骨干企业稳步走出去，到境外投资设厂、开展技术研发、跨国并购、实施资本和品牌运作，推动常州企业按经济规律和市场原则在全球优化要素资源配置，提升核心竞争力和跨国经营能力，努力培育一批具有全球视野和全球资源整合能力的本土跨国公司，打造国内国际双循环的重要支点和纽带。</w:t>
      </w:r>
    </w:p>
    <w:p>
      <w:pPr>
        <w:overflowPunct w:val="0"/>
        <w:autoSpaceDE w:val="0"/>
        <w:autoSpaceDN w:val="0"/>
        <w:adjustRightInd w:val="0"/>
        <w:snapToGrid w:val="0"/>
        <w:spacing w:line="57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 立足区域一体化，强化“融入跟随、特色发展”的策略。强化“深度融入、紧紧跟随、准确定位、特色发展”的策略，推动长江经济带发展和共建“一带一路”的融合，加快</w:t>
      </w:r>
      <w:r>
        <w:rPr>
          <w:rFonts w:hint="eastAsia" w:ascii="Times New Roman" w:hAnsi="Times New Roman" w:eastAsia="方正仿宋_GBK"/>
          <w:sz w:val="32"/>
          <w:szCs w:val="32"/>
          <w:lang w:eastAsia="zh-CN"/>
        </w:rPr>
        <w:t>“一带一路”倡议</w:t>
      </w:r>
      <w:r>
        <w:rPr>
          <w:rFonts w:ascii="Times New Roman" w:hAnsi="Times New Roman" w:eastAsia="方正仿宋_GBK"/>
          <w:sz w:val="32"/>
          <w:szCs w:val="32"/>
        </w:rPr>
        <w:t>支点建设。主动融入长三角区域一体化发展，加快融入上海都市圈，与南京都市圈互动合作，加快建设长三角中轴枢纽，更加紧密地协同苏锡常、锡常泰城市群发展，不断提升常州在长三角发展中重要节点的地位和影响力，提升常州在沿江城市群落发展的重要地位。把准产业定位、发挥比较优势，在进一步强化我市特色优势产业招商的基础上，紧盯上海产业梯度转移，积极拼抢优质产业资源，与长三角区域的兄弟城市开展差别化竞争，努力提升我市产业核心竞争力和辐射力。</w:t>
      </w:r>
    </w:p>
    <w:p>
      <w:pPr>
        <w:overflowPunct w:val="0"/>
        <w:autoSpaceDE w:val="0"/>
        <w:autoSpaceDN w:val="0"/>
        <w:adjustRightInd w:val="0"/>
        <w:snapToGrid w:val="0"/>
        <w:spacing w:line="57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3. 立足制造业基础好的优势，突出项目招引和产业提升。主动顺应跨国投资和项目招引新趋势，充分利用我市汽车零部件、高端装备、轨道交通、新能源新材料等制造业基础好，产业配套强的优势，聚焦“253”先进制造业产业集群建设，加快产业基础高级化、产业链现代化，持之以恒深入推进产业链招商；依托我市本土龙头企业，进一步扩大相关产业规模，集聚更多产业链优质资源，延链、强链，打造真正的国际化智造名城；高点布局人工智能、集成电路、5G通讯、工业互联网等战略性新兴产业和三新经济产业，以有效的产业需求和应用场景，吸引项目、投资、人才，努力实现产业的创新、转型、提升，争取在新一轮的国际产业竞争中占得先机。</w:t>
      </w:r>
    </w:p>
    <w:p>
      <w:pPr>
        <w:overflowPunct w:val="0"/>
        <w:autoSpaceDE w:val="0"/>
        <w:autoSpaceDN w:val="0"/>
        <w:adjustRightInd w:val="0"/>
        <w:snapToGrid w:val="0"/>
        <w:spacing w:line="57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4. 立足企业主体地位，提高企业全球资源配置能力。强化企业创新主体地位，打造有国际竞争力的先进制造业集群，打造自主可控、安全高效并为全国服务的产业链供应链，帮助和支持天合光能、金昇、恒立液压、华利达、蜂巢能源、中航锂电等有条件的本土企业国际化发展，立足常州总部，通过产品走出去、产能走出去、资本走出去等方式，推动常州企业在全球优化资源配置，提升企业核心竞争力和跨国经营能力。深入推进内外资企业配套协作工程，引导我市“隐形冠军”、“单项冠军”发挥优势，与跨国公司开展“高位嫁接”，使更多优质本土企业进入跨国集团生产采购体系、分享全球化红利，推动本土企业在合作中提高制造能力和技术水平，逐步增强在全球产业链中的竞争力。</w:t>
      </w:r>
    </w:p>
    <w:p>
      <w:pPr>
        <w:overflowPunct w:val="0"/>
        <w:autoSpaceDE w:val="0"/>
        <w:autoSpaceDN w:val="0"/>
        <w:adjustRightInd w:val="0"/>
        <w:snapToGrid w:val="0"/>
        <w:spacing w:line="57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5. 立足国际合作园区优势，深化国际科技创新合作。“十四五”期间，充分利用中以、中德、中欧、中瑞等国际合作园区平台，进一步瞄准美国、以色列、德国、日本、瑞士、荷兰等国家的创新资源，加强科研合作，坚持开放创新有效互动，切实提升自身创新能力。推动中以常州创新园建成“中以创新合作融合发展先导区、国际化开放创新生态建设示范区、创新驱动新经济产业发展先行区和国际一流营商环境样板区”；推动中德常州创新园建成长三角国际产业合作示范基地、江苏中德产业创新核心平台、苏南先进制造业产业集聚高地；推动中瑞（常州）国际产业创新园建成中瑞产业合作的典范；推动中欧（常州）绿色创新园区建设成为中欧绿色合作伙伴关系常州样板和国际一流低碳技术合作先行区。</w:t>
      </w:r>
    </w:p>
    <w:p>
      <w:pPr>
        <w:overflowPunct w:val="0"/>
        <w:autoSpaceDE w:val="0"/>
        <w:autoSpaceDN w:val="0"/>
        <w:adjustRightInd w:val="0"/>
        <w:snapToGrid w:val="0"/>
        <w:spacing w:line="57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6. 立足营商环境优化，提升城市国际化环境和功能。对标世界先进城市，提高投资环境、创业环境、生活环境的法制化国际化便利化水平，形成联通全球的功能设施、接轨国际标准的管理服务。更加注重提升城市能级，增加国际化城市功能布局，在教育、医疗、社区、康养等方面提高国际化程度，着力打造“高品质、有特色、多元包容”的宜居宜业环境。</w:t>
      </w:r>
    </w:p>
    <w:p>
      <w:pPr>
        <w:overflowPunct w:val="0"/>
        <w:autoSpaceDE w:val="0"/>
        <w:autoSpaceDN w:val="0"/>
        <w:adjustRightInd w:val="0"/>
        <w:snapToGrid w:val="0"/>
        <w:spacing w:line="570" w:lineRule="exact"/>
        <w:ind w:firstLine="641"/>
        <w:rPr>
          <w:rFonts w:ascii="Times New Roman" w:hAnsi="Times New Roman" w:eastAsia="方正黑体_GBK"/>
          <w:snapToGrid w:val="0"/>
          <w:kern w:val="0"/>
          <w:sz w:val="32"/>
          <w:szCs w:val="32"/>
        </w:rPr>
      </w:pPr>
      <w:r>
        <w:rPr>
          <w:rFonts w:ascii="Times New Roman" w:hAnsi="Times New Roman" w:eastAsia="方正黑体_GBK"/>
          <w:snapToGrid w:val="0"/>
          <w:kern w:val="0"/>
          <w:sz w:val="32"/>
          <w:szCs w:val="32"/>
        </w:rPr>
        <w:t>四、转型升级，打造更高水平开发园区</w:t>
      </w:r>
    </w:p>
    <w:p>
      <w:pPr>
        <w:overflowPunct w:val="0"/>
        <w:autoSpaceDE w:val="0"/>
        <w:autoSpaceDN w:val="0"/>
        <w:adjustRightInd w:val="0"/>
        <w:snapToGrid w:val="0"/>
        <w:spacing w:line="57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推动开发区向现代产业园区转型，进一步明确发展方向和产业定位，集中力量、集聚资源、集成政策，走适合自身的特色发展之路，建设一批承载大项目、大产业、大集群的专业化园区。</w:t>
      </w:r>
    </w:p>
    <w:p>
      <w:pPr>
        <w:overflowPunct w:val="0"/>
        <w:autoSpaceDE w:val="0"/>
        <w:autoSpaceDN w:val="0"/>
        <w:adjustRightInd w:val="0"/>
        <w:snapToGrid w:val="0"/>
        <w:spacing w:line="570" w:lineRule="exact"/>
        <w:ind w:firstLine="640" w:firstLineChars="200"/>
        <w:rPr>
          <w:rFonts w:ascii="Times New Roman" w:hAnsi="Times New Roman" w:eastAsia="方正仿宋_GBK"/>
          <w:sz w:val="32"/>
          <w:szCs w:val="32"/>
        </w:rPr>
      </w:pPr>
      <w:r>
        <w:rPr>
          <w:rFonts w:ascii="Times New Roman" w:hAnsi="Times New Roman" w:eastAsia="方正楷体_GBK"/>
          <w:snapToGrid w:val="0"/>
          <w:kern w:val="0"/>
          <w:sz w:val="32"/>
          <w:szCs w:val="32"/>
        </w:rPr>
        <w:t>（一）完善开发区布局。</w:t>
      </w:r>
      <w:r>
        <w:rPr>
          <w:rFonts w:ascii="Times New Roman" w:hAnsi="Times New Roman" w:eastAsia="方正仿宋_GBK"/>
          <w:sz w:val="32"/>
          <w:szCs w:val="32"/>
        </w:rPr>
        <w:t>推动各辖市区进一步整合优化园区资源布局，各板块形成“一个省级以上经开区、一个省级以上高新区（含筹）”格局，充分发挥“双区”带动效应，其中天宁高新区、钟楼高新区2021年底前实现市级挂牌，“十四五”期间建成省级高新区。同时，推动各辖市区以构建“1+1”开发区格局为契机，高标准做好各开发区规划调整，按照产城融合模式，建设现代化产业新城，确保全市开发区实际到账外资、规上工业主营业务收入、公共财政预算收入占全市比重进一步提升。</w:t>
      </w:r>
    </w:p>
    <w:p>
      <w:pPr>
        <w:overflowPunct w:val="0"/>
        <w:autoSpaceDE w:val="0"/>
        <w:autoSpaceDN w:val="0"/>
        <w:adjustRightInd w:val="0"/>
        <w:snapToGrid w:val="0"/>
        <w:spacing w:line="570" w:lineRule="exact"/>
        <w:ind w:firstLine="640" w:firstLineChars="200"/>
        <w:rPr>
          <w:rFonts w:ascii="Times New Roman" w:hAnsi="Times New Roman" w:eastAsia="方正仿宋_GBK"/>
          <w:sz w:val="32"/>
          <w:szCs w:val="32"/>
        </w:rPr>
      </w:pPr>
      <w:r>
        <w:rPr>
          <w:rFonts w:ascii="Times New Roman" w:hAnsi="Times New Roman" w:eastAsia="方正楷体_GBK"/>
          <w:snapToGrid w:val="0"/>
          <w:kern w:val="0"/>
          <w:sz w:val="32"/>
          <w:szCs w:val="32"/>
        </w:rPr>
        <w:t>（二）推动开发区升级。</w:t>
      </w:r>
      <w:r>
        <w:rPr>
          <w:rFonts w:ascii="Times New Roman" w:hAnsi="Times New Roman" w:eastAsia="方正仿宋_GBK"/>
          <w:sz w:val="32"/>
          <w:szCs w:val="32"/>
        </w:rPr>
        <w:t>推动江苏中关村高新区升级为国家级高新区，推进常州经开区、金坛经开区等升格国家级经开区，全市力争新增国家级开发区1—2家，尽快实现一个辖市区拥有一个国家级开发区的目标。同时，进一步完善《开发区争先创优专项考核办法》，推动我市开发区在国家和省考核评价中争先进位，不断提升在全国、全省开发区中的位次，常州高新区、武进高新区分别进入全国20强、30强，不少于3个省级开发区进入全省前10位，其余省级开发区进入全省排名前20位。</w:t>
      </w:r>
    </w:p>
    <w:p>
      <w:pPr>
        <w:overflowPunct w:val="0"/>
        <w:autoSpaceDE w:val="0"/>
        <w:autoSpaceDN w:val="0"/>
        <w:adjustRightInd w:val="0"/>
        <w:snapToGrid w:val="0"/>
        <w:spacing w:line="570" w:lineRule="exact"/>
        <w:ind w:firstLine="640" w:firstLineChars="200"/>
        <w:rPr>
          <w:rFonts w:ascii="Times New Roman" w:hAnsi="Times New Roman" w:eastAsia="方正仿宋_GBK"/>
          <w:sz w:val="32"/>
          <w:szCs w:val="32"/>
        </w:rPr>
      </w:pPr>
      <w:r>
        <w:rPr>
          <w:rFonts w:ascii="Times New Roman" w:hAnsi="Times New Roman" w:eastAsia="方正楷体_GBK"/>
          <w:snapToGrid w:val="0"/>
          <w:kern w:val="0"/>
          <w:sz w:val="32"/>
          <w:szCs w:val="32"/>
        </w:rPr>
        <w:t>（三）加快特色产业集聚。</w:t>
      </w:r>
      <w:r>
        <w:rPr>
          <w:rFonts w:ascii="Times New Roman" w:hAnsi="Times New Roman" w:eastAsia="方正仿宋_GBK"/>
          <w:sz w:val="32"/>
          <w:szCs w:val="32"/>
        </w:rPr>
        <w:t>按照《关于推进全市开发区高质量发展的实施意见》，推动先进制造业向省级以上开发区集聚，引导各开发区根据自身发展特色与资源禀赋，集中力量发展2—3个主导产业，形成全市开发区错位发展、各展所长的产业格局。常州高新区、常州经开区各形成1个产值1000亿以上产业；武进高新区、金坛经开区、中关村高新区、滨江经开区各形成1个产值500亿以上产业；其余省级以上开发区至少形成1个产值200亿以上的产业，市级以上财政类扶持政策优先支持各开发区主导产业发展。提高产业空间资源利用效率，探索设置新型产业用地，积极发展高标准厂房、立体工厂和楼宇经济，每个板块建成10万平米以上高标准、现代化写字楼。</w:t>
      </w:r>
    </w:p>
    <w:tbl>
      <w:tblPr>
        <w:tblStyle w:val="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06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9067" w:type="dxa"/>
            <w:noWrap w:val="0"/>
            <w:vAlign w:val="top"/>
          </w:tcPr>
          <w:p>
            <w:pPr>
              <w:spacing w:line="540" w:lineRule="exact"/>
              <w:jc w:val="center"/>
              <w:rPr>
                <w:rFonts w:ascii="Times New Roman" w:hAnsi="Times New Roman" w:eastAsia="方正黑体_GBK"/>
                <w:sz w:val="28"/>
                <w:szCs w:val="28"/>
              </w:rPr>
            </w:pPr>
            <w:r>
              <w:rPr>
                <w:rFonts w:ascii="Times New Roman" w:hAnsi="Times New Roman" w:eastAsia="方正黑体_GBK"/>
                <w:sz w:val="28"/>
                <w:szCs w:val="28"/>
              </w:rPr>
              <w:t>专栏：各开发区优先发展和重点培育产业方向</w:t>
            </w:r>
          </w:p>
          <w:p>
            <w:pPr>
              <w:overflowPunct w:val="0"/>
              <w:autoSpaceDE w:val="0"/>
              <w:autoSpaceDN w:val="0"/>
              <w:adjustRightInd w:val="0"/>
              <w:snapToGrid w:val="0"/>
              <w:spacing w:line="540" w:lineRule="exact"/>
              <w:ind w:firstLine="560" w:firstLineChars="200"/>
              <w:rPr>
                <w:rFonts w:ascii="Times New Roman" w:hAnsi="Times New Roman" w:eastAsia="方正仿宋_GBK"/>
                <w:bCs/>
                <w:sz w:val="28"/>
                <w:szCs w:val="28"/>
              </w:rPr>
            </w:pPr>
            <w:r>
              <w:rPr>
                <w:rFonts w:ascii="Times New Roman" w:hAnsi="Times New Roman" w:eastAsia="方正楷体_GBK"/>
                <w:bCs/>
                <w:sz w:val="28"/>
                <w:szCs w:val="28"/>
              </w:rPr>
              <w:t>常州高新区：</w:t>
            </w:r>
            <w:r>
              <w:rPr>
                <w:rFonts w:ascii="Times New Roman" w:hAnsi="Times New Roman" w:eastAsia="方正仿宋_GBK"/>
                <w:bCs/>
                <w:sz w:val="28"/>
                <w:szCs w:val="28"/>
              </w:rPr>
              <w:t>汽车及零部件（含新能源车）、生物医药及新型医疗器械、新一代信息技术、新能源；</w:t>
            </w:r>
          </w:p>
          <w:p>
            <w:pPr>
              <w:overflowPunct w:val="0"/>
              <w:autoSpaceDE w:val="0"/>
              <w:autoSpaceDN w:val="0"/>
              <w:adjustRightInd w:val="0"/>
              <w:snapToGrid w:val="0"/>
              <w:spacing w:line="540" w:lineRule="exact"/>
              <w:ind w:firstLine="560" w:firstLineChars="200"/>
              <w:rPr>
                <w:rFonts w:ascii="Times New Roman" w:hAnsi="Times New Roman" w:eastAsia="方正仿宋_GBK"/>
                <w:bCs/>
                <w:sz w:val="28"/>
                <w:szCs w:val="28"/>
              </w:rPr>
            </w:pPr>
            <w:r>
              <w:rPr>
                <w:rFonts w:ascii="Times New Roman" w:hAnsi="Times New Roman" w:eastAsia="方正楷体_GBK"/>
                <w:bCs/>
                <w:sz w:val="28"/>
                <w:szCs w:val="28"/>
              </w:rPr>
              <w:t>武进高新区：</w:t>
            </w:r>
            <w:r>
              <w:rPr>
                <w:rFonts w:ascii="Times New Roman" w:hAnsi="Times New Roman" w:eastAsia="方正仿宋_GBK"/>
                <w:bCs/>
                <w:sz w:val="28"/>
                <w:szCs w:val="28"/>
              </w:rPr>
              <w:t>高端装备、新一代信息技术、新型交通、节能环保；</w:t>
            </w:r>
          </w:p>
          <w:p>
            <w:pPr>
              <w:overflowPunct w:val="0"/>
              <w:autoSpaceDE w:val="0"/>
              <w:autoSpaceDN w:val="0"/>
              <w:adjustRightInd w:val="0"/>
              <w:snapToGrid w:val="0"/>
              <w:spacing w:line="540" w:lineRule="exact"/>
              <w:ind w:firstLine="560" w:firstLineChars="200"/>
              <w:rPr>
                <w:rFonts w:ascii="Times New Roman" w:hAnsi="Times New Roman" w:eastAsia="方正仿宋_GBK"/>
                <w:bCs/>
                <w:sz w:val="28"/>
                <w:szCs w:val="28"/>
              </w:rPr>
            </w:pPr>
            <w:r>
              <w:rPr>
                <w:rFonts w:ascii="Times New Roman" w:hAnsi="Times New Roman" w:eastAsia="方正楷体_GBK"/>
                <w:bCs/>
                <w:sz w:val="28"/>
                <w:szCs w:val="28"/>
              </w:rPr>
              <w:t>常州经开区：</w:t>
            </w:r>
            <w:r>
              <w:rPr>
                <w:rFonts w:ascii="Times New Roman" w:hAnsi="Times New Roman" w:eastAsia="方正仿宋_GBK"/>
                <w:bCs/>
                <w:sz w:val="28"/>
                <w:szCs w:val="28"/>
              </w:rPr>
              <w:t>轨道交通、绿色精品钢、新型电力装备；</w:t>
            </w:r>
          </w:p>
          <w:p>
            <w:pPr>
              <w:overflowPunct w:val="0"/>
              <w:autoSpaceDE w:val="0"/>
              <w:autoSpaceDN w:val="0"/>
              <w:adjustRightInd w:val="0"/>
              <w:snapToGrid w:val="0"/>
              <w:spacing w:line="540" w:lineRule="exact"/>
              <w:ind w:firstLine="560" w:firstLineChars="200"/>
              <w:rPr>
                <w:rFonts w:ascii="Times New Roman" w:hAnsi="Times New Roman" w:eastAsia="方正仿宋_GBK"/>
                <w:bCs/>
                <w:sz w:val="28"/>
                <w:szCs w:val="28"/>
              </w:rPr>
            </w:pPr>
            <w:r>
              <w:rPr>
                <w:rFonts w:ascii="Times New Roman" w:hAnsi="Times New Roman" w:eastAsia="方正楷体_GBK"/>
                <w:bCs/>
                <w:sz w:val="28"/>
                <w:szCs w:val="28"/>
              </w:rPr>
              <w:t>金坛经开区：</w:t>
            </w:r>
            <w:r>
              <w:rPr>
                <w:rFonts w:ascii="Times New Roman" w:hAnsi="Times New Roman" w:eastAsia="方正仿宋_GBK"/>
                <w:bCs/>
                <w:sz w:val="28"/>
                <w:szCs w:val="28"/>
              </w:rPr>
              <w:t>汽车及零部件（含新能源车）、新一代信息技术、高端装备；</w:t>
            </w:r>
          </w:p>
          <w:p>
            <w:pPr>
              <w:overflowPunct w:val="0"/>
              <w:autoSpaceDE w:val="0"/>
              <w:autoSpaceDN w:val="0"/>
              <w:adjustRightInd w:val="0"/>
              <w:snapToGrid w:val="0"/>
              <w:spacing w:line="540" w:lineRule="exact"/>
              <w:ind w:firstLine="560" w:firstLineChars="200"/>
              <w:rPr>
                <w:rFonts w:ascii="Times New Roman" w:hAnsi="Times New Roman" w:eastAsia="方正仿宋_GBK"/>
                <w:bCs/>
                <w:sz w:val="28"/>
                <w:szCs w:val="28"/>
              </w:rPr>
            </w:pPr>
            <w:r>
              <w:rPr>
                <w:rFonts w:ascii="Times New Roman" w:hAnsi="Times New Roman" w:eastAsia="方正楷体_GBK"/>
                <w:bCs/>
                <w:sz w:val="28"/>
                <w:szCs w:val="28"/>
              </w:rPr>
              <w:t>中关村高新区：</w:t>
            </w:r>
            <w:r>
              <w:rPr>
                <w:rFonts w:ascii="Times New Roman" w:hAnsi="Times New Roman" w:eastAsia="方正仿宋_GBK"/>
                <w:bCs/>
                <w:sz w:val="28"/>
                <w:szCs w:val="28"/>
              </w:rPr>
              <w:t>新型电力装备、动力电池、高端装备；</w:t>
            </w:r>
          </w:p>
          <w:p>
            <w:pPr>
              <w:overflowPunct w:val="0"/>
              <w:autoSpaceDE w:val="0"/>
              <w:autoSpaceDN w:val="0"/>
              <w:adjustRightInd w:val="0"/>
              <w:snapToGrid w:val="0"/>
              <w:spacing w:line="540" w:lineRule="exact"/>
              <w:ind w:firstLine="560" w:firstLineChars="200"/>
              <w:rPr>
                <w:rFonts w:ascii="Times New Roman" w:hAnsi="Times New Roman" w:eastAsia="方正仿宋_GBK"/>
                <w:bCs/>
                <w:sz w:val="28"/>
                <w:szCs w:val="28"/>
              </w:rPr>
            </w:pPr>
            <w:r>
              <w:rPr>
                <w:rFonts w:ascii="Times New Roman" w:hAnsi="Times New Roman" w:eastAsia="方正楷体_GBK"/>
                <w:bCs/>
                <w:sz w:val="28"/>
                <w:szCs w:val="28"/>
              </w:rPr>
              <w:t>溧阳经开区：</w:t>
            </w:r>
            <w:r>
              <w:rPr>
                <w:rFonts w:ascii="Times New Roman" w:hAnsi="Times New Roman" w:eastAsia="方正仿宋_GBK"/>
                <w:bCs/>
                <w:sz w:val="28"/>
                <w:szCs w:val="28"/>
              </w:rPr>
              <w:t>高端装备、智能安防、生命健康（休闲食品）；</w:t>
            </w:r>
          </w:p>
          <w:p>
            <w:pPr>
              <w:overflowPunct w:val="0"/>
              <w:autoSpaceDE w:val="0"/>
              <w:autoSpaceDN w:val="0"/>
              <w:adjustRightInd w:val="0"/>
              <w:snapToGrid w:val="0"/>
              <w:spacing w:line="540" w:lineRule="exact"/>
              <w:ind w:firstLine="560" w:firstLineChars="200"/>
              <w:rPr>
                <w:rFonts w:ascii="Times New Roman" w:hAnsi="Times New Roman" w:eastAsia="方正仿宋_GBK"/>
                <w:bCs/>
                <w:sz w:val="28"/>
                <w:szCs w:val="28"/>
              </w:rPr>
            </w:pPr>
            <w:r>
              <w:rPr>
                <w:rFonts w:ascii="Times New Roman" w:hAnsi="Times New Roman" w:eastAsia="方正楷体_GBK"/>
                <w:bCs/>
                <w:sz w:val="28"/>
                <w:szCs w:val="28"/>
              </w:rPr>
              <w:t>滨江经开区：</w:t>
            </w:r>
            <w:r>
              <w:rPr>
                <w:rFonts w:ascii="Times New Roman" w:hAnsi="Times New Roman" w:eastAsia="方正仿宋_GBK"/>
                <w:bCs/>
                <w:sz w:val="28"/>
                <w:szCs w:val="28"/>
              </w:rPr>
              <w:t>新材料、高端装备、港口物流；</w:t>
            </w:r>
          </w:p>
          <w:p>
            <w:pPr>
              <w:overflowPunct w:val="0"/>
              <w:autoSpaceDE w:val="0"/>
              <w:autoSpaceDN w:val="0"/>
              <w:adjustRightInd w:val="0"/>
              <w:snapToGrid w:val="0"/>
              <w:spacing w:line="540" w:lineRule="exact"/>
              <w:ind w:firstLine="560" w:firstLineChars="200"/>
              <w:rPr>
                <w:rFonts w:ascii="Times New Roman" w:hAnsi="Times New Roman" w:eastAsia="方正仿宋_GBK"/>
                <w:bCs/>
                <w:sz w:val="28"/>
                <w:szCs w:val="28"/>
              </w:rPr>
            </w:pPr>
            <w:r>
              <w:rPr>
                <w:rFonts w:ascii="Times New Roman" w:hAnsi="Times New Roman" w:eastAsia="方正楷体_GBK"/>
                <w:bCs/>
                <w:sz w:val="28"/>
                <w:szCs w:val="28"/>
              </w:rPr>
              <w:t>武进经开区：</w:t>
            </w:r>
            <w:r>
              <w:rPr>
                <w:rFonts w:ascii="Times New Roman" w:hAnsi="Times New Roman" w:eastAsia="方正仿宋_GBK"/>
                <w:bCs/>
                <w:sz w:val="28"/>
                <w:szCs w:val="28"/>
              </w:rPr>
              <w:t>新材料、生物医药及新型医疗器械；</w:t>
            </w:r>
          </w:p>
          <w:p>
            <w:pPr>
              <w:overflowPunct w:val="0"/>
              <w:autoSpaceDE w:val="0"/>
              <w:autoSpaceDN w:val="0"/>
              <w:adjustRightInd w:val="0"/>
              <w:snapToGrid w:val="0"/>
              <w:spacing w:line="540" w:lineRule="exact"/>
              <w:ind w:firstLine="560" w:firstLineChars="200"/>
              <w:rPr>
                <w:rFonts w:ascii="Times New Roman" w:hAnsi="Times New Roman" w:eastAsia="方正仿宋_GBK"/>
                <w:bCs/>
                <w:sz w:val="28"/>
                <w:szCs w:val="28"/>
              </w:rPr>
            </w:pPr>
            <w:r>
              <w:rPr>
                <w:rFonts w:ascii="Times New Roman" w:hAnsi="Times New Roman" w:eastAsia="方正楷体_GBK"/>
                <w:bCs/>
                <w:sz w:val="28"/>
                <w:szCs w:val="28"/>
              </w:rPr>
              <w:t>天宁经开区：</w:t>
            </w:r>
            <w:r>
              <w:rPr>
                <w:rFonts w:ascii="Times New Roman" w:hAnsi="Times New Roman" w:eastAsia="方正仿宋_GBK"/>
                <w:bCs/>
                <w:sz w:val="28"/>
                <w:szCs w:val="28"/>
              </w:rPr>
              <w:t>新一代信息技术、生物医药及新型医疗器械、新型纺织服装；</w:t>
            </w:r>
          </w:p>
          <w:p>
            <w:pPr>
              <w:overflowPunct w:val="0"/>
              <w:autoSpaceDE w:val="0"/>
              <w:autoSpaceDN w:val="0"/>
              <w:adjustRightInd w:val="0"/>
              <w:snapToGrid w:val="0"/>
              <w:spacing w:line="540" w:lineRule="exact"/>
              <w:ind w:firstLine="560" w:firstLineChars="200"/>
              <w:rPr>
                <w:rFonts w:ascii="Times New Roman" w:hAnsi="Times New Roman" w:eastAsia="方正仿宋_GBK"/>
                <w:bCs/>
                <w:sz w:val="28"/>
                <w:szCs w:val="28"/>
              </w:rPr>
            </w:pPr>
            <w:r>
              <w:rPr>
                <w:rFonts w:ascii="Times New Roman" w:hAnsi="Times New Roman" w:eastAsia="方正楷体_GBK"/>
                <w:bCs/>
                <w:sz w:val="28"/>
                <w:szCs w:val="28"/>
              </w:rPr>
              <w:t>钟楼经开区：</w:t>
            </w:r>
            <w:r>
              <w:rPr>
                <w:rFonts w:ascii="Times New Roman" w:hAnsi="Times New Roman" w:eastAsia="方正仿宋_GBK"/>
                <w:bCs/>
                <w:sz w:val="28"/>
                <w:szCs w:val="28"/>
              </w:rPr>
              <w:t>新材料、新型电力装备、大数据；</w:t>
            </w:r>
          </w:p>
          <w:p>
            <w:pPr>
              <w:overflowPunct w:val="0"/>
              <w:autoSpaceDE w:val="0"/>
              <w:autoSpaceDN w:val="0"/>
              <w:adjustRightInd w:val="0"/>
              <w:snapToGrid w:val="0"/>
              <w:spacing w:line="540" w:lineRule="exact"/>
              <w:ind w:firstLine="560" w:firstLineChars="200"/>
              <w:rPr>
                <w:rFonts w:ascii="Times New Roman" w:hAnsi="Times New Roman" w:eastAsia="仿宋_GB2312"/>
                <w:bCs/>
                <w:sz w:val="28"/>
                <w:szCs w:val="28"/>
              </w:rPr>
            </w:pPr>
            <w:r>
              <w:rPr>
                <w:rFonts w:ascii="Times New Roman" w:hAnsi="Times New Roman" w:eastAsia="方正楷体_GBK"/>
                <w:bCs/>
                <w:sz w:val="28"/>
                <w:szCs w:val="28"/>
              </w:rPr>
              <w:t>华罗庚高新区：</w:t>
            </w:r>
            <w:r>
              <w:rPr>
                <w:rFonts w:ascii="Times New Roman" w:hAnsi="Times New Roman" w:eastAsia="方正仿宋_GBK"/>
                <w:bCs/>
                <w:sz w:val="28"/>
                <w:szCs w:val="28"/>
              </w:rPr>
              <w:t>汽车及零部件（含新能源车）、新一代信息技术。</w:t>
            </w:r>
          </w:p>
        </w:tc>
      </w:tr>
    </w:tbl>
    <w:p>
      <w:pPr>
        <w:overflowPunct w:val="0"/>
        <w:autoSpaceDE w:val="0"/>
        <w:autoSpaceDN w:val="0"/>
        <w:adjustRightInd w:val="0"/>
        <w:snapToGrid w:val="0"/>
        <w:spacing w:line="570" w:lineRule="exact"/>
        <w:ind w:firstLine="641"/>
        <w:rPr>
          <w:rStyle w:val="5"/>
          <w:rFonts w:ascii="Times New Roman" w:hAnsi="Times New Roman" w:eastAsia="方正仿宋_GBK"/>
          <w:sz w:val="32"/>
          <w:szCs w:val="32"/>
        </w:rPr>
      </w:pPr>
      <w:r>
        <w:rPr>
          <w:rFonts w:eastAsia="方正楷体_GBK"/>
          <w:sz w:val="32"/>
          <w:szCs w:val="32"/>
        </w:rPr>
        <w:t>（四）加强开放平台建设</w:t>
      </w:r>
      <w:r>
        <w:rPr>
          <w:rFonts w:eastAsia="方正楷体_GBK"/>
          <w:snapToGrid w:val="0"/>
          <w:kern w:val="0"/>
          <w:sz w:val="32"/>
          <w:szCs w:val="32"/>
        </w:rPr>
        <w:t>。</w:t>
      </w:r>
      <w:r>
        <w:rPr>
          <w:rStyle w:val="5"/>
          <w:rFonts w:ascii="Times New Roman" w:hAnsi="Times New Roman" w:eastAsia="方正仿宋_GBK"/>
          <w:sz w:val="32"/>
          <w:szCs w:val="32"/>
        </w:rPr>
        <w:t>集中力量发展中以、中德、中欧、中瑞等国际合作园区，更多引进先进技术、人才团队、关键设备、管理经验，打造国际合作的“常州样板”，使之成为我市对外开放的新高地、强支撑。</w:t>
      </w:r>
      <w:r>
        <w:rPr>
          <w:rFonts w:ascii="Times New Roman" w:hAnsi="Times New Roman" w:eastAsia="方正仿宋_GBK"/>
          <w:bCs/>
          <w:sz w:val="32"/>
          <w:szCs w:val="32"/>
        </w:rPr>
        <w:t>深入推进“中以常州创新园共建计划”，加快中以常州创新园建设，着力提升江苏省中以产业技术研究院、以色列江苏创新中心、固立高端装备创新中心等平台能级，打造“创业热度最高、创新浓度最高、人才密度最高”的国际化科创园区，成为“中国以色列创新合作领航者”。支持中德（常州）创新产业园引进以德语区为主的欧洲企业100家，成为最具竞争力的中德合作平台。推动中瑞（常州）国际产业创新园、中欧（常州）检验检测认证园区、中日智能制造（常州）产业园、中欧（常州）绿色创新园区加快发展。</w:t>
      </w:r>
      <w:r>
        <w:rPr>
          <w:rStyle w:val="5"/>
          <w:rFonts w:ascii="Times New Roman" w:hAnsi="Times New Roman" w:eastAsia="方正仿宋_GBK"/>
          <w:sz w:val="32"/>
          <w:szCs w:val="32"/>
        </w:rPr>
        <w:t>深入谋划苏澳合作园区建设，力争取得实质性进展。争取再成功创建1—2家特色创新示范园区、国际合作园区。</w:t>
      </w:r>
    </w:p>
    <w:p>
      <w:pPr>
        <w:overflowPunct w:val="0"/>
        <w:autoSpaceDE w:val="0"/>
        <w:autoSpaceDN w:val="0"/>
        <w:adjustRightInd w:val="0"/>
        <w:snapToGrid w:val="0"/>
        <w:spacing w:line="570" w:lineRule="exact"/>
        <w:ind w:firstLine="641"/>
        <w:rPr>
          <w:rFonts w:ascii="Times New Roman" w:hAnsi="Times New Roman" w:eastAsia="方正仿宋_GBK"/>
          <w:sz w:val="32"/>
          <w:szCs w:val="32"/>
        </w:rPr>
      </w:pPr>
      <w:r>
        <w:rPr>
          <w:rFonts w:eastAsia="方正楷体_GBK"/>
          <w:sz w:val="32"/>
          <w:szCs w:val="32"/>
        </w:rPr>
        <w:t>（五）推动园区管理体制改革。</w:t>
      </w:r>
      <w:r>
        <w:rPr>
          <w:rStyle w:val="5"/>
          <w:rFonts w:ascii="Times New Roman" w:hAnsi="Times New Roman" w:eastAsia="方正仿宋_GBK"/>
          <w:sz w:val="32"/>
          <w:szCs w:val="32"/>
        </w:rPr>
        <w:t>全面推进开发区治理体系和治理能力现代化，按照“精简、统一、高效”原则，大力推进开发区“去行政化”改革，实行大部制、扁平化管理。加快推进“管委会+投资公司”或完全公司化运营模式，</w:t>
      </w:r>
      <w:r>
        <w:rPr>
          <w:rFonts w:ascii="Times New Roman" w:hAnsi="Times New Roman" w:eastAsia="方正仿宋_GBK"/>
          <w:sz w:val="32"/>
          <w:szCs w:val="32"/>
        </w:rPr>
        <w:t>支持扩大资本市场融资步伐，按照国家有关规定申请上市和发行债券。</w:t>
      </w:r>
      <w:r>
        <w:rPr>
          <w:rStyle w:val="5"/>
          <w:rFonts w:ascii="Times New Roman" w:hAnsi="Times New Roman" w:eastAsia="方正仿宋_GBK"/>
          <w:sz w:val="32"/>
          <w:szCs w:val="32"/>
        </w:rPr>
        <w:t>加大开发区“放管服”改革力度，依法拓宽开发区赋权范围。</w:t>
      </w:r>
      <w:r>
        <w:rPr>
          <w:rFonts w:ascii="Times New Roman" w:hAnsi="Times New Roman" w:eastAsia="方正仿宋_GBK"/>
          <w:sz w:val="32"/>
          <w:szCs w:val="32"/>
        </w:rPr>
        <w:t>全面推进“多规合一”，以国家级和发展较好的省级开发区为主体，对小而散的各类乡镇工业园进行整合，拓展发展空间。支持鼓励引导有条件的开发区在境外建设产业集聚区与离岸孵化中心。</w:t>
      </w:r>
    </w:p>
    <w:p>
      <w:pPr>
        <w:overflowPunct w:val="0"/>
        <w:autoSpaceDE w:val="0"/>
        <w:autoSpaceDN w:val="0"/>
        <w:adjustRightInd w:val="0"/>
        <w:snapToGrid w:val="0"/>
        <w:spacing w:line="570" w:lineRule="exact"/>
        <w:ind w:firstLine="641"/>
        <w:rPr>
          <w:rFonts w:ascii="Times New Roman" w:hAnsi="Times New Roman" w:eastAsia="方正黑体_GBK"/>
          <w:snapToGrid w:val="0"/>
          <w:kern w:val="0"/>
          <w:sz w:val="32"/>
          <w:szCs w:val="32"/>
        </w:rPr>
      </w:pPr>
      <w:r>
        <w:rPr>
          <w:rFonts w:ascii="Times New Roman" w:hAnsi="Times New Roman" w:eastAsia="方正黑体_GBK"/>
          <w:snapToGrid w:val="0"/>
          <w:kern w:val="0"/>
          <w:sz w:val="32"/>
          <w:szCs w:val="32"/>
        </w:rPr>
        <w:t>五、提质增效，强化利用外资质量和水平</w:t>
      </w:r>
    </w:p>
    <w:p>
      <w:pPr>
        <w:overflowPunct w:val="0"/>
        <w:autoSpaceDE w:val="0"/>
        <w:autoSpaceDN w:val="0"/>
        <w:adjustRightInd w:val="0"/>
        <w:snapToGrid w:val="0"/>
        <w:spacing w:line="570" w:lineRule="exact"/>
        <w:ind w:firstLine="641"/>
        <w:rPr>
          <w:rFonts w:ascii="Times New Roman" w:hAnsi="Times New Roman" w:eastAsia="方正仿宋_GBK"/>
          <w:snapToGrid w:val="0"/>
          <w:kern w:val="0"/>
          <w:sz w:val="32"/>
          <w:szCs w:val="32"/>
        </w:rPr>
      </w:pPr>
      <w:r>
        <w:rPr>
          <w:rFonts w:ascii="Times New Roman" w:hAnsi="Times New Roman" w:eastAsia="方正楷体_GBK"/>
          <w:snapToGrid w:val="0"/>
          <w:kern w:val="0"/>
          <w:sz w:val="32"/>
          <w:szCs w:val="32"/>
        </w:rPr>
        <w:t>（一）聚焦重点产业优质项目。</w:t>
      </w:r>
      <w:r>
        <w:rPr>
          <w:rFonts w:ascii="Times New Roman" w:hAnsi="Times New Roman" w:eastAsia="方正仿宋_GBK"/>
          <w:snapToGrid w:val="0"/>
          <w:kern w:val="0"/>
          <w:sz w:val="32"/>
          <w:szCs w:val="32"/>
        </w:rPr>
        <w:t>注重在深化国际合作中深度融入全球产业分工体系，推动产业整体迈向中高端，全力拼抢优质项目，不断提升外资质效。</w:t>
      </w:r>
    </w:p>
    <w:p>
      <w:pPr>
        <w:overflowPunct w:val="0"/>
        <w:autoSpaceDE w:val="0"/>
        <w:autoSpaceDN w:val="0"/>
        <w:adjustRightInd w:val="0"/>
        <w:snapToGrid w:val="0"/>
        <w:spacing w:line="570" w:lineRule="exact"/>
        <w:ind w:firstLine="641"/>
        <w:rPr>
          <w:rFonts w:ascii="Times New Roman" w:hAnsi="Times New Roman" w:eastAsia="方正仿宋_GBK"/>
          <w:snapToGrid w:val="0"/>
          <w:kern w:val="0"/>
          <w:sz w:val="32"/>
          <w:szCs w:val="32"/>
          <w:shd w:val="pct10" w:color="auto" w:fill="FFFFFF"/>
        </w:rPr>
      </w:pPr>
      <w:r>
        <w:rPr>
          <w:rFonts w:ascii="Times New Roman" w:hAnsi="Times New Roman" w:eastAsia="方正仿宋_GBK"/>
          <w:snapToGrid w:val="0"/>
          <w:kern w:val="0"/>
          <w:sz w:val="32"/>
          <w:szCs w:val="32"/>
        </w:rPr>
        <w:t>1. 紧盯重点产业和项目。大力推进高端装备制造、新一代信息技术、新材料、新能源等先进制造业发展重点领域的引资引智，加强在智能制造、物联网、云计算、生物医药等战略性新兴产业领域的国际合作，积极引进检验检测、知识产权服务、融资租赁、商业保理、会展业以及基于互联网的平台经济、工业设计等新兴业态，积极扩大教育、医疗、养老、文化等生活服务业领域开放力度。围绕重大项目主题年活动，精心组织好科技经贸洽谈会和上海、深圳经贸活动等各类境内外招商活动，聚焦德国、日本等重点国别和地区，</w:t>
      </w:r>
      <w:bookmarkStart w:id="8" w:name="OLE_LINK6"/>
      <w:bookmarkStart w:id="9" w:name="OLE_LINK4"/>
      <w:r>
        <w:rPr>
          <w:rFonts w:ascii="Times New Roman" w:hAnsi="Times New Roman" w:eastAsia="方正仿宋_GBK"/>
          <w:snapToGrid w:val="0"/>
          <w:kern w:val="0"/>
          <w:sz w:val="32"/>
          <w:szCs w:val="32"/>
        </w:rPr>
        <w:t>持续对接上海和深圳，大力争取高技术高效益高附加值外资项目</w:t>
      </w:r>
      <w:bookmarkEnd w:id="8"/>
      <w:bookmarkEnd w:id="9"/>
      <w:r>
        <w:rPr>
          <w:rFonts w:ascii="Times New Roman" w:hAnsi="Times New Roman" w:eastAsia="方正仿宋_GBK"/>
          <w:snapToGrid w:val="0"/>
          <w:kern w:val="0"/>
          <w:sz w:val="32"/>
          <w:szCs w:val="32"/>
        </w:rPr>
        <w:t>，努力承接一线城市资本、产业、人才溢出和创新团队嫁接效应，力争超5亿、超10亿美元外资重大项目取得新突破。</w:t>
      </w:r>
    </w:p>
    <w:p>
      <w:pPr>
        <w:overflowPunct w:val="0"/>
        <w:autoSpaceDE w:val="0"/>
        <w:autoSpaceDN w:val="0"/>
        <w:adjustRightInd w:val="0"/>
        <w:snapToGrid w:val="0"/>
        <w:spacing w:line="570" w:lineRule="exact"/>
        <w:ind w:firstLine="641"/>
        <w:rPr>
          <w:rFonts w:ascii="Times New Roman" w:hAnsi="Times New Roman" w:eastAsia="方正仿宋_GBK"/>
          <w:snapToGrid w:val="0"/>
          <w:kern w:val="0"/>
          <w:sz w:val="32"/>
          <w:szCs w:val="32"/>
        </w:rPr>
      </w:pPr>
      <w:r>
        <w:rPr>
          <w:rFonts w:ascii="Times New Roman" w:hAnsi="Times New Roman" w:eastAsia="方正仿宋_GBK"/>
          <w:snapToGrid w:val="0"/>
          <w:kern w:val="0"/>
          <w:sz w:val="32"/>
          <w:szCs w:val="32"/>
        </w:rPr>
        <w:t>2. 强化突出“双招双引”。加强产业项目科技创新、人才使用、产出效益等综合评价，着力招引世界500强旗舰项目、全球细分行业“隐形冠军”项目、高科技“独角兽”项目，以知识密集型产业项目引进，催生科技创新、人才集聚的连锁效应。围绕先进制造业集群培育和产业链关键环节科技攻关，突破招引研究院所、新型研发机构、科技创新服务机构等项目，带动产业集群价值链整体提升。紧扣产业链、创新链人才需求，以“龙城英才计划”为引领，精准招引“双创”人才项目，广泛集聚“众创”人才项目，全面吸引各领域各层次人才，为产业发展、科技创新提供强有力的人才支撑。</w:t>
      </w:r>
    </w:p>
    <w:p>
      <w:pPr>
        <w:overflowPunct w:val="0"/>
        <w:autoSpaceDE w:val="0"/>
        <w:autoSpaceDN w:val="0"/>
        <w:adjustRightInd w:val="0"/>
        <w:snapToGrid w:val="0"/>
        <w:spacing w:line="570" w:lineRule="exact"/>
        <w:ind w:firstLine="641"/>
        <w:rPr>
          <w:rFonts w:ascii="Times New Roman" w:hAnsi="Times New Roman" w:eastAsia="方正仿宋_GBK"/>
          <w:snapToGrid w:val="0"/>
          <w:kern w:val="0"/>
          <w:sz w:val="32"/>
          <w:szCs w:val="32"/>
        </w:rPr>
      </w:pPr>
      <w:r>
        <w:rPr>
          <w:rFonts w:ascii="Times New Roman" w:hAnsi="Times New Roman" w:eastAsia="方正仿宋_GBK"/>
          <w:snapToGrid w:val="0"/>
          <w:kern w:val="0"/>
          <w:sz w:val="32"/>
          <w:szCs w:val="32"/>
        </w:rPr>
        <w:t>3. 发展外资总部经济。完善总部经济促进政策体系，建立地区总部和功能性机构培育梯队，加强递延纳税政策、总部政策、到账奖励政策等增资政策宣传，引导企业以新增投资、人民币利润再投资、债转股、无形资产出资、资本公积转增等多种方式实现增资扩股，鼓励引导外资企业在我市总部化、规模化、基地化发展，对经认定的省级地区总部和功能性机构、市级区域性外资总部，给予一定奖励并享受相关便利化措施。鼓励外资与本土企业强强联合，支持外资以并购等方式参与我市企业改组改造和兼并重组，积极引导外企与本地民企开展协作配套，支持存量地区总部提升投资和区域管理层级，鼓励功能性企业从单一功能向多种功能叠加转型。“十四五”期间，初步建成具有一定影响力的区域性外资总部经济集聚区。</w:t>
      </w:r>
    </w:p>
    <w:p>
      <w:pPr>
        <w:overflowPunct w:val="0"/>
        <w:autoSpaceDE w:val="0"/>
        <w:autoSpaceDN w:val="0"/>
        <w:adjustRightInd w:val="0"/>
        <w:snapToGrid w:val="0"/>
        <w:spacing w:line="570" w:lineRule="exact"/>
        <w:ind w:firstLine="641"/>
        <w:rPr>
          <w:rFonts w:ascii="Times New Roman" w:hAnsi="Times New Roman" w:eastAsia="方正仿宋_GBK"/>
          <w:snapToGrid w:val="0"/>
          <w:kern w:val="0"/>
          <w:sz w:val="32"/>
          <w:szCs w:val="32"/>
        </w:rPr>
      </w:pPr>
      <w:r>
        <w:rPr>
          <w:rFonts w:ascii="Times New Roman" w:hAnsi="Times New Roman" w:eastAsia="方正楷体_GBK"/>
          <w:snapToGrid w:val="0"/>
          <w:kern w:val="0"/>
          <w:sz w:val="32"/>
          <w:szCs w:val="32"/>
        </w:rPr>
        <w:t>（二）聚焦招商引资方式创新。</w:t>
      </w:r>
      <w:r>
        <w:rPr>
          <w:rFonts w:ascii="Times New Roman" w:hAnsi="Times New Roman" w:eastAsia="方正仿宋_GBK"/>
          <w:snapToGrid w:val="0"/>
          <w:kern w:val="0"/>
          <w:sz w:val="32"/>
          <w:szCs w:val="32"/>
        </w:rPr>
        <w:t>创新招商方式，优化引资环境，健全体制机制，完善投资促进网络，切实提升招商实效。</w:t>
      </w:r>
    </w:p>
    <w:p>
      <w:pPr>
        <w:overflowPunct w:val="0"/>
        <w:autoSpaceDE w:val="0"/>
        <w:autoSpaceDN w:val="0"/>
        <w:adjustRightInd w:val="0"/>
        <w:snapToGrid w:val="0"/>
        <w:spacing w:line="570" w:lineRule="exact"/>
        <w:ind w:firstLine="641"/>
        <w:rPr>
          <w:rStyle w:val="5"/>
          <w:rFonts w:ascii="Times New Roman" w:hAnsi="Times New Roman" w:eastAsia="方正仿宋_GBK"/>
          <w:bCs/>
          <w:snapToGrid w:val="0"/>
          <w:kern w:val="0"/>
          <w:sz w:val="32"/>
          <w:szCs w:val="32"/>
        </w:rPr>
      </w:pPr>
      <w:r>
        <w:rPr>
          <w:rFonts w:ascii="Times New Roman" w:hAnsi="Times New Roman" w:eastAsia="方正仿宋_GBK"/>
          <w:bCs/>
          <w:snapToGrid w:val="0"/>
          <w:kern w:val="0"/>
          <w:sz w:val="32"/>
          <w:szCs w:val="32"/>
        </w:rPr>
        <w:t>1. 产业招商。</w:t>
      </w:r>
      <w:r>
        <w:rPr>
          <w:rStyle w:val="5"/>
          <w:rFonts w:ascii="Times New Roman" w:hAnsi="Times New Roman" w:eastAsia="方正仿宋_GBK"/>
          <w:bCs/>
          <w:snapToGrid w:val="0"/>
          <w:kern w:val="0"/>
          <w:sz w:val="32"/>
          <w:szCs w:val="32"/>
        </w:rPr>
        <w:t>聚焦“253”先进制造业产业集群，用好全市产业招商地图，建立健全产业链招商目录库，尤其要围绕生物医药及医疗器械、集成电路等产业，沿着产业链上下游吸引重大项目，大力招引跨国公司在我市设立投资性公司、创投公司等投资类企业，力争实现“一带多”的引资裂变。</w:t>
      </w:r>
    </w:p>
    <w:p>
      <w:pPr>
        <w:overflowPunct w:val="0"/>
        <w:autoSpaceDE w:val="0"/>
        <w:autoSpaceDN w:val="0"/>
        <w:adjustRightInd w:val="0"/>
        <w:snapToGrid w:val="0"/>
        <w:spacing w:line="570" w:lineRule="exact"/>
        <w:ind w:firstLine="641"/>
        <w:rPr>
          <w:rStyle w:val="5"/>
          <w:rFonts w:ascii="Times New Roman" w:hAnsi="Times New Roman" w:eastAsia="方正仿宋_GBK"/>
          <w:bCs/>
          <w:snapToGrid w:val="0"/>
          <w:kern w:val="0"/>
          <w:sz w:val="32"/>
          <w:szCs w:val="32"/>
        </w:rPr>
      </w:pPr>
      <w:r>
        <w:rPr>
          <w:rFonts w:ascii="Times New Roman" w:hAnsi="Times New Roman" w:eastAsia="方正仿宋_GBK"/>
          <w:bCs/>
          <w:snapToGrid w:val="0"/>
          <w:kern w:val="0"/>
          <w:sz w:val="32"/>
          <w:szCs w:val="32"/>
        </w:rPr>
        <w:t>2. 基金招商。</w:t>
      </w:r>
      <w:r>
        <w:rPr>
          <w:rStyle w:val="5"/>
          <w:rFonts w:ascii="Times New Roman" w:hAnsi="Times New Roman" w:eastAsia="方正仿宋_GBK"/>
          <w:bCs/>
          <w:snapToGrid w:val="0"/>
          <w:kern w:val="0"/>
          <w:sz w:val="32"/>
          <w:szCs w:val="32"/>
        </w:rPr>
        <w:t>发挥产业基金招引重大项目的作用，推动产业与金融融合发展，开启“基金招商”、“金融招商”的新模式。运作好市、区两级政府产业基金，成立400亿的科技创新基金，通过整合政策、资金、产业等各项资源，建立引导基金与社会资金、资本与管理团队互动互促、优势互补的投资管理体系，打造政府、产业、资本三方互动平台，形成产业基金招商的集群优势。</w:t>
      </w:r>
    </w:p>
    <w:p>
      <w:pPr>
        <w:overflowPunct w:val="0"/>
        <w:autoSpaceDE w:val="0"/>
        <w:autoSpaceDN w:val="0"/>
        <w:adjustRightInd w:val="0"/>
        <w:snapToGrid w:val="0"/>
        <w:spacing w:line="570" w:lineRule="exact"/>
        <w:ind w:firstLine="641"/>
        <w:rPr>
          <w:rFonts w:ascii="Times New Roman" w:hAnsi="Times New Roman" w:eastAsia="方正仿宋_GBK"/>
          <w:snapToGrid w:val="0"/>
          <w:kern w:val="0"/>
          <w:sz w:val="32"/>
          <w:szCs w:val="32"/>
        </w:rPr>
      </w:pPr>
      <w:r>
        <w:rPr>
          <w:rFonts w:ascii="Times New Roman" w:hAnsi="Times New Roman" w:eastAsia="方正仿宋_GBK"/>
          <w:bCs/>
          <w:snapToGrid w:val="0"/>
          <w:kern w:val="0"/>
          <w:sz w:val="32"/>
          <w:szCs w:val="32"/>
        </w:rPr>
        <w:t>3. 科技招商。充分对接上海、深圳等重点城市科技园区，通过人才引项目，采用“团队+基金+资金”的模式，撬动项目嫁接落户我市。探索借鉴</w:t>
      </w:r>
      <w:r>
        <w:rPr>
          <w:rFonts w:ascii="Times New Roman" w:hAnsi="Times New Roman" w:eastAsia="方正仿宋_GBK"/>
          <w:snapToGrid w:val="0"/>
          <w:kern w:val="0"/>
          <w:sz w:val="32"/>
          <w:szCs w:val="32"/>
        </w:rPr>
        <w:t>深圳星河WORLD采取的“产城投融”运营模式，以“园区+社区”“房东+股东”方式集聚孵化新兴产业、高科技企业。统筹全市驻外招商资源，市和辖市区在上海、北京、深圳等重点城市设经贸联络处，在美国、德国、日本等设立海外经贸联络处和海外人才工作站，建立信息沟通和互动联动机制，协同开展驻点招商。</w:t>
      </w:r>
    </w:p>
    <w:p>
      <w:pPr>
        <w:overflowPunct w:val="0"/>
        <w:autoSpaceDE w:val="0"/>
        <w:autoSpaceDN w:val="0"/>
        <w:adjustRightInd w:val="0"/>
        <w:snapToGrid w:val="0"/>
        <w:spacing w:line="570" w:lineRule="exact"/>
        <w:ind w:firstLine="641"/>
        <w:rPr>
          <w:rFonts w:ascii="Times New Roman" w:hAnsi="Times New Roman" w:eastAsia="方正仿宋_GBK"/>
          <w:snapToGrid w:val="0"/>
          <w:kern w:val="0"/>
          <w:sz w:val="32"/>
          <w:szCs w:val="32"/>
        </w:rPr>
      </w:pPr>
      <w:r>
        <w:rPr>
          <w:rFonts w:ascii="Times New Roman" w:hAnsi="Times New Roman" w:eastAsia="方正仿宋_GBK"/>
          <w:bCs/>
          <w:snapToGrid w:val="0"/>
          <w:kern w:val="0"/>
          <w:sz w:val="32"/>
          <w:szCs w:val="32"/>
        </w:rPr>
        <w:t>4. 代理招商。</w:t>
      </w:r>
      <w:r>
        <w:rPr>
          <w:rFonts w:ascii="Times New Roman" w:hAnsi="Times New Roman" w:eastAsia="方正仿宋_GBK"/>
          <w:snapToGrid w:val="0"/>
          <w:kern w:val="0"/>
          <w:sz w:val="32"/>
          <w:szCs w:val="32"/>
        </w:rPr>
        <w:t>对接国内外著名中介机构、商会、协会等招商平台和渠道，进一步扩大合作深度，采用战略联盟、授权代理、专项负责等合作模式，放大中介招商的市场力量。密切与各地从事招商工作、掌握项目资源的市场人士的联系，采用战略合作、聘请雇佣、外聘兼职、项目落户奖励等多种形式，拓展项目信息渠道。鼓励以商引商，对招商项目引荐人给予一定的奖励。</w:t>
      </w:r>
    </w:p>
    <w:p>
      <w:pPr>
        <w:overflowPunct w:val="0"/>
        <w:autoSpaceDE w:val="0"/>
        <w:autoSpaceDN w:val="0"/>
        <w:adjustRightInd w:val="0"/>
        <w:snapToGrid w:val="0"/>
        <w:spacing w:line="570" w:lineRule="exact"/>
        <w:ind w:firstLine="641"/>
        <w:rPr>
          <w:rFonts w:ascii="Times New Roman" w:hAnsi="Times New Roman" w:eastAsia="方正楷体_GBK"/>
          <w:snapToGrid w:val="0"/>
          <w:kern w:val="0"/>
          <w:sz w:val="32"/>
          <w:szCs w:val="32"/>
        </w:rPr>
      </w:pPr>
      <w:r>
        <w:rPr>
          <w:rFonts w:ascii="Times New Roman" w:hAnsi="Times New Roman" w:eastAsia="方正楷体_GBK"/>
          <w:snapToGrid w:val="0"/>
          <w:kern w:val="0"/>
          <w:sz w:val="32"/>
          <w:szCs w:val="32"/>
        </w:rPr>
        <w:t>（三）聚焦招商队伍建设</w:t>
      </w:r>
    </w:p>
    <w:p>
      <w:pPr>
        <w:overflowPunct w:val="0"/>
        <w:autoSpaceDE w:val="0"/>
        <w:autoSpaceDN w:val="0"/>
        <w:adjustRightInd w:val="0"/>
        <w:snapToGrid w:val="0"/>
        <w:spacing w:line="570" w:lineRule="exact"/>
        <w:ind w:firstLine="641"/>
        <w:rPr>
          <w:rFonts w:ascii="Times New Roman" w:hAnsi="Times New Roman" w:eastAsia="方正仿宋_GBK"/>
          <w:snapToGrid w:val="0"/>
          <w:kern w:val="0"/>
          <w:sz w:val="32"/>
          <w:szCs w:val="32"/>
        </w:rPr>
      </w:pPr>
      <w:r>
        <w:rPr>
          <w:rFonts w:ascii="Times New Roman" w:hAnsi="Times New Roman" w:eastAsia="方正仿宋_GBK"/>
          <w:snapToGrid w:val="0"/>
          <w:kern w:val="0"/>
          <w:sz w:val="32"/>
          <w:szCs w:val="32"/>
        </w:rPr>
        <w:t xml:space="preserve">1. </w:t>
      </w:r>
      <w:r>
        <w:rPr>
          <w:rFonts w:ascii="Times New Roman" w:hAnsi="Times New Roman" w:eastAsia="方正仿宋_GBK"/>
          <w:bCs/>
          <w:snapToGrid w:val="0"/>
          <w:kern w:val="0"/>
          <w:sz w:val="32"/>
          <w:szCs w:val="32"/>
        </w:rPr>
        <w:t>建好队伍</w:t>
      </w:r>
      <w:r>
        <w:rPr>
          <w:rFonts w:ascii="Times New Roman" w:hAnsi="Times New Roman" w:eastAsia="方正仿宋_GBK"/>
          <w:snapToGrid w:val="0"/>
          <w:kern w:val="0"/>
          <w:sz w:val="32"/>
          <w:szCs w:val="32"/>
        </w:rPr>
        <w:t>。坚持招商引资“一把手”工程，推动辖市区党政主要领导亲自招、亲自引、亲自推，敦促板块和开发区配强招商干部队伍。把招商人才纳入“龙城英才计划”，面向全国集聚招商引资领军型人才。建立灵活用人机制，强化市级招商平台建设，辖市区编制、岗位、资源向招商一线倾斜，鼓励各地以市场化机制录用招商人员。加大市级部门与辖市区干部交流力度，拓展各区域间招商人员的互派挂职，实现上下联动、多层次多岗位锻炼。组建招商顾问团队，提高招商引资的科学化决策水平。加强双招双引培训，并纳入年度考核。</w:t>
      </w:r>
    </w:p>
    <w:p>
      <w:pPr>
        <w:overflowPunct w:val="0"/>
        <w:autoSpaceDE w:val="0"/>
        <w:autoSpaceDN w:val="0"/>
        <w:adjustRightInd w:val="0"/>
        <w:snapToGrid w:val="0"/>
        <w:spacing w:line="570" w:lineRule="exact"/>
        <w:ind w:firstLine="641"/>
        <w:rPr>
          <w:rFonts w:ascii="Times New Roman" w:hAnsi="Times New Roman" w:eastAsia="方正仿宋_GBK"/>
          <w:sz w:val="32"/>
          <w:szCs w:val="32"/>
        </w:rPr>
      </w:pPr>
      <w:r>
        <w:rPr>
          <w:rFonts w:ascii="Times New Roman" w:hAnsi="Times New Roman" w:eastAsia="方正仿宋_GBK"/>
          <w:snapToGrid w:val="0"/>
          <w:kern w:val="0"/>
          <w:sz w:val="32"/>
          <w:szCs w:val="32"/>
        </w:rPr>
        <w:t xml:space="preserve">2. </w:t>
      </w:r>
      <w:r>
        <w:rPr>
          <w:rFonts w:ascii="Times New Roman" w:hAnsi="Times New Roman" w:eastAsia="方正仿宋_GBK"/>
          <w:bCs/>
          <w:snapToGrid w:val="0"/>
          <w:kern w:val="0"/>
          <w:sz w:val="32"/>
          <w:szCs w:val="32"/>
        </w:rPr>
        <w:t>强化激励</w:t>
      </w:r>
      <w:r>
        <w:rPr>
          <w:rFonts w:ascii="Times New Roman" w:hAnsi="Times New Roman" w:eastAsia="方正仿宋_GBK"/>
          <w:snapToGrid w:val="0"/>
          <w:kern w:val="0"/>
          <w:sz w:val="32"/>
          <w:szCs w:val="32"/>
        </w:rPr>
        <w:t>。</w:t>
      </w:r>
      <w:r>
        <w:rPr>
          <w:rFonts w:ascii="Times New Roman" w:hAnsi="Times New Roman" w:eastAsia="方正仿宋_GBK"/>
          <w:sz w:val="32"/>
          <w:szCs w:val="32"/>
        </w:rPr>
        <w:t>畅通招商干部使用、晋升渠道，支持对招商引资作出重大突出贡献或多年从事招商引资工作且业绩稳定的招商工作人员在提拔使用、身份转换等方面给予优先考虑，推荐能力较强、经验丰富的招商人员到国有公司任职。支持开发区在招商团队内部实行企业化管理模式和绩效薪酬制度，对招商一线岗位，实行特岗特薪。面向全市各级招商队伍，继续做好金牌、银牌、铜牌招商能手评选工作。鼓励各辖市区对项目招引作出实质性贡献的招商部门、团队人员及项目服务成效突出的单位给予奖励，表现优异的个人给予记功奖励。</w:t>
      </w:r>
    </w:p>
    <w:p>
      <w:pPr>
        <w:overflowPunct w:val="0"/>
        <w:autoSpaceDE w:val="0"/>
        <w:autoSpaceDN w:val="0"/>
        <w:adjustRightInd w:val="0"/>
        <w:snapToGrid w:val="0"/>
        <w:spacing w:line="570" w:lineRule="exact"/>
        <w:ind w:firstLine="641"/>
        <w:rPr>
          <w:rFonts w:ascii="Times New Roman" w:hAnsi="Times New Roman" w:eastAsia="方正仿宋_GBK"/>
          <w:sz w:val="32"/>
          <w:szCs w:val="32"/>
        </w:rPr>
      </w:pPr>
      <w:r>
        <w:rPr>
          <w:rFonts w:ascii="Times New Roman" w:hAnsi="Times New Roman" w:eastAsia="方正仿宋_GBK"/>
          <w:snapToGrid w:val="0"/>
          <w:kern w:val="0"/>
          <w:sz w:val="32"/>
          <w:szCs w:val="32"/>
        </w:rPr>
        <w:t xml:space="preserve">3. </w:t>
      </w:r>
      <w:r>
        <w:rPr>
          <w:rFonts w:ascii="Times New Roman" w:hAnsi="Times New Roman" w:eastAsia="方正仿宋_GBK"/>
          <w:bCs/>
          <w:snapToGrid w:val="0"/>
          <w:kern w:val="0"/>
          <w:sz w:val="32"/>
          <w:szCs w:val="32"/>
        </w:rPr>
        <w:t>完善机制</w:t>
      </w:r>
      <w:r>
        <w:rPr>
          <w:rFonts w:ascii="Times New Roman" w:hAnsi="Times New Roman" w:eastAsia="方正仿宋_GBK"/>
          <w:snapToGrid w:val="0"/>
          <w:kern w:val="0"/>
          <w:sz w:val="32"/>
          <w:szCs w:val="32"/>
        </w:rPr>
        <w:t>。</w:t>
      </w:r>
      <w:r>
        <w:rPr>
          <w:rFonts w:ascii="Times New Roman" w:hAnsi="Times New Roman" w:eastAsia="方正仿宋_GBK"/>
          <w:sz w:val="32"/>
          <w:szCs w:val="32"/>
        </w:rPr>
        <w:t>建立市领导挂钩联系优势产业链制度，统筹推进产业链招商引资和重大项目建设。强化市区统筹联动机制，坚持全市“一盘棋”招商，</w:t>
      </w:r>
      <w:r>
        <w:rPr>
          <w:rFonts w:ascii="Times New Roman" w:hAnsi="Times New Roman" w:eastAsia="方正仿宋_GBK"/>
          <w:snapToGrid w:val="0"/>
          <w:kern w:val="0"/>
          <w:sz w:val="32"/>
          <w:szCs w:val="32"/>
        </w:rPr>
        <w:t>引导各板块、开发区聚焦主导产业招引项目，</w:t>
      </w:r>
      <w:r>
        <w:rPr>
          <w:rFonts w:ascii="Times New Roman" w:hAnsi="Times New Roman" w:eastAsia="方正仿宋_GBK"/>
          <w:sz w:val="32"/>
          <w:szCs w:val="32"/>
        </w:rPr>
        <w:t>将不适宜在本地区发展的项目引荐至其他区域。建立招商工作部门联席制度，商务部门发挥牵头作用，协调推进招商引资工作，</w:t>
      </w:r>
      <w:r>
        <w:rPr>
          <w:rFonts w:ascii="Times New Roman" w:hAnsi="Times New Roman" w:eastAsia="方正仿宋_GBK"/>
          <w:snapToGrid w:val="0"/>
          <w:kern w:val="0"/>
          <w:sz w:val="32"/>
          <w:szCs w:val="32"/>
        </w:rPr>
        <w:t>引导全市相关部门、群团组织等主动服务招商引资。</w:t>
      </w:r>
      <w:r>
        <w:rPr>
          <w:rFonts w:ascii="Times New Roman" w:hAnsi="Times New Roman" w:eastAsia="方正仿宋_GBK"/>
          <w:sz w:val="32"/>
          <w:szCs w:val="32"/>
        </w:rPr>
        <w:t>支持市场主体或国有公司探索组建招商公司，对招商人员集中统一管理，吸收优秀招商人员进入管理层，为招商人员提供绩效薪酬和投资分红“双收益”。</w:t>
      </w:r>
    </w:p>
    <w:p>
      <w:pPr>
        <w:overflowPunct w:val="0"/>
        <w:autoSpaceDE w:val="0"/>
        <w:autoSpaceDN w:val="0"/>
        <w:adjustRightInd w:val="0"/>
        <w:snapToGrid w:val="0"/>
        <w:spacing w:line="570" w:lineRule="exact"/>
        <w:ind w:firstLine="641"/>
        <w:rPr>
          <w:rFonts w:ascii="Times New Roman" w:hAnsi="Times New Roman" w:eastAsia="方正黑体_GBK"/>
          <w:snapToGrid w:val="0"/>
          <w:kern w:val="0"/>
          <w:sz w:val="32"/>
          <w:szCs w:val="32"/>
        </w:rPr>
      </w:pPr>
      <w:r>
        <w:rPr>
          <w:rFonts w:ascii="Times New Roman" w:hAnsi="Times New Roman" w:eastAsia="方正黑体_GBK"/>
          <w:snapToGrid w:val="0"/>
          <w:kern w:val="0"/>
          <w:sz w:val="32"/>
          <w:szCs w:val="32"/>
        </w:rPr>
        <w:t>六、优进优出，加快转变外贸发展方式</w:t>
      </w:r>
    </w:p>
    <w:p>
      <w:pPr>
        <w:overflowPunct w:val="0"/>
        <w:autoSpaceDE w:val="0"/>
        <w:autoSpaceDN w:val="0"/>
        <w:adjustRightInd w:val="0"/>
        <w:snapToGrid w:val="0"/>
        <w:spacing w:line="570" w:lineRule="exact"/>
        <w:ind w:firstLine="641"/>
        <w:rPr>
          <w:rFonts w:ascii="Times New Roman" w:hAnsi="Times New Roman" w:eastAsia="方正仿宋_GBK"/>
          <w:snapToGrid w:val="0"/>
          <w:kern w:val="0"/>
          <w:sz w:val="32"/>
          <w:szCs w:val="32"/>
        </w:rPr>
      </w:pPr>
      <w:r>
        <w:rPr>
          <w:rFonts w:ascii="Times New Roman" w:hAnsi="Times New Roman" w:eastAsia="方正仿宋_GBK"/>
          <w:snapToGrid w:val="0"/>
          <w:kern w:val="0"/>
          <w:sz w:val="32"/>
          <w:szCs w:val="32"/>
        </w:rPr>
        <w:t>深入实施“科技兴贸”和“优进优出”战略，大力培育出口基地</w:t>
      </w:r>
      <w:r>
        <w:rPr>
          <w:rFonts w:ascii="Times New Roman" w:hAnsi="Times New Roman" w:eastAsia="方正仿宋_GBK"/>
          <w:snapToGrid w:val="0"/>
          <w:spacing w:val="-6"/>
          <w:kern w:val="0"/>
          <w:sz w:val="32"/>
          <w:szCs w:val="32"/>
        </w:rPr>
        <w:t>和品牌，积极发展新型贸易方式，推动外贸转型升级和高质量发展。</w:t>
      </w:r>
    </w:p>
    <w:p>
      <w:pPr>
        <w:overflowPunct w:val="0"/>
        <w:autoSpaceDE w:val="0"/>
        <w:autoSpaceDN w:val="0"/>
        <w:adjustRightInd w:val="0"/>
        <w:snapToGrid w:val="0"/>
        <w:spacing w:line="570" w:lineRule="exact"/>
        <w:ind w:firstLine="641"/>
        <w:rPr>
          <w:rFonts w:ascii="Times New Roman" w:hAnsi="Times New Roman" w:eastAsia="方正楷体_GBK"/>
          <w:snapToGrid w:val="0"/>
          <w:kern w:val="0"/>
          <w:sz w:val="32"/>
          <w:szCs w:val="32"/>
        </w:rPr>
      </w:pPr>
      <w:r>
        <w:rPr>
          <w:rFonts w:ascii="Times New Roman" w:hAnsi="Times New Roman" w:eastAsia="方正楷体_GBK"/>
          <w:snapToGrid w:val="0"/>
          <w:kern w:val="0"/>
          <w:sz w:val="32"/>
          <w:szCs w:val="32"/>
        </w:rPr>
        <w:t>（一）外贸强基行动</w:t>
      </w:r>
    </w:p>
    <w:p>
      <w:pPr>
        <w:overflowPunct w:val="0"/>
        <w:autoSpaceDE w:val="0"/>
        <w:autoSpaceDN w:val="0"/>
        <w:adjustRightInd w:val="0"/>
        <w:snapToGrid w:val="0"/>
        <w:spacing w:line="570" w:lineRule="exact"/>
        <w:ind w:firstLine="641"/>
        <w:rPr>
          <w:rFonts w:ascii="Times New Roman" w:hAnsi="Times New Roman" w:eastAsia="方正仿宋_GBK"/>
          <w:snapToGrid w:val="0"/>
          <w:kern w:val="0"/>
          <w:sz w:val="32"/>
          <w:szCs w:val="32"/>
        </w:rPr>
      </w:pPr>
      <w:r>
        <w:rPr>
          <w:rFonts w:ascii="Times New Roman" w:hAnsi="Times New Roman" w:eastAsia="方正仿宋_GBK"/>
          <w:snapToGrid w:val="0"/>
          <w:kern w:val="0"/>
          <w:sz w:val="32"/>
          <w:szCs w:val="32"/>
        </w:rPr>
        <w:t>1. 拓市场，稳规模。坚持市场多元化战略，深耕欧盟、日本、东南亚等传统市场，继续紧抓美国市场，注重开发传统市场中新的细分市场和中高端市场，重视“一带一路”沿线市场和RCEP伙伴国家市场开拓，“十四五”末“一带一路”出口占比达到三分之一左右。以建设先进制造业产业集群为主攻方向，培育一批具有较强创新能力和国际竞争力的龙头企业和“专精特新”的中小巨人企业，发挥天合光能、格力博等行业龙头企业引领作用，探索组建企业进出口联盟。开展中小外贸企业成长行动计划，引导中小企业“抱团出海”。加大对企业开拓国际市场的支持力度，支持企业参加各类综合展会、专业展会，推进市场多元化发展。支持企业开展境外商标注册、出口产品认证、境外广告宣传、自主知识产权保护等活动，全力开拓国际市场。</w:t>
      </w:r>
    </w:p>
    <w:p>
      <w:pPr>
        <w:overflowPunct w:val="0"/>
        <w:autoSpaceDE w:val="0"/>
        <w:autoSpaceDN w:val="0"/>
        <w:adjustRightInd w:val="0"/>
        <w:snapToGrid w:val="0"/>
        <w:spacing w:line="570" w:lineRule="exact"/>
        <w:ind w:firstLine="641"/>
        <w:rPr>
          <w:rFonts w:ascii="Times New Roman" w:hAnsi="Times New Roman" w:eastAsia="方正仿宋_GBK"/>
          <w:snapToGrid w:val="0"/>
          <w:kern w:val="0"/>
          <w:sz w:val="32"/>
          <w:szCs w:val="32"/>
        </w:rPr>
      </w:pPr>
      <w:r>
        <w:rPr>
          <w:rFonts w:ascii="Times New Roman" w:hAnsi="Times New Roman" w:eastAsia="方正仿宋_GBK"/>
          <w:snapToGrid w:val="0"/>
          <w:kern w:val="0"/>
          <w:sz w:val="32"/>
          <w:szCs w:val="32"/>
        </w:rPr>
        <w:t>2. 调结构，强后劲。坚持先进制造业集群发展与外贸出口基地建设相结合，在巩固纺织服装、轻工等传统优势产业出口的同时，扩大高新技术产业和先进制造业出口，把我市“253”先进制造业集群变成优势出口产业基地。持续提升一般贸易和新型贸易方式的比重，优化外贸结构。扩大先进技术、重要装备、关键零部件、能源资源产品、优质消费品等的进口，通过“优进”倒逼“优出”。鼓励出口企业调整出口商品结构，突出绿色、低碳、节能、环保等高新技术外贸产品研发，积极推动加工贸易企业向研发、检测、维修、营销服务等高附加值环节延伸。</w:t>
      </w:r>
    </w:p>
    <w:p>
      <w:pPr>
        <w:overflowPunct w:val="0"/>
        <w:autoSpaceDE w:val="0"/>
        <w:autoSpaceDN w:val="0"/>
        <w:adjustRightInd w:val="0"/>
        <w:snapToGrid w:val="0"/>
        <w:spacing w:line="570" w:lineRule="exact"/>
        <w:ind w:firstLine="641"/>
        <w:rPr>
          <w:rFonts w:ascii="Times New Roman" w:hAnsi="Times New Roman" w:eastAsia="方正仿宋_GBK"/>
          <w:snapToGrid w:val="0"/>
          <w:kern w:val="0"/>
          <w:sz w:val="32"/>
          <w:szCs w:val="32"/>
        </w:rPr>
      </w:pPr>
      <w:r>
        <w:rPr>
          <w:rFonts w:ascii="Times New Roman" w:hAnsi="Times New Roman" w:eastAsia="方正仿宋_GBK"/>
          <w:snapToGrid w:val="0"/>
          <w:kern w:val="0"/>
          <w:sz w:val="32"/>
          <w:szCs w:val="32"/>
        </w:rPr>
        <w:t>3. 树品牌，扩影响。紧扣我市“253”先进制造业产业集群建设和我市特色优势产业，充分发挥地坪地材、</w:t>
      </w:r>
      <w:r>
        <w:rPr>
          <w:rFonts w:ascii="Times New Roman" w:hAnsi="Times New Roman" w:eastAsia="方正仿宋_GBK"/>
          <w:bCs/>
          <w:snapToGrid w:val="0"/>
          <w:kern w:val="0"/>
          <w:sz w:val="32"/>
          <w:szCs w:val="32"/>
        </w:rPr>
        <w:t>医疗器械、</w:t>
      </w:r>
      <w:r>
        <w:rPr>
          <w:rFonts w:ascii="Times New Roman" w:hAnsi="Times New Roman" w:eastAsia="方正仿宋_GBK"/>
          <w:snapToGrid w:val="0"/>
          <w:kern w:val="0"/>
          <w:sz w:val="32"/>
          <w:szCs w:val="32"/>
        </w:rPr>
        <w:t>西药、服装以及</w:t>
      </w:r>
      <w:r>
        <w:rPr>
          <w:rFonts w:ascii="Times New Roman" w:hAnsi="Times New Roman" w:eastAsia="方正仿宋_GBK"/>
          <w:bCs/>
          <w:snapToGrid w:val="0"/>
          <w:kern w:val="0"/>
          <w:sz w:val="32"/>
          <w:szCs w:val="32"/>
        </w:rPr>
        <w:t>轨道交通装备</w:t>
      </w:r>
      <w:r>
        <w:rPr>
          <w:rFonts w:ascii="Times New Roman" w:hAnsi="Times New Roman" w:eastAsia="方正仿宋_GBK"/>
          <w:snapToGrid w:val="0"/>
          <w:kern w:val="0"/>
          <w:sz w:val="32"/>
          <w:szCs w:val="32"/>
        </w:rPr>
        <w:t>等国家级、省级出口基地作用，积极推进钟楼农用机械基地、天宁医疗器械基地和金坛纺织服装基地申报国家级外贸转型升级基地，加快培育和评定一批市级出口基地和品牌</w:t>
      </w:r>
      <w:r>
        <w:rPr>
          <w:rFonts w:ascii="Times New Roman" w:hAnsi="Times New Roman" w:eastAsia="方正仿宋_GBK"/>
          <w:bCs/>
          <w:snapToGrid w:val="0"/>
          <w:kern w:val="0"/>
          <w:sz w:val="32"/>
          <w:szCs w:val="32"/>
        </w:rPr>
        <w:t>，加快形成</w:t>
      </w:r>
      <w:r>
        <w:rPr>
          <w:rFonts w:ascii="Times New Roman" w:hAnsi="Times New Roman" w:eastAsia="方正仿宋_GBK"/>
          <w:snapToGrid w:val="0"/>
          <w:kern w:val="0"/>
          <w:sz w:val="32"/>
          <w:szCs w:val="32"/>
        </w:rPr>
        <w:t>国家级、省级、市级“三级联动”的出口基地和出口品牌体系，努力将我市产业优势转化为出口优势，提升我市出口效益和竞争力。支持基地内企业以技术优势或自主知识产权参与国际标准的制修订，推动常州标准走出去，加快标准国际化进程，不断提升外贸影响力。</w:t>
      </w:r>
    </w:p>
    <w:p>
      <w:pPr>
        <w:overflowPunct w:val="0"/>
        <w:autoSpaceDE w:val="0"/>
        <w:autoSpaceDN w:val="0"/>
        <w:adjustRightInd w:val="0"/>
        <w:snapToGrid w:val="0"/>
        <w:spacing w:line="570" w:lineRule="exact"/>
        <w:ind w:firstLine="641"/>
        <w:rPr>
          <w:rFonts w:ascii="Times New Roman" w:hAnsi="Times New Roman" w:eastAsia="方正楷体_GBK"/>
          <w:snapToGrid w:val="0"/>
          <w:kern w:val="0"/>
          <w:sz w:val="32"/>
          <w:szCs w:val="32"/>
        </w:rPr>
      </w:pPr>
      <w:r>
        <w:rPr>
          <w:rFonts w:ascii="Times New Roman" w:hAnsi="Times New Roman" w:eastAsia="方正楷体_GBK"/>
          <w:snapToGrid w:val="0"/>
          <w:kern w:val="0"/>
          <w:sz w:val="32"/>
          <w:szCs w:val="32"/>
        </w:rPr>
        <w:t>（二）外贸创新行动</w:t>
      </w:r>
    </w:p>
    <w:p>
      <w:pPr>
        <w:overflowPunct w:val="0"/>
        <w:autoSpaceDE w:val="0"/>
        <w:autoSpaceDN w:val="0"/>
        <w:adjustRightInd w:val="0"/>
        <w:snapToGrid w:val="0"/>
        <w:spacing w:after="80" w:line="570" w:lineRule="exact"/>
        <w:ind w:firstLine="641"/>
        <w:rPr>
          <w:rFonts w:ascii="Times New Roman" w:hAnsi="Times New Roman" w:eastAsia="仿宋_GB2312"/>
          <w:sz w:val="32"/>
          <w:szCs w:val="32"/>
        </w:rPr>
      </w:pPr>
      <w:r>
        <w:rPr>
          <w:rFonts w:ascii="Times New Roman" w:hAnsi="Times New Roman" w:eastAsia="方正仿宋_GBK"/>
          <w:snapToGrid w:val="0"/>
          <w:kern w:val="0"/>
          <w:sz w:val="32"/>
          <w:szCs w:val="32"/>
        </w:rPr>
        <w:t>1. 创新外贸发展业态。实施“互联网+外贸”战略，大力发展跨境电商、综合保税区、外贸综合服务企业、进口交易中心，促进维修服务、物流分拨、研发设计等新业态发展。加快跨境电子商务综合试验区建设，进一步开通和完善跨境电商四种业务模式，重点培育一批有实力的跨境电商运营主体，加快推进以跨境电商交易平台服务、物流配送、电子支付为重点的跨境电商服务业发展，完善跨境电商便利化物流通关环境，加快做大我市跨境电商产业规模。打造国际贸易供应链平台，鼓励和支持企业通过建立公共海外仓等方式进一步完善国际营销服务网络体系，千方百计拓展外贸渠道，积极培育外贸新增长点。</w:t>
      </w:r>
    </w:p>
    <w:tbl>
      <w:tblPr>
        <w:tblStyle w:val="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07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969" w:hRule="atLeast"/>
          <w:jc w:val="center"/>
        </w:trPr>
        <w:tc>
          <w:tcPr>
            <w:tcW w:w="9072" w:type="dxa"/>
            <w:noWrap w:val="0"/>
            <w:vAlign w:val="top"/>
          </w:tcPr>
          <w:p>
            <w:pPr>
              <w:spacing w:line="520" w:lineRule="exact"/>
              <w:contextualSpacing/>
              <w:jc w:val="center"/>
              <w:rPr>
                <w:rFonts w:ascii="Times New Roman" w:hAnsi="Times New Roman" w:eastAsia="方正黑体_GBK"/>
                <w:kern w:val="0"/>
                <w:sz w:val="28"/>
                <w:szCs w:val="28"/>
              </w:rPr>
            </w:pPr>
            <w:r>
              <w:rPr>
                <w:rFonts w:ascii="Times New Roman" w:hAnsi="Times New Roman" w:eastAsia="方正黑体_GBK"/>
                <w:kern w:val="0"/>
                <w:sz w:val="28"/>
                <w:szCs w:val="28"/>
              </w:rPr>
              <w:t>专栏：中国（常州）跨境电子商务综合试验区</w:t>
            </w:r>
          </w:p>
          <w:p>
            <w:pPr>
              <w:overflowPunct w:val="0"/>
              <w:adjustRightInd w:val="0"/>
              <w:snapToGrid w:val="0"/>
              <w:spacing w:line="520" w:lineRule="exact"/>
              <w:ind w:firstLine="561"/>
              <w:rPr>
                <w:rFonts w:ascii="Times New Roman" w:hAnsi="Times New Roman" w:eastAsia="方正仿宋_GBK"/>
                <w:snapToGrid w:val="0"/>
                <w:kern w:val="0"/>
                <w:sz w:val="28"/>
                <w:szCs w:val="28"/>
              </w:rPr>
            </w:pPr>
            <w:r>
              <w:rPr>
                <w:rFonts w:ascii="Times New Roman" w:hAnsi="Times New Roman" w:eastAsia="方正仿宋_GBK"/>
                <w:snapToGrid w:val="0"/>
                <w:kern w:val="0"/>
                <w:sz w:val="28"/>
                <w:szCs w:val="28"/>
              </w:rPr>
              <w:t>2020年5月常州获批成为跨境电子商务综合试验区城市，我市将跨境电商作为推动外贸高质量发展的重要抓手，出台了《中国（常州）跨境电子商务综合试验区实施方案》，目前跨境电商业务已顺利开通。</w:t>
            </w:r>
          </w:p>
          <w:p>
            <w:pPr>
              <w:adjustRightInd w:val="0"/>
              <w:snapToGrid w:val="0"/>
              <w:spacing w:line="520" w:lineRule="exact"/>
              <w:ind w:firstLine="561"/>
              <w:rPr>
                <w:rFonts w:ascii="Times New Roman" w:hAnsi="Times New Roman" w:eastAsia="仿宋_GB2312"/>
                <w:sz w:val="32"/>
                <w:szCs w:val="32"/>
              </w:rPr>
            </w:pPr>
            <w:r>
              <w:rPr>
                <w:rFonts w:ascii="Times New Roman" w:hAnsi="Times New Roman" w:eastAsia="方正仿宋_GBK"/>
                <w:snapToGrid w:val="0"/>
                <w:kern w:val="0"/>
                <w:sz w:val="28"/>
                <w:szCs w:val="28"/>
              </w:rPr>
              <w:t>“十四五”期间，计划通过3至5年实践探索，力争把常州综试区建设成为以“线上集成+跨境贸易+综合服务”为主要特点，以“物流通关渠道+跨境电商综合服务监管信息系统+金融增值服务”为核心竞争力，“关”“税”“汇”“商”“物”“融”一体化，线上“跨境电商综合服务监管”平台和线下“综合园区”平台相结合，投资贸易便利、监管服务高效、法制环境规范、具有常州特色的跨境电商创新示范基地。推动自贸区联动创新区成为跨境电商新业态、新平台的全新载体，着力在跨境电子商务交易、支付、物流、通关、退税、结汇等环节的技术标准、业务流程、监管模式和信息化建设方面先行先试，重点建设内外贸融合发展体系、智能物流体系、金融服务体系、电商信用体系、信息统计体系、风险防控体系和线上服务平台、线下聚集平台、区域集散平台等“六体系三平台”。</w:t>
            </w:r>
          </w:p>
        </w:tc>
      </w:tr>
    </w:tbl>
    <w:p>
      <w:pPr>
        <w:spacing w:line="540" w:lineRule="exact"/>
        <w:ind w:firstLine="636"/>
        <w:contextualSpacing/>
        <w:rPr>
          <w:rFonts w:ascii="Times New Roman" w:hAnsi="Times New Roman" w:eastAsia="仿宋_GB2312"/>
          <w:sz w:val="32"/>
          <w:szCs w:val="32"/>
        </w:rPr>
      </w:pPr>
    </w:p>
    <w:tbl>
      <w:tblPr>
        <w:tblStyle w:val="3"/>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06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9060" w:type="dxa"/>
            <w:noWrap w:val="0"/>
            <w:vAlign w:val="top"/>
          </w:tcPr>
          <w:p>
            <w:pPr>
              <w:spacing w:line="520" w:lineRule="exact"/>
              <w:contextualSpacing/>
              <w:jc w:val="center"/>
              <w:rPr>
                <w:rFonts w:ascii="Times New Roman" w:hAnsi="Times New Roman" w:eastAsia="方正黑体_GBK"/>
                <w:kern w:val="0"/>
                <w:sz w:val="28"/>
                <w:szCs w:val="28"/>
              </w:rPr>
            </w:pPr>
            <w:r>
              <w:rPr>
                <w:rFonts w:ascii="Times New Roman" w:hAnsi="Times New Roman" w:eastAsia="方正黑体_GBK"/>
                <w:kern w:val="0"/>
                <w:sz w:val="28"/>
                <w:szCs w:val="28"/>
              </w:rPr>
              <w:t>专栏：进口商品交易中心</w:t>
            </w:r>
          </w:p>
          <w:p>
            <w:pPr>
              <w:overflowPunct w:val="0"/>
              <w:autoSpaceDE w:val="0"/>
              <w:autoSpaceDN w:val="0"/>
              <w:adjustRightInd w:val="0"/>
              <w:snapToGrid w:val="0"/>
              <w:spacing w:line="520" w:lineRule="exact"/>
              <w:ind w:firstLine="561"/>
              <w:rPr>
                <w:rFonts w:ascii="Times New Roman" w:hAnsi="Times New Roman" w:eastAsia="方正仿宋_GBK"/>
                <w:kern w:val="0"/>
                <w:sz w:val="32"/>
                <w:szCs w:val="32"/>
              </w:rPr>
            </w:pPr>
            <w:r>
              <w:rPr>
                <w:rFonts w:ascii="Times New Roman" w:hAnsi="Times New Roman" w:eastAsia="方正仿宋_GBK"/>
                <w:snapToGrid w:val="0"/>
                <w:kern w:val="0"/>
                <w:sz w:val="28"/>
                <w:szCs w:val="28"/>
              </w:rPr>
              <w:t>目前，全市共有10家进口商品交易中心试点。“十四五”期间，我市将更好发挥试点的示范作用，做大做强进口交易中心，把交易中心打造成我市外贸进口的新引擎和新高地。活用“互联网+”，创新运营模式，提高试点企业竞争力，实时接入政府监管、仓储监管及大数据、云计算、物联网等，力争实现线上线下无缝对接，提高商品流通效率，降低进口交易成本，提升进口质效。加强进口交易中心和跨境电商、海外仓等外贸新业态的联动发展，拓宽进口渠道，扩大进口份额，优化进口结构。</w:t>
            </w:r>
          </w:p>
        </w:tc>
      </w:tr>
    </w:tbl>
    <w:p>
      <w:pPr>
        <w:overflowPunct w:val="0"/>
        <w:autoSpaceDE w:val="0"/>
        <w:autoSpaceDN w:val="0"/>
        <w:adjustRightInd w:val="0"/>
        <w:snapToGrid w:val="0"/>
        <w:spacing w:line="570" w:lineRule="exact"/>
        <w:ind w:firstLine="641"/>
        <w:rPr>
          <w:rFonts w:ascii="Times New Roman" w:hAnsi="Times New Roman" w:eastAsia="方正仿宋_GBK"/>
          <w:sz w:val="32"/>
          <w:szCs w:val="32"/>
        </w:rPr>
      </w:pPr>
      <w:r>
        <w:rPr>
          <w:rFonts w:ascii="Times New Roman" w:hAnsi="Times New Roman" w:eastAsia="方正仿宋_GBK"/>
          <w:sz w:val="32"/>
          <w:szCs w:val="32"/>
        </w:rPr>
        <w:t>2. 推进内外贸融合发展。以“促消费、扩进口”为出发点，深入推进商贸流通和对外贸易融合发展。认真落实国家关于支持出口转内销的政策措施，帮助和引导有条件的外贸企业拓展国内市场，积极搭建供需对接平台，促进国际国内标准转换和衔接，鼓励企业采用电子商务、网红经济、直播带货等形式开展产品内销，推动国内国际双循环互相促进。支持有条件的商贸流通企业走出去，建设境外营销、支付结算和物流服务网络，开展外贸业务。</w:t>
      </w:r>
    </w:p>
    <w:p>
      <w:pPr>
        <w:overflowPunct w:val="0"/>
        <w:autoSpaceDE w:val="0"/>
        <w:autoSpaceDN w:val="0"/>
        <w:adjustRightInd w:val="0"/>
        <w:snapToGrid w:val="0"/>
        <w:spacing w:line="570" w:lineRule="exact"/>
        <w:ind w:firstLine="641"/>
        <w:rPr>
          <w:rFonts w:ascii="Times New Roman" w:hAnsi="Times New Roman" w:eastAsia="方正仿宋_GBK"/>
          <w:sz w:val="32"/>
          <w:szCs w:val="32"/>
        </w:rPr>
      </w:pPr>
      <w:r>
        <w:rPr>
          <w:rFonts w:ascii="Times New Roman" w:hAnsi="Times New Roman" w:eastAsia="方正仿宋_GBK"/>
          <w:sz w:val="32"/>
          <w:szCs w:val="32"/>
        </w:rPr>
        <w:t>3. 推动服务贸易创新发展。推动文化贸易、技术贸易等知识密集型服贸领域发展，争取创成国家服务外包示范城市和国家文化出口基地。引导企业用好国家服务贸易创新发展母（子）基金和信用保险，培育一批本土服务贸易龙头企业和园区，壮大市场主体。大力支持服务贸易公共平台建设，依托“大、物、移、云”等新技术，支持建设一批技术支撑和服务功能突出的服务贸易（服务外包）创新平台、贸易促进和交易平台、公共技术服务平台等。</w:t>
      </w:r>
    </w:p>
    <w:p>
      <w:pPr>
        <w:overflowPunct w:val="0"/>
        <w:autoSpaceDE w:val="0"/>
        <w:autoSpaceDN w:val="0"/>
        <w:adjustRightInd w:val="0"/>
        <w:snapToGrid w:val="0"/>
        <w:spacing w:after="80" w:line="570" w:lineRule="exact"/>
        <w:ind w:firstLine="641"/>
        <w:rPr>
          <w:rFonts w:ascii="Times New Roman" w:hAnsi="Times New Roman" w:eastAsia="仿宋_GB2312"/>
          <w:sz w:val="32"/>
          <w:szCs w:val="32"/>
        </w:rPr>
      </w:pPr>
      <w:r>
        <w:rPr>
          <w:rFonts w:ascii="Times New Roman" w:hAnsi="Times New Roman" w:eastAsia="方正仿宋_GBK"/>
          <w:sz w:val="32"/>
          <w:szCs w:val="32"/>
        </w:rPr>
        <w:t>4. 推动会展经济跨越突破。强化会展业与制造业及文化、旅游、体育等产业融合发展，推进“互联网+展览”，做强做优中国常州科技经贸洽谈会、世界工业和能源互联网博览会等专业展会，培育国内外知名专业会展品牌，</w:t>
      </w:r>
      <w:r>
        <w:rPr>
          <w:rFonts w:ascii="Times New Roman" w:hAnsi="Times New Roman" w:eastAsia="方正仿宋_GBK"/>
          <w:bCs/>
          <w:sz w:val="32"/>
          <w:szCs w:val="32"/>
        </w:rPr>
        <w:t>推动我市成为有一定影响力的行业性特色会展城市。</w:t>
      </w:r>
      <w:r>
        <w:rPr>
          <w:rFonts w:ascii="Times New Roman" w:hAnsi="Times New Roman" w:eastAsia="方正仿宋_GBK"/>
          <w:sz w:val="32"/>
          <w:szCs w:val="32"/>
        </w:rPr>
        <w:t>加快建设高铁新城国际会展中心、西太湖国际会展中心、曹山未来城国际会议中心、中国（常州）德国中心等会场展馆，高水平打造集展览会议、展示推介、经贸洽谈、文化交流于一体的高端会展平台，提升城市影响力和美誉度。</w:t>
      </w:r>
    </w:p>
    <w:tbl>
      <w:tblPr>
        <w:tblStyle w:val="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06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31" w:hRule="atLeast"/>
          <w:jc w:val="center"/>
        </w:trPr>
        <w:tc>
          <w:tcPr>
            <w:tcW w:w="9060" w:type="dxa"/>
            <w:noWrap w:val="0"/>
            <w:vAlign w:val="top"/>
          </w:tcPr>
          <w:p>
            <w:pPr>
              <w:spacing w:line="500" w:lineRule="exact"/>
              <w:contextualSpacing/>
              <w:jc w:val="center"/>
              <w:rPr>
                <w:rFonts w:ascii="Times New Roman" w:hAnsi="Times New Roman" w:eastAsia="方正黑体_GBK"/>
                <w:kern w:val="0"/>
                <w:sz w:val="28"/>
                <w:szCs w:val="28"/>
              </w:rPr>
            </w:pPr>
            <w:r>
              <w:rPr>
                <w:rFonts w:ascii="Times New Roman" w:hAnsi="Times New Roman" w:eastAsia="方正黑体_GBK"/>
                <w:kern w:val="0"/>
                <w:sz w:val="28"/>
                <w:szCs w:val="28"/>
              </w:rPr>
              <w:t>专栏：常州争创国家文化出口基地情况</w:t>
            </w:r>
          </w:p>
          <w:p>
            <w:pPr>
              <w:adjustRightInd w:val="0"/>
              <w:snapToGrid w:val="0"/>
              <w:spacing w:line="520" w:lineRule="exact"/>
              <w:ind w:firstLine="560" w:firstLineChars="200"/>
              <w:rPr>
                <w:rFonts w:ascii="Times New Roman" w:hAnsi="Times New Roman" w:eastAsia="方正仿宋_GBK"/>
                <w:sz w:val="32"/>
                <w:szCs w:val="32"/>
              </w:rPr>
            </w:pPr>
            <w:r>
              <w:rPr>
                <w:rFonts w:ascii="Times New Roman" w:hAnsi="Times New Roman" w:eastAsia="方正仿宋_GBK"/>
                <w:snapToGrid w:val="0"/>
                <w:kern w:val="0"/>
                <w:sz w:val="28"/>
                <w:szCs w:val="28"/>
              </w:rPr>
              <w:t>常州将围绕国家出口基地创建，按照融合发展、聚焦产业、载体带动、开放合作的原则，实施“文化+”战略，努力培育一批具有较强竞争力的文化出口企业，不断释放文化出口潜力，扩大文化出口规模，提升文化出口质量，把文化出口作为常州外贸转型升级和服务贸易创新发展的重要方向。力争到2025年，文化产业增加值占地区生产总值的比重达到6%，文化贸易稳步增长。进一步扩大影视版权交易、动漫游戏创作、文化创意设计等新兴领域的出口规模，力争到2025年占比达到文化出口的10%。力争引进和培育文化服务出口1000万美元以上的企业3家、出口100万美元以上的企业20家。国际市场开拓力度进一步加强，与欧盟、日本、韩国、“一带一路”新兴市场国家的文化贸易合作水平明显提升，“常州文化”的国际竞争力和城市品牌影响力明显提升。</w:t>
            </w:r>
          </w:p>
        </w:tc>
      </w:tr>
    </w:tbl>
    <w:p>
      <w:pPr>
        <w:adjustRightInd w:val="0"/>
        <w:snapToGrid w:val="0"/>
        <w:spacing w:line="500" w:lineRule="exact"/>
        <w:ind w:firstLine="641"/>
        <w:jc w:val="left"/>
        <w:rPr>
          <w:rFonts w:ascii="Times New Roman" w:hAnsi="Times New Roman" w:eastAsia="黑体"/>
          <w:kern w:val="0"/>
          <w:sz w:val="32"/>
          <w:szCs w:val="32"/>
        </w:rPr>
      </w:pPr>
    </w:p>
    <w:tbl>
      <w:tblPr>
        <w:tblStyle w:val="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06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9060" w:type="dxa"/>
            <w:noWrap w:val="0"/>
            <w:vAlign w:val="top"/>
          </w:tcPr>
          <w:p>
            <w:pPr>
              <w:spacing w:line="500" w:lineRule="exact"/>
              <w:contextualSpacing/>
              <w:jc w:val="center"/>
              <w:rPr>
                <w:rFonts w:ascii="Times New Roman" w:hAnsi="Times New Roman" w:eastAsia="方正黑体_GBK"/>
                <w:kern w:val="0"/>
                <w:sz w:val="28"/>
                <w:szCs w:val="28"/>
              </w:rPr>
            </w:pPr>
            <w:r>
              <w:rPr>
                <w:rFonts w:ascii="Times New Roman" w:hAnsi="Times New Roman" w:eastAsia="方正黑体_GBK"/>
                <w:kern w:val="0"/>
                <w:sz w:val="28"/>
                <w:szCs w:val="28"/>
              </w:rPr>
              <w:t>专栏：常州会展经济发展情况</w:t>
            </w:r>
          </w:p>
          <w:p>
            <w:pPr>
              <w:overflowPunct w:val="0"/>
              <w:autoSpaceDE w:val="0"/>
              <w:autoSpaceDN w:val="0"/>
              <w:adjustRightInd w:val="0"/>
              <w:snapToGrid w:val="0"/>
              <w:spacing w:line="520" w:lineRule="exact"/>
              <w:ind w:firstLine="561"/>
              <w:rPr>
                <w:rFonts w:ascii="Times New Roman" w:hAnsi="Times New Roman" w:eastAsia="方正仿宋_GBK"/>
                <w:b/>
                <w:snapToGrid w:val="0"/>
                <w:kern w:val="0"/>
                <w:sz w:val="32"/>
                <w:szCs w:val="32"/>
              </w:rPr>
            </w:pPr>
            <w:r>
              <w:rPr>
                <w:rFonts w:ascii="Times New Roman" w:hAnsi="Times New Roman" w:eastAsia="方正仿宋_GBK"/>
                <w:snapToGrid w:val="0"/>
                <w:kern w:val="0"/>
                <w:sz w:val="28"/>
                <w:szCs w:val="28"/>
              </w:rPr>
              <w:t>目前，常州共有会议及展览服务主体287家，约占全省的6%，年销售收入约12.2亿元。拥有常州国际会展中心和常州西太湖国际博览中心两个专业展馆。2020年，我市出台了《常州市关于加快会展业发展的若干政策措施》，这是我市出台的第一个会展业扶持政策，并设立了专项资金。“十四五”期间，我市将基本建成结构优化、布局合理、功能完善、机制健全、服务优良的会展业发展体系，全市年均举办各类会展活动超过150场，展览总面积突破30万平方米；重点打造本土品牌展览和高端会议5—10个；引进国内品牌展会和会议各1个；培育1—2家年销售收入超5000万的龙头会展企业；引进1—2家国内外知名会展企业落户或设立分支机构。全市会展业收益逐年增加，会展经济对全市经济增长贡献率显著提高。</w:t>
            </w:r>
          </w:p>
        </w:tc>
      </w:tr>
    </w:tbl>
    <w:p>
      <w:pPr>
        <w:overflowPunct w:val="0"/>
        <w:autoSpaceDE w:val="0"/>
        <w:autoSpaceDN w:val="0"/>
        <w:adjustRightInd w:val="0"/>
        <w:snapToGrid w:val="0"/>
        <w:spacing w:line="570" w:lineRule="exact"/>
        <w:ind w:firstLine="641"/>
        <w:rPr>
          <w:rFonts w:ascii="Times New Roman" w:hAnsi="Times New Roman" w:eastAsia="方正楷体_GBK"/>
          <w:snapToGrid w:val="0"/>
          <w:kern w:val="0"/>
          <w:sz w:val="32"/>
          <w:szCs w:val="32"/>
        </w:rPr>
      </w:pPr>
      <w:r>
        <w:rPr>
          <w:rFonts w:ascii="Times New Roman" w:hAnsi="Times New Roman" w:eastAsia="方正楷体_GBK"/>
          <w:snapToGrid w:val="0"/>
          <w:kern w:val="0"/>
          <w:sz w:val="32"/>
          <w:szCs w:val="32"/>
        </w:rPr>
        <w:t>（三）外贸护航行动</w:t>
      </w:r>
    </w:p>
    <w:p>
      <w:pPr>
        <w:overflowPunct w:val="0"/>
        <w:autoSpaceDE w:val="0"/>
        <w:autoSpaceDN w:val="0"/>
        <w:adjustRightInd w:val="0"/>
        <w:snapToGrid w:val="0"/>
        <w:spacing w:line="570" w:lineRule="exact"/>
        <w:ind w:firstLine="641"/>
        <w:rPr>
          <w:rFonts w:ascii="Times New Roman" w:hAnsi="Times New Roman" w:eastAsia="方正仿宋_GBK"/>
          <w:sz w:val="32"/>
          <w:szCs w:val="32"/>
        </w:rPr>
      </w:pPr>
      <w:r>
        <w:rPr>
          <w:rFonts w:ascii="Times New Roman" w:hAnsi="Times New Roman" w:eastAsia="方正仿宋_GBK"/>
          <w:sz w:val="32"/>
          <w:szCs w:val="32"/>
        </w:rPr>
        <w:t>1. 政策护航。贯彻落实国家、省各项外贸政策措施，制定完善我市支持外贸企业发展的扶持政策，用足用好一般纳税人资格试点、轨道交通进境维修、跨境电商综合试验区等试点，帮助外贸企业争取各类资金，有效发挥财政资金引导、扶持和杠杆作用。</w:t>
      </w:r>
    </w:p>
    <w:p>
      <w:pPr>
        <w:overflowPunct w:val="0"/>
        <w:autoSpaceDE w:val="0"/>
        <w:autoSpaceDN w:val="0"/>
        <w:adjustRightInd w:val="0"/>
        <w:snapToGrid w:val="0"/>
        <w:spacing w:line="570" w:lineRule="exact"/>
        <w:ind w:firstLine="641"/>
        <w:rPr>
          <w:rFonts w:ascii="Times New Roman" w:hAnsi="Times New Roman" w:eastAsia="方正仿宋_GBK"/>
          <w:sz w:val="32"/>
          <w:szCs w:val="32"/>
        </w:rPr>
      </w:pPr>
      <w:r>
        <w:rPr>
          <w:rFonts w:ascii="Times New Roman" w:hAnsi="Times New Roman" w:eastAsia="方正仿宋_GBK"/>
          <w:sz w:val="32"/>
          <w:szCs w:val="32"/>
        </w:rPr>
        <w:t>2. 金融护航。积极协调推进银企对接，进一步发挥好“外贸贷”作用，帮助外贸企业拓宽融资渠道，缓解融资难融资贵问题。</w:t>
      </w:r>
    </w:p>
    <w:p>
      <w:pPr>
        <w:overflowPunct w:val="0"/>
        <w:autoSpaceDE w:val="0"/>
        <w:autoSpaceDN w:val="0"/>
        <w:adjustRightInd w:val="0"/>
        <w:snapToGrid w:val="0"/>
        <w:spacing w:line="570" w:lineRule="exact"/>
        <w:ind w:firstLine="641"/>
        <w:rPr>
          <w:rFonts w:ascii="Times New Roman" w:hAnsi="Times New Roman" w:eastAsia="方正仿宋_GBK"/>
          <w:sz w:val="32"/>
          <w:szCs w:val="32"/>
        </w:rPr>
      </w:pPr>
      <w:r>
        <w:rPr>
          <w:rFonts w:ascii="Times New Roman" w:hAnsi="Times New Roman" w:eastAsia="方正仿宋_GBK"/>
          <w:sz w:val="32"/>
          <w:szCs w:val="32"/>
        </w:rPr>
        <w:t>3. 信保护航。进一步发挥好政策性出口信用保险“统保平台”作用，继续扩大出口信用保险扶持范围，有效帮助出口企业开拓市场。</w:t>
      </w:r>
    </w:p>
    <w:p>
      <w:pPr>
        <w:overflowPunct w:val="0"/>
        <w:autoSpaceDE w:val="0"/>
        <w:autoSpaceDN w:val="0"/>
        <w:adjustRightInd w:val="0"/>
        <w:snapToGrid w:val="0"/>
        <w:spacing w:line="570" w:lineRule="exact"/>
        <w:ind w:firstLine="641"/>
        <w:rPr>
          <w:rFonts w:ascii="Times New Roman" w:hAnsi="Times New Roman" w:eastAsia="方正仿宋_GBK"/>
          <w:sz w:val="32"/>
          <w:szCs w:val="32"/>
        </w:rPr>
      </w:pPr>
      <w:r>
        <w:rPr>
          <w:rFonts w:ascii="Times New Roman" w:hAnsi="Times New Roman" w:eastAsia="方正仿宋_GBK"/>
          <w:sz w:val="32"/>
          <w:szCs w:val="32"/>
        </w:rPr>
        <w:t>4. 专利护航。以出口产品专利保护为切入口，分期分批为有需求的外贸企业提供保姆式服务，引导和规范外贸企业加强专利风险防范、重视规避设计开发风险、培育自有专利产品出口。</w:t>
      </w:r>
    </w:p>
    <w:p>
      <w:pPr>
        <w:overflowPunct w:val="0"/>
        <w:autoSpaceDE w:val="0"/>
        <w:autoSpaceDN w:val="0"/>
        <w:adjustRightInd w:val="0"/>
        <w:snapToGrid w:val="0"/>
        <w:spacing w:line="570" w:lineRule="exact"/>
        <w:ind w:firstLine="641"/>
        <w:rPr>
          <w:rFonts w:ascii="Times New Roman" w:hAnsi="Times New Roman" w:eastAsia="方正仿宋_GBK"/>
          <w:sz w:val="32"/>
          <w:szCs w:val="32"/>
        </w:rPr>
      </w:pPr>
      <w:r>
        <w:rPr>
          <w:rFonts w:ascii="Times New Roman" w:hAnsi="Times New Roman" w:eastAsia="方正仿宋_GBK"/>
          <w:sz w:val="32"/>
          <w:szCs w:val="32"/>
        </w:rPr>
        <w:t>在专利服务的基础上，引导外贸企业合规经营、合规贸易，通过组织培训、培育典型等方式，使外贸企业熟悉国际规则，合规开展生产经营和贸易活动，避免贸易“违规”事件发生。</w:t>
      </w:r>
    </w:p>
    <w:p>
      <w:pPr>
        <w:overflowPunct w:val="0"/>
        <w:autoSpaceDE w:val="0"/>
        <w:autoSpaceDN w:val="0"/>
        <w:adjustRightInd w:val="0"/>
        <w:snapToGrid w:val="0"/>
        <w:spacing w:line="570" w:lineRule="exact"/>
        <w:ind w:firstLine="641"/>
        <w:rPr>
          <w:rFonts w:ascii="Times New Roman" w:hAnsi="Times New Roman" w:eastAsia="方正仿宋_GBK"/>
          <w:sz w:val="32"/>
          <w:szCs w:val="32"/>
        </w:rPr>
      </w:pPr>
      <w:r>
        <w:rPr>
          <w:rFonts w:ascii="Times New Roman" w:hAnsi="Times New Roman" w:eastAsia="方正仿宋_GBK"/>
          <w:sz w:val="32"/>
          <w:szCs w:val="32"/>
        </w:rPr>
        <w:t>5. 法律护航。继续发挥“贸易预警灯”微信公众号平台作用，健全贸易摩擦应对机制，加强对重点国别、重点产业的安全预警监测，积极运用贸易救济措施，保障产业安全。进一步建强常州商事法律专家委员会和涉外商事法律服务中心等法律服务平台，拓展法律服务功能，提升法律服务效能，有效帮助企业预防、化解国际经贸风险与摩擦。</w:t>
      </w:r>
    </w:p>
    <w:p>
      <w:pPr>
        <w:overflowPunct w:val="0"/>
        <w:autoSpaceDE w:val="0"/>
        <w:autoSpaceDN w:val="0"/>
        <w:adjustRightInd w:val="0"/>
        <w:snapToGrid w:val="0"/>
        <w:spacing w:line="570" w:lineRule="exact"/>
        <w:ind w:firstLine="641"/>
        <w:rPr>
          <w:rFonts w:ascii="Times New Roman" w:hAnsi="Times New Roman" w:eastAsia="方正仿宋_GBK"/>
          <w:sz w:val="32"/>
          <w:szCs w:val="32"/>
        </w:rPr>
      </w:pPr>
      <w:r>
        <w:rPr>
          <w:rFonts w:ascii="Times New Roman" w:hAnsi="Times New Roman" w:eastAsia="方正仿宋_GBK"/>
          <w:sz w:val="32"/>
          <w:szCs w:val="32"/>
        </w:rPr>
        <w:t>6. 服务护航。开展外贸企业大走访活动，坚持对美出口企业挂钩联系制度、订单监测月报制度，对重点外贸企业实施“一企一策”，及时解决和缓解企业实际困难。健全贸易摩擦应对机制，保障企业合法权益。</w:t>
      </w:r>
    </w:p>
    <w:p>
      <w:pPr>
        <w:overflowPunct w:val="0"/>
        <w:autoSpaceDE w:val="0"/>
        <w:autoSpaceDN w:val="0"/>
        <w:adjustRightInd w:val="0"/>
        <w:snapToGrid w:val="0"/>
        <w:spacing w:line="570" w:lineRule="exact"/>
        <w:ind w:firstLine="641"/>
        <w:rPr>
          <w:rFonts w:ascii="Times New Roman" w:hAnsi="Times New Roman" w:eastAsia="方正黑体_GBK"/>
          <w:snapToGrid w:val="0"/>
          <w:kern w:val="0"/>
          <w:sz w:val="32"/>
          <w:szCs w:val="32"/>
        </w:rPr>
      </w:pPr>
      <w:r>
        <w:rPr>
          <w:rFonts w:ascii="Times New Roman" w:hAnsi="Times New Roman" w:eastAsia="方正黑体_GBK"/>
          <w:snapToGrid w:val="0"/>
          <w:kern w:val="0"/>
          <w:sz w:val="32"/>
          <w:szCs w:val="32"/>
        </w:rPr>
        <w:t>七、内外联动，推动企业更好“走出去”</w:t>
      </w:r>
    </w:p>
    <w:p>
      <w:pPr>
        <w:overflowPunct w:val="0"/>
        <w:autoSpaceDE w:val="0"/>
        <w:autoSpaceDN w:val="0"/>
        <w:adjustRightInd w:val="0"/>
        <w:snapToGrid w:val="0"/>
        <w:spacing w:line="570" w:lineRule="exact"/>
        <w:ind w:firstLine="641"/>
        <w:rPr>
          <w:rFonts w:ascii="Times New Roman" w:hAnsi="Times New Roman" w:eastAsia="方正仿宋_GBK"/>
          <w:sz w:val="32"/>
          <w:szCs w:val="32"/>
        </w:rPr>
      </w:pPr>
      <w:r>
        <w:rPr>
          <w:rFonts w:ascii="Times New Roman" w:hAnsi="Times New Roman" w:eastAsia="方正仿宋_GBK"/>
          <w:sz w:val="32"/>
          <w:szCs w:val="32"/>
        </w:rPr>
        <w:t>主动参与“一带一路”交汇点建设，以企业为主体，以市场为导向，支持企业高水平“走出去”，促进“走出去”和“引进来”协调发展，提高我市双向开放水平。</w:t>
      </w:r>
    </w:p>
    <w:p>
      <w:pPr>
        <w:overflowPunct w:val="0"/>
        <w:autoSpaceDE w:val="0"/>
        <w:autoSpaceDN w:val="0"/>
        <w:adjustRightInd w:val="0"/>
        <w:snapToGrid w:val="0"/>
        <w:spacing w:line="570" w:lineRule="exact"/>
        <w:ind w:firstLine="641"/>
        <w:rPr>
          <w:rFonts w:ascii="Times New Roman" w:hAnsi="Times New Roman" w:eastAsia="方正仿宋_GBK"/>
          <w:sz w:val="32"/>
          <w:szCs w:val="32"/>
        </w:rPr>
      </w:pPr>
      <w:r>
        <w:rPr>
          <w:rFonts w:ascii="Times New Roman" w:hAnsi="Times New Roman" w:eastAsia="方正楷体_GBK"/>
          <w:snapToGrid w:val="0"/>
          <w:kern w:val="0"/>
          <w:sz w:val="32"/>
          <w:szCs w:val="32"/>
        </w:rPr>
        <w:t>（一）推动“一带一路”合作。</w:t>
      </w:r>
      <w:r>
        <w:rPr>
          <w:rFonts w:ascii="Times New Roman" w:hAnsi="Times New Roman" w:eastAsia="方正仿宋_GBK"/>
          <w:sz w:val="32"/>
          <w:szCs w:val="32"/>
        </w:rPr>
        <w:t>抢抓RCEP签署机遇，引导企业以“一带一路”为重点优化全球资源配置，以纺织、化工、建材、光伏等我市传统优势行业为重点行业，以投资、工程建设和技术合作为主要方式，以与我市装备和产能契合度高、合作意愿强烈、合作条件和基础好的发展中国家为重点，积极开展产能合作，转移富余产能。着力引导对外承包工程向高端化、多元化延伸，鼓励企业开展EPC、BOT等模式的对外工程承包，重点拓展光伏电站、环保设备、轨道交通等新业态的对外承包工程，通过对外承包工程带动大型成套设备、一般商品和技术、标准出口。</w:t>
      </w:r>
    </w:p>
    <w:p>
      <w:pPr>
        <w:overflowPunct w:val="0"/>
        <w:autoSpaceDE w:val="0"/>
        <w:autoSpaceDN w:val="0"/>
        <w:adjustRightInd w:val="0"/>
        <w:snapToGrid w:val="0"/>
        <w:spacing w:line="570" w:lineRule="exact"/>
        <w:ind w:firstLine="641"/>
        <w:rPr>
          <w:rFonts w:ascii="Times New Roman" w:hAnsi="Times New Roman" w:eastAsia="方正仿宋_GBK"/>
          <w:sz w:val="32"/>
          <w:szCs w:val="32"/>
        </w:rPr>
      </w:pPr>
      <w:r>
        <w:rPr>
          <w:rFonts w:ascii="Times New Roman" w:hAnsi="Times New Roman" w:eastAsia="方正楷体_GBK"/>
          <w:snapToGrid w:val="0"/>
          <w:kern w:val="0"/>
          <w:sz w:val="32"/>
          <w:szCs w:val="32"/>
        </w:rPr>
        <w:t>（二）培育本土跨国公司。</w:t>
      </w:r>
      <w:r>
        <w:rPr>
          <w:rFonts w:ascii="Times New Roman" w:hAnsi="Times New Roman" w:eastAsia="方正仿宋_GBK"/>
          <w:sz w:val="32"/>
          <w:szCs w:val="32"/>
        </w:rPr>
        <w:t>支持本土企业高水平“走出去”，坚持“建工厂”与“建市场”、产品输出与产能输出、境外园区建设与物流基地建设相结合，重点支持金昇集团、天合光能、恒立液压、蜂巢能源、中航锂电等规模较大、品牌较好、核心竞争力较强的本地企业到境外经贸自由区、资本密集区、创新活跃区、原料产出区开展经营合作、资本运作，推动常州企业用好全球各类资源，提升核心竞争力和跨国经营能力，加快培育一批具备全球视野和全球资源整合能力的本土跨国公司。进一步加强对跨国并购的支持和引导，鼓励上市公司和龙头骨干企业在全球范围内广泛建立技术、品牌、销售网络和战略资源渠道，通过参股、交叉持股、投资基金等方式建立国际化生产基地、研发设计基地、海外孵化基地，获得关键技术、扩大市场渠道、打造国际品牌，开展跨国并购。</w:t>
      </w:r>
    </w:p>
    <w:p>
      <w:pPr>
        <w:overflowPunct w:val="0"/>
        <w:autoSpaceDE w:val="0"/>
        <w:autoSpaceDN w:val="0"/>
        <w:adjustRightInd w:val="0"/>
        <w:snapToGrid w:val="0"/>
        <w:spacing w:line="570" w:lineRule="exact"/>
        <w:ind w:firstLine="641"/>
        <w:rPr>
          <w:rFonts w:ascii="Times New Roman" w:hAnsi="Times New Roman" w:eastAsia="方正仿宋_GBK"/>
          <w:sz w:val="32"/>
          <w:szCs w:val="32"/>
        </w:rPr>
      </w:pPr>
      <w:r>
        <w:rPr>
          <w:rFonts w:ascii="Times New Roman" w:hAnsi="Times New Roman" w:eastAsia="方正楷体_GBK"/>
          <w:snapToGrid w:val="0"/>
          <w:kern w:val="0"/>
          <w:sz w:val="32"/>
          <w:szCs w:val="32"/>
        </w:rPr>
        <w:t>（三）推动境外园区建设。</w:t>
      </w:r>
      <w:r>
        <w:rPr>
          <w:rFonts w:ascii="Times New Roman" w:hAnsi="Times New Roman" w:eastAsia="方正仿宋_GBK"/>
          <w:sz w:val="32"/>
          <w:szCs w:val="32"/>
        </w:rPr>
        <w:t>鼓励引导更多有实力的企业赴海外建设经贸合作区，设立海外生产基地、营销中心、研发设计中心、物流基地。引导“走出去”企业实行跨地区、跨行业联合，集群式对外投资，在“一带一路”沿线乃至更广范围打造更多对外经贸合作的“样板园区”。大力支持金昇乌兹别克斯坦纺织工业园、天合光能国际产业园、天虹越南纺织工业园、中罗绿色建材产业园等境外园区建设与发展，探索市内开发区与境外经贸合作园区联动，积极申报国家级、省级境外经贸合作区，不断拓展企业“走出去”新路径。</w:t>
      </w:r>
    </w:p>
    <w:p>
      <w:pPr>
        <w:overflowPunct w:val="0"/>
        <w:autoSpaceDE w:val="0"/>
        <w:autoSpaceDN w:val="0"/>
        <w:adjustRightInd w:val="0"/>
        <w:snapToGrid w:val="0"/>
        <w:spacing w:line="570" w:lineRule="exact"/>
        <w:ind w:firstLine="641"/>
        <w:rPr>
          <w:rFonts w:ascii="Times New Roman" w:hAnsi="Times New Roman" w:eastAsia="方正仿宋_GBK"/>
          <w:sz w:val="32"/>
          <w:szCs w:val="32"/>
        </w:rPr>
      </w:pPr>
      <w:r>
        <w:rPr>
          <w:rFonts w:ascii="Times New Roman" w:hAnsi="Times New Roman" w:eastAsia="方正楷体_GBK"/>
          <w:snapToGrid w:val="0"/>
          <w:kern w:val="0"/>
          <w:sz w:val="32"/>
          <w:szCs w:val="32"/>
        </w:rPr>
        <w:t>（四）打造支撑服务体系。</w:t>
      </w:r>
      <w:r>
        <w:rPr>
          <w:rFonts w:ascii="Times New Roman" w:hAnsi="Times New Roman" w:eastAsia="方正仿宋_GBK"/>
          <w:sz w:val="32"/>
          <w:szCs w:val="32"/>
        </w:rPr>
        <w:t>进一步完善企业走出去咨询评估、风险防范以及金融、税收、海关、外管、法律等支撑体系，发挥“一带一路”研究院以及省内专业涉外法律机构作用，扩充我市走出去国际化专家库，搭建走出去公共服务平台，促进企业更好更安全地走出去。大力扶持诚信企业加入海关AEO，帮助企业享受国际互认等诚信守法便利措施，提升核心竞争力。帮助和指导企业充分用好省“一带一路”投资基金等各类资源，帮助企业寻求国家、省级层面的资金、项目、政策等方面的支持。依托我市“走出去”重点企业，建设一批集生产、研发、仓储、物流、融资、服务等于一体的功能平台，打造我市布局全球的双向开放战略支点。</w:t>
      </w:r>
    </w:p>
    <w:p>
      <w:pPr>
        <w:overflowPunct w:val="0"/>
        <w:autoSpaceDE w:val="0"/>
        <w:autoSpaceDN w:val="0"/>
        <w:adjustRightInd w:val="0"/>
        <w:snapToGrid w:val="0"/>
        <w:spacing w:line="570" w:lineRule="exact"/>
        <w:ind w:firstLine="641"/>
        <w:rPr>
          <w:rFonts w:ascii="Times New Roman" w:hAnsi="Times New Roman" w:eastAsia="方正黑体_GBK"/>
          <w:snapToGrid w:val="0"/>
          <w:kern w:val="0"/>
          <w:sz w:val="32"/>
          <w:szCs w:val="32"/>
        </w:rPr>
      </w:pPr>
      <w:r>
        <w:rPr>
          <w:rFonts w:ascii="Times New Roman" w:hAnsi="Times New Roman" w:eastAsia="方正黑体_GBK"/>
          <w:snapToGrid w:val="0"/>
          <w:kern w:val="0"/>
          <w:sz w:val="32"/>
          <w:szCs w:val="32"/>
        </w:rPr>
        <w:t>八、整合提升，优化口岸开放功能</w:t>
      </w:r>
    </w:p>
    <w:p>
      <w:pPr>
        <w:overflowPunct w:val="0"/>
        <w:autoSpaceDE w:val="0"/>
        <w:autoSpaceDN w:val="0"/>
        <w:adjustRightInd w:val="0"/>
        <w:snapToGrid w:val="0"/>
        <w:spacing w:line="570" w:lineRule="exact"/>
        <w:ind w:firstLine="641"/>
        <w:rPr>
          <w:rFonts w:ascii="Times New Roman" w:hAnsi="Times New Roman" w:eastAsia="方正仿宋_GBK"/>
          <w:sz w:val="32"/>
          <w:szCs w:val="32"/>
        </w:rPr>
      </w:pPr>
      <w:r>
        <w:rPr>
          <w:rFonts w:ascii="Times New Roman" w:hAnsi="Times New Roman" w:eastAsia="方正楷体_GBK"/>
          <w:snapToGrid w:val="0"/>
          <w:kern w:val="0"/>
          <w:sz w:val="32"/>
          <w:szCs w:val="32"/>
        </w:rPr>
        <w:t>（一）优化口岸布局。</w:t>
      </w:r>
      <w:r>
        <w:rPr>
          <w:rFonts w:ascii="Times New Roman" w:hAnsi="Times New Roman" w:eastAsia="方正仿宋_GBK"/>
          <w:sz w:val="32"/>
          <w:szCs w:val="32"/>
        </w:rPr>
        <w:t>加强口岸与产业、园区、交通等相关规划互融，强化口岸功能与产业经济、综合交通发展互适。统筹考虑水、空、铁口岸发展层次，明确各口岸的定位及发展重点，统筹各口岸发展方向，推进口岸之间的分工合作，协同发展。培育以机场、港口为中心的现代物流枢纽和临港经济园，构建现代、开放、综合的“水陆空”立体交通运输体系，通过多式联运，推动水港、陆港、空港口岸资源要素优化集中，加快形成水陆空联动发展、客货运快速增长的立体口岸体系。</w:t>
      </w:r>
    </w:p>
    <w:p>
      <w:pPr>
        <w:overflowPunct w:val="0"/>
        <w:autoSpaceDE w:val="0"/>
        <w:autoSpaceDN w:val="0"/>
        <w:adjustRightInd w:val="0"/>
        <w:snapToGrid w:val="0"/>
        <w:spacing w:line="570" w:lineRule="exact"/>
        <w:ind w:firstLine="641"/>
        <w:rPr>
          <w:rFonts w:hint="eastAsia" w:ascii="Times New Roman" w:hAnsi="Times New Roman" w:eastAsia="方正仿宋_GBK"/>
          <w:sz w:val="32"/>
          <w:szCs w:val="32"/>
        </w:rPr>
      </w:pPr>
      <w:r>
        <w:rPr>
          <w:rFonts w:ascii="Times New Roman" w:hAnsi="Times New Roman" w:eastAsia="方正楷体_GBK"/>
          <w:snapToGrid w:val="0"/>
          <w:kern w:val="0"/>
          <w:sz w:val="32"/>
          <w:szCs w:val="32"/>
        </w:rPr>
        <w:t>（二）提升口岸功能。</w:t>
      </w:r>
      <w:r>
        <w:rPr>
          <w:rFonts w:ascii="Times New Roman" w:hAnsi="Times New Roman" w:eastAsia="方正仿宋_GBK"/>
          <w:sz w:val="32"/>
          <w:szCs w:val="32"/>
        </w:rPr>
        <w:t>提升机场能级，加快机场二期项目建设，打造精品航线，加快发展全货运国际航线航班，建设空地、空铁一体综合交通体系，形成长三角国际航空运输特色基地。高效整合港口岸线资源，拓展国际运输近洋直航班轮航线，推动常州港至上海港“江海联运”，把常州港建成上海国际航运中心重要组成部分。抢抓全省港口铁路机场一体化发展契机，争取把常州综合港务区纳入省级战略规划。拓展综保区开放功能，推进机场、港口、铁路货运及综保区等资源共享、互联互动，推进金坛港开通海运直航功能，充分发挥“公铁水空+综合保税”区位功能叠加优势，全面建立“一区三港”联动发展体系。</w:t>
      </w:r>
    </w:p>
    <w:p>
      <w:pPr>
        <w:spacing w:line="540" w:lineRule="exact"/>
        <w:ind w:firstLine="641"/>
        <w:jc w:val="left"/>
        <w:rPr>
          <w:rFonts w:ascii="Times New Roman" w:hAnsi="Times New Roman" w:eastAsia="仿宋_GB2312"/>
          <w:snapToGrid w:val="0"/>
          <w:kern w:val="0"/>
          <w:sz w:val="28"/>
          <w:szCs w:val="28"/>
        </w:rPr>
      </w:pPr>
    </w:p>
    <w:tbl>
      <w:tblPr>
        <w:tblStyle w:val="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07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13" w:hRule="atLeast"/>
          <w:jc w:val="center"/>
        </w:trPr>
        <w:tc>
          <w:tcPr>
            <w:tcW w:w="9072" w:type="dxa"/>
            <w:noWrap w:val="0"/>
            <w:vAlign w:val="top"/>
          </w:tcPr>
          <w:p>
            <w:pPr>
              <w:spacing w:line="540" w:lineRule="exact"/>
              <w:jc w:val="center"/>
              <w:rPr>
                <w:rFonts w:ascii="Times New Roman" w:hAnsi="Times New Roman" w:eastAsia="方正黑体_GBK"/>
                <w:snapToGrid w:val="0"/>
                <w:kern w:val="0"/>
                <w:sz w:val="28"/>
                <w:szCs w:val="28"/>
              </w:rPr>
            </w:pPr>
            <w:r>
              <w:rPr>
                <w:rFonts w:ascii="Times New Roman" w:hAnsi="Times New Roman" w:eastAsia="方正黑体_GBK"/>
                <w:kern w:val="0"/>
                <w:sz w:val="28"/>
                <w:szCs w:val="28"/>
              </w:rPr>
              <w:t>专栏：常州综合港务区</w:t>
            </w:r>
          </w:p>
          <w:p>
            <w:pPr>
              <w:overflowPunct w:val="0"/>
              <w:autoSpaceDE w:val="0"/>
              <w:autoSpaceDN w:val="0"/>
              <w:spacing w:line="520" w:lineRule="exact"/>
              <w:ind w:firstLine="560" w:firstLineChars="200"/>
              <w:rPr>
                <w:rFonts w:ascii="Times New Roman" w:hAnsi="Times New Roman" w:eastAsia="方正仿宋_GBK"/>
                <w:sz w:val="28"/>
                <w:szCs w:val="28"/>
              </w:rPr>
            </w:pPr>
            <w:r>
              <w:rPr>
                <w:rFonts w:ascii="Times New Roman" w:hAnsi="Times New Roman" w:eastAsia="方正仿宋_GBK"/>
                <w:snapToGrid w:val="0"/>
                <w:kern w:val="0"/>
                <w:sz w:val="28"/>
                <w:szCs w:val="28"/>
              </w:rPr>
              <w:t>2017年，我市成立常州综合港务区建设领导小组，编制了《常州综合港务区交通基础设施规划》和《常州综合港务区产业发展规划》等规划。“十四五”期间，常州综合港务区将围绕“常州市物流城市建设货运枢纽承载、长三角中轴崛起战略支点”的发展定位，打造“枢纽常州”品牌，从“促进实体流动、引领创新发展”两大维度发力，到2025年基本建成规划、建设、运营高度融合的“三港一区”，初步整合全市物流资源，满足本地企业发展需求，形成物流运输品质高地和价格洼地，具备一定的对外辐射能力，初步实现内贸、外贸苏南中转中心职能。</w:t>
            </w:r>
          </w:p>
        </w:tc>
      </w:tr>
    </w:tbl>
    <w:p>
      <w:pPr>
        <w:spacing w:line="20" w:lineRule="exact"/>
        <w:ind w:firstLine="641"/>
        <w:jc w:val="left"/>
        <w:rPr>
          <w:rFonts w:ascii="Times New Roman" w:hAnsi="Times New Roman" w:eastAsia="仿宋_GB2312"/>
          <w:snapToGrid w:val="0"/>
          <w:kern w:val="0"/>
          <w:sz w:val="28"/>
          <w:szCs w:val="28"/>
        </w:rPr>
      </w:pPr>
      <w:r>
        <w:rPr>
          <w:rFonts w:ascii="Times New Roman" w:hAnsi="Times New Roman" w:eastAsia="仿宋_GB2312"/>
          <w:snapToGrid w:val="0"/>
          <w:kern w:val="0"/>
          <w:sz w:val="28"/>
          <w:szCs w:val="28"/>
        </w:rPr>
        <w:br w:type="page"/>
      </w:r>
    </w:p>
    <w:tbl>
      <w:tblPr>
        <w:tblStyle w:val="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07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9072" w:type="dxa"/>
            <w:noWrap w:val="0"/>
            <w:vAlign w:val="top"/>
          </w:tcPr>
          <w:p>
            <w:pPr>
              <w:spacing w:line="540" w:lineRule="exact"/>
              <w:jc w:val="center"/>
              <w:rPr>
                <w:rFonts w:ascii="Times New Roman" w:hAnsi="Times New Roman" w:eastAsia="方正黑体_GBK"/>
                <w:kern w:val="0"/>
                <w:sz w:val="28"/>
                <w:szCs w:val="28"/>
              </w:rPr>
            </w:pPr>
            <w:r>
              <w:rPr>
                <w:rFonts w:ascii="Times New Roman" w:hAnsi="Times New Roman" w:eastAsia="方正黑体_GBK"/>
                <w:kern w:val="0"/>
                <w:sz w:val="28"/>
                <w:szCs w:val="28"/>
              </w:rPr>
              <w:t>专栏：综合保税区</w:t>
            </w:r>
          </w:p>
          <w:p>
            <w:pPr>
              <w:overflowPunct w:val="0"/>
              <w:autoSpaceDE w:val="0"/>
              <w:autoSpaceDN w:val="0"/>
              <w:spacing w:line="520" w:lineRule="exact"/>
              <w:ind w:firstLine="560" w:firstLineChars="200"/>
              <w:rPr>
                <w:rFonts w:ascii="Times New Roman" w:hAnsi="Times New Roman" w:eastAsia="方正仿宋_GBK"/>
                <w:snapToGrid w:val="0"/>
                <w:kern w:val="0"/>
                <w:sz w:val="28"/>
                <w:szCs w:val="28"/>
              </w:rPr>
            </w:pPr>
            <w:r>
              <w:rPr>
                <w:rFonts w:ascii="Times New Roman" w:hAnsi="Times New Roman" w:eastAsia="方正楷体_GBK"/>
                <w:snapToGrid w:val="0"/>
                <w:kern w:val="0"/>
                <w:sz w:val="28"/>
                <w:szCs w:val="28"/>
              </w:rPr>
              <w:t>1. 常州综合保税区。</w:t>
            </w:r>
            <w:r>
              <w:rPr>
                <w:rFonts w:ascii="Times New Roman" w:hAnsi="Times New Roman" w:eastAsia="方正仿宋_GBK"/>
                <w:snapToGrid w:val="0"/>
                <w:kern w:val="0"/>
                <w:sz w:val="28"/>
                <w:szCs w:val="28"/>
              </w:rPr>
              <w:t>“十四五”期间，常州综保区将围绕加快落实“21”条新政、发挥产业集聚效应、提高区域服务的能力、保障平台载体的稳定和加快推进常州综合港务区建设五方面，坚持稳中求进工作总基调，优化产业结构，加快创新驱动，聚焦重点任务，集聚发展动能，抢抓长三角一体化发展战略机遇，主动研究对接上海“五大发展中心”建设，围绕“航运-贸易-经济”三个层次，探索一体化高质量发展路径。</w:t>
            </w:r>
          </w:p>
          <w:p>
            <w:pPr>
              <w:overflowPunct w:val="0"/>
              <w:autoSpaceDE w:val="0"/>
              <w:autoSpaceDN w:val="0"/>
              <w:spacing w:line="520" w:lineRule="exact"/>
              <w:ind w:firstLine="560" w:firstLineChars="200"/>
              <w:rPr>
                <w:rFonts w:hint="eastAsia" w:ascii="Times New Roman" w:hAnsi="Times New Roman" w:eastAsia="楷体_GB2312"/>
                <w:b/>
                <w:sz w:val="32"/>
                <w:szCs w:val="32"/>
              </w:rPr>
            </w:pPr>
            <w:r>
              <w:rPr>
                <w:rFonts w:ascii="Times New Roman" w:hAnsi="Times New Roman" w:eastAsia="方正楷体_GBK"/>
                <w:snapToGrid w:val="0"/>
                <w:kern w:val="0"/>
                <w:sz w:val="28"/>
                <w:szCs w:val="28"/>
              </w:rPr>
              <w:t>2. 武进综合保税区。</w:t>
            </w:r>
            <w:r>
              <w:rPr>
                <w:rFonts w:ascii="Times New Roman" w:hAnsi="Times New Roman" w:eastAsia="方正仿宋_GBK"/>
                <w:snapToGrid w:val="0"/>
                <w:kern w:val="0"/>
                <w:sz w:val="28"/>
                <w:szCs w:val="28"/>
              </w:rPr>
              <w:t>到2025年，武进综合保税区功能平台逐渐完善，综合实力持续增强，工业产值、实际进出口额等关键指标稳健增长，物流和通关服务进一步便捷优质，“保税+”为特色的保税智造、保税物流、保税贸易和专业增值服务四大产业板块快速成长，保税物流枢纽能级得到大力提升，实现从“区内为主”向“内外联动”转变，打造一个能够辐射常州市的高端加工贸易集聚中心、能够服务高端国际化企业的国际化物流供应链服务中心、能够更好服务常武及周边企业的贸易中心。</w:t>
            </w:r>
          </w:p>
        </w:tc>
      </w:tr>
    </w:tbl>
    <w:p>
      <w:pPr>
        <w:overflowPunct w:val="0"/>
        <w:autoSpaceDE w:val="0"/>
        <w:autoSpaceDN w:val="0"/>
        <w:adjustRightInd w:val="0"/>
        <w:snapToGrid w:val="0"/>
        <w:spacing w:before="80" w:line="570" w:lineRule="exact"/>
        <w:ind w:firstLine="641"/>
        <w:rPr>
          <w:rFonts w:ascii="Times New Roman" w:hAnsi="Times New Roman" w:eastAsia="方正仿宋_GBK"/>
          <w:sz w:val="32"/>
          <w:szCs w:val="32"/>
        </w:rPr>
      </w:pPr>
      <w:r>
        <w:rPr>
          <w:rFonts w:ascii="Times New Roman" w:hAnsi="Times New Roman" w:eastAsia="方正楷体_GBK"/>
          <w:snapToGrid w:val="0"/>
          <w:kern w:val="0"/>
          <w:sz w:val="32"/>
          <w:szCs w:val="32"/>
        </w:rPr>
        <w:t>（三）优化服务效能。</w:t>
      </w:r>
      <w:r>
        <w:rPr>
          <w:rFonts w:ascii="Times New Roman" w:hAnsi="Times New Roman" w:eastAsia="方正仿宋_GBK"/>
          <w:sz w:val="32"/>
          <w:szCs w:val="32"/>
        </w:rPr>
        <w:t>创新通关模式，推进大通关建设，优化通关流程，提升信息化程度，压缩通关时间，提高口岸通关效率，降低口岸物流成本，推动海关特殊监管区域间货物便捷流转。积极推进长三角口岸税收征管、物流监管、保税监管一体化，加快“联动接卸、视同一港”、属地纳税人协同管理等试点步伐，逐步实现“多关如一关”。不断完善综合保税功能平台，培育电商、保税、冷链等国际物流产业链，加快口岸国际货邮业务的发展。在海关特殊监管区域“仓储货物按状态分类监管”制度基础上，将非保税货物范围由“以非报关方式进入海关特殊监管区域，与保税货物集拼、分拨后，实际离境出口或出区返回境内”的非保税货物，扩大至所有不违反海关特殊监管区域管理规定的非保税货物，实现同库共管。建立健全口岸疫情防控、突发事件应急联动机制和处置方案，积极防范口岸安全隐患。</w:t>
      </w:r>
    </w:p>
    <w:p>
      <w:pPr>
        <w:overflowPunct w:val="0"/>
        <w:autoSpaceDE w:val="0"/>
        <w:autoSpaceDN w:val="0"/>
        <w:adjustRightInd w:val="0"/>
        <w:snapToGrid w:val="0"/>
        <w:spacing w:line="570" w:lineRule="exact"/>
        <w:ind w:firstLine="641"/>
        <w:rPr>
          <w:rFonts w:ascii="Times New Roman" w:hAnsi="Times New Roman" w:eastAsia="方正黑体_GBK"/>
          <w:snapToGrid w:val="0"/>
          <w:kern w:val="0"/>
          <w:sz w:val="32"/>
          <w:szCs w:val="32"/>
        </w:rPr>
      </w:pPr>
      <w:r>
        <w:rPr>
          <w:rFonts w:ascii="Times New Roman" w:hAnsi="Times New Roman" w:eastAsia="方正黑体_GBK"/>
          <w:snapToGrid w:val="0"/>
          <w:kern w:val="0"/>
          <w:sz w:val="32"/>
          <w:szCs w:val="32"/>
        </w:rPr>
        <w:t>九、优化环境，提升城市国际化功能</w:t>
      </w:r>
    </w:p>
    <w:p>
      <w:pPr>
        <w:overflowPunct w:val="0"/>
        <w:autoSpaceDE w:val="0"/>
        <w:autoSpaceDN w:val="0"/>
        <w:adjustRightInd w:val="0"/>
        <w:snapToGrid w:val="0"/>
        <w:spacing w:line="570" w:lineRule="exact"/>
        <w:ind w:firstLine="641"/>
        <w:rPr>
          <w:rFonts w:ascii="Times New Roman" w:hAnsi="Times New Roman" w:eastAsia="方正仿宋_GBK"/>
          <w:sz w:val="32"/>
          <w:szCs w:val="32"/>
        </w:rPr>
      </w:pPr>
      <w:r>
        <w:rPr>
          <w:rFonts w:ascii="Times New Roman" w:hAnsi="Times New Roman" w:eastAsia="方正仿宋_GBK"/>
          <w:sz w:val="32"/>
          <w:szCs w:val="32"/>
        </w:rPr>
        <w:t>统筹做好全市国际社区、国际医院、国际学校、国际餐饮等规划布局，结合高铁新城和西太湖产业园、苏澳合作园区建设，推动“一南一北”先行落地若干国际化功能项目。</w:t>
      </w:r>
    </w:p>
    <w:p>
      <w:pPr>
        <w:overflowPunct w:val="0"/>
        <w:autoSpaceDE w:val="0"/>
        <w:autoSpaceDN w:val="0"/>
        <w:adjustRightInd w:val="0"/>
        <w:snapToGrid w:val="0"/>
        <w:spacing w:line="570" w:lineRule="exact"/>
        <w:ind w:firstLine="641"/>
        <w:rPr>
          <w:rFonts w:ascii="Times New Roman" w:hAnsi="Times New Roman" w:eastAsia="方正仿宋_GBK"/>
          <w:sz w:val="32"/>
          <w:szCs w:val="32"/>
        </w:rPr>
      </w:pPr>
      <w:r>
        <w:rPr>
          <w:rFonts w:ascii="Times New Roman" w:hAnsi="Times New Roman" w:eastAsia="方正楷体_GBK"/>
          <w:snapToGrid w:val="0"/>
          <w:kern w:val="0"/>
          <w:sz w:val="32"/>
          <w:szCs w:val="32"/>
        </w:rPr>
        <w:t>（一）提升教育国际化功能。</w:t>
      </w:r>
      <w:r>
        <w:rPr>
          <w:rFonts w:ascii="Times New Roman" w:hAnsi="Times New Roman" w:eastAsia="方正仿宋_GBK"/>
          <w:sz w:val="32"/>
          <w:szCs w:val="32"/>
        </w:rPr>
        <w:t>“十四五”期间，武进区、新北区、金坛区规划建设国际化教育机构各一家，引进高端项目、加快国际认证，为在常外籍人士子女入学提供优质服务，对于未达到独立办学条件的区域，采取统一规划、分步到位、循序渐进的现实模式。在中小学开设小语种教学、满足不同层次学生多样化教育的需求。支持在常高校引进国际知名教育机构举办合作办学机构、办学项目和先进技术中心，探索建立留学生服务支持系统，吸引海外学生来常留学。</w:t>
      </w:r>
    </w:p>
    <w:p>
      <w:pPr>
        <w:overflowPunct w:val="0"/>
        <w:autoSpaceDE w:val="0"/>
        <w:autoSpaceDN w:val="0"/>
        <w:adjustRightInd w:val="0"/>
        <w:snapToGrid w:val="0"/>
        <w:spacing w:line="570" w:lineRule="exact"/>
        <w:ind w:firstLine="641"/>
        <w:rPr>
          <w:rFonts w:ascii="Times New Roman" w:hAnsi="Times New Roman" w:eastAsia="方正仿宋_GBK"/>
          <w:sz w:val="32"/>
          <w:szCs w:val="32"/>
        </w:rPr>
      </w:pPr>
      <w:r>
        <w:rPr>
          <w:rFonts w:ascii="Times New Roman" w:hAnsi="Times New Roman" w:eastAsia="方正楷体_GBK"/>
          <w:snapToGrid w:val="0"/>
          <w:kern w:val="0"/>
          <w:sz w:val="32"/>
          <w:szCs w:val="32"/>
        </w:rPr>
        <w:t>（二）提升医疗国际化功能。</w:t>
      </w:r>
      <w:r>
        <w:rPr>
          <w:rFonts w:ascii="Times New Roman" w:hAnsi="Times New Roman" w:eastAsia="方正仿宋_GBK"/>
          <w:sz w:val="32"/>
          <w:szCs w:val="32"/>
        </w:rPr>
        <w:t>积极创造条件，加大政策扶持，采用独资、合资、委托管理等灵活方式，尝试引进台湾、新加坡等具有国际知名度的医疗机构来常开设国际医院，“十四五”期间力争建成1—2所国际医院。推动城市公立医院积极与国际医院开展合作交流，开设就医绿色通道，指定熟悉外语的医务人员陪同，为外籍人员提供就医便捷。</w:t>
      </w:r>
    </w:p>
    <w:p>
      <w:pPr>
        <w:overflowPunct w:val="0"/>
        <w:autoSpaceDE w:val="0"/>
        <w:autoSpaceDN w:val="0"/>
        <w:adjustRightInd w:val="0"/>
        <w:snapToGrid w:val="0"/>
        <w:spacing w:line="570" w:lineRule="exact"/>
        <w:ind w:firstLine="641"/>
        <w:rPr>
          <w:rFonts w:ascii="Times New Roman" w:hAnsi="Times New Roman" w:eastAsia="方正仿宋_GBK"/>
          <w:spacing w:val="-6"/>
          <w:sz w:val="32"/>
          <w:szCs w:val="32"/>
        </w:rPr>
      </w:pPr>
      <w:r>
        <w:rPr>
          <w:rFonts w:ascii="Times New Roman" w:hAnsi="Times New Roman" w:eastAsia="方正楷体_GBK"/>
          <w:snapToGrid w:val="0"/>
          <w:spacing w:val="-6"/>
          <w:kern w:val="0"/>
          <w:sz w:val="32"/>
          <w:szCs w:val="32"/>
        </w:rPr>
        <w:t>（三）提升居住环境国际化功能。</w:t>
      </w:r>
      <w:r>
        <w:rPr>
          <w:rFonts w:ascii="Times New Roman" w:hAnsi="Times New Roman" w:eastAsia="方正仿宋_GBK"/>
          <w:spacing w:val="-6"/>
          <w:sz w:val="32"/>
          <w:szCs w:val="32"/>
        </w:rPr>
        <w:t>着眼城市发展，提高住宅建设国际化标准与现代化水平，在武进、新北、金坛各建一个外籍及港澳台侨人士集中租住区，高标准规划并启动中德生态绿色城建设，打造高层次国际创业、创新、居住、生活平台。完善社区配套设施，包括国际餐饮、24小时便利店、室内外健身场所、外文图书馆、标准化洗衣店、家政保姆、儿童托管、家电维修等功能性设施，拓展服务领域和内容，提供高标准、一站式贴心服务。在社区营造国际文化氛围，搭建社区内外籍人士交流沟通的平台。</w:t>
      </w:r>
    </w:p>
    <w:p>
      <w:pPr>
        <w:overflowPunct w:val="0"/>
        <w:autoSpaceDE w:val="0"/>
        <w:autoSpaceDN w:val="0"/>
        <w:adjustRightInd w:val="0"/>
        <w:snapToGrid w:val="0"/>
        <w:spacing w:line="570" w:lineRule="exact"/>
        <w:ind w:firstLine="641"/>
        <w:rPr>
          <w:rFonts w:ascii="Times New Roman" w:hAnsi="Times New Roman" w:eastAsia="方正仿宋_GBK"/>
          <w:sz w:val="32"/>
          <w:szCs w:val="32"/>
        </w:rPr>
      </w:pPr>
      <w:r>
        <w:rPr>
          <w:rFonts w:ascii="Times New Roman" w:hAnsi="Times New Roman" w:eastAsia="方正楷体_GBK"/>
          <w:snapToGrid w:val="0"/>
          <w:kern w:val="0"/>
          <w:sz w:val="32"/>
          <w:szCs w:val="32"/>
        </w:rPr>
        <w:t>（四）提升餐饮配套国际化功能。</w:t>
      </w:r>
      <w:r>
        <w:rPr>
          <w:rFonts w:ascii="Times New Roman" w:hAnsi="Times New Roman" w:eastAsia="方正仿宋_GBK"/>
          <w:sz w:val="32"/>
          <w:szCs w:val="32"/>
        </w:rPr>
        <w:t>规划建设凸显常州文化和特色的商业休闲综合体，在文化街区的改造中，借鉴上海模式，建设1—2个常州的“新天地”。结合国际合作园区，有计划地打造金坛德国美食文化一条街、以色列风情美食街等具有某国或某地区美食特色的国际餐饮街区，吸引国际知名餐饮品牌和特色老字号进驻，推进中德（常州）创新产业园国际啤酒节与圣诞集市成为常州国际生活品牌。鼓励全市商业服务业积极参与涉外服务，提升对外服务形象。</w:t>
      </w:r>
    </w:p>
    <w:p>
      <w:pPr>
        <w:overflowPunct w:val="0"/>
        <w:autoSpaceDE w:val="0"/>
        <w:autoSpaceDN w:val="0"/>
        <w:adjustRightInd w:val="0"/>
        <w:snapToGrid w:val="0"/>
        <w:spacing w:line="570" w:lineRule="exact"/>
        <w:ind w:firstLine="641"/>
        <w:rPr>
          <w:rFonts w:ascii="Times New Roman" w:hAnsi="Times New Roman" w:eastAsia="仿宋_GB2312"/>
          <w:snapToGrid w:val="0"/>
          <w:sz w:val="32"/>
          <w:szCs w:val="32"/>
        </w:rPr>
      </w:pPr>
      <w:r>
        <w:rPr>
          <w:rFonts w:ascii="Times New Roman" w:hAnsi="Times New Roman" w:eastAsia="方正楷体_GBK"/>
          <w:snapToGrid w:val="0"/>
          <w:kern w:val="0"/>
          <w:sz w:val="32"/>
          <w:szCs w:val="32"/>
        </w:rPr>
        <w:t>（五）提升国际化营商环境。</w:t>
      </w:r>
      <w:r>
        <w:rPr>
          <w:rFonts w:ascii="Times New Roman" w:hAnsi="Times New Roman" w:eastAsia="方正仿宋_GBK"/>
          <w:sz w:val="32"/>
          <w:szCs w:val="32"/>
        </w:rPr>
        <w:t>积极对接国际先进理念和通行惯例，大力复制自贸区改革试点经验，深入推进江苏自贸区联动创新发展区建设，推动先进制造业全产业链保税模式改革试点落地。认真落实好《外商投资法》及实施细则，降低外资准入门槛，扩大对外开放领域，保护外资合法权益，着力打造公开透明可预期的法治化、国际化、便利化营商环境。</w:t>
      </w:r>
    </w:p>
    <w:tbl>
      <w:tblPr>
        <w:tblStyle w:val="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07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94" w:hRule="atLeast"/>
          <w:jc w:val="center"/>
        </w:trPr>
        <w:tc>
          <w:tcPr>
            <w:tcW w:w="9072" w:type="dxa"/>
            <w:noWrap w:val="0"/>
            <w:vAlign w:val="top"/>
          </w:tcPr>
          <w:p>
            <w:pPr>
              <w:overflowPunct w:val="0"/>
              <w:autoSpaceDE w:val="0"/>
              <w:autoSpaceDN w:val="0"/>
              <w:spacing w:line="520" w:lineRule="exact"/>
              <w:jc w:val="center"/>
              <w:rPr>
                <w:rFonts w:hint="eastAsia" w:ascii="方正黑体_GBK" w:hAnsi="Times New Roman" w:eastAsia="方正黑体_GBK"/>
                <w:kern w:val="0"/>
                <w:sz w:val="28"/>
                <w:szCs w:val="28"/>
              </w:rPr>
            </w:pPr>
            <w:r>
              <w:rPr>
                <w:rFonts w:hint="eastAsia" w:ascii="方正黑体_GBK" w:hAnsi="Times New Roman" w:eastAsia="方正黑体_GBK"/>
                <w:kern w:val="0"/>
                <w:sz w:val="28"/>
                <w:szCs w:val="28"/>
              </w:rPr>
              <w:t>专栏：自贸试验区联动创新发展区</w:t>
            </w:r>
          </w:p>
          <w:p>
            <w:pPr>
              <w:overflowPunct w:val="0"/>
              <w:autoSpaceDE w:val="0"/>
              <w:autoSpaceDN w:val="0"/>
              <w:adjustRightInd w:val="0"/>
              <w:snapToGrid w:val="0"/>
              <w:spacing w:line="520" w:lineRule="exact"/>
              <w:ind w:firstLine="560" w:firstLineChars="200"/>
              <w:rPr>
                <w:rFonts w:ascii="Times New Roman" w:hAnsi="Times New Roman" w:eastAsia="方正仿宋_GBK"/>
                <w:snapToGrid w:val="0"/>
                <w:kern w:val="0"/>
                <w:sz w:val="28"/>
                <w:szCs w:val="28"/>
              </w:rPr>
            </w:pPr>
            <w:r>
              <w:rPr>
                <w:rFonts w:ascii="Times New Roman" w:hAnsi="Times New Roman" w:eastAsia="方正仿宋_GBK"/>
                <w:snapToGrid w:val="0"/>
                <w:kern w:val="0"/>
                <w:sz w:val="28"/>
                <w:szCs w:val="28"/>
              </w:rPr>
              <w:t>为更好发挥中国（江苏）自由贸易试验区高水平开放平台的辐射带动和示范引领作用，引导支持具备条件的地区与自贸试验区联动改革、联动创新、联动发展，服务构建新发展格局，2020年12月，省自贸办印发了《关于建设中国（江苏）自由贸易试验区联动创新发展区的工作方案》。江苏将以国家级开发区、国务院和国家有关部委认定的国际合作园区、台港澳合作园区，以及国家和省委、省政府明确的其他重大开放平台为依托，启动建设一批自贸试验区联动创新发展区。创建江苏自贸试验区联创区，对于我市主动接受江苏自贸试验区辐射带动，实现与自贸试验区联动创新发展，抢抓机遇、先行先试，服务构建我市开放发展新格局，具有重要意义。</w:t>
            </w:r>
          </w:p>
          <w:p>
            <w:pPr>
              <w:pStyle w:val="6"/>
              <w:overflowPunct w:val="0"/>
              <w:spacing w:line="520" w:lineRule="exact"/>
              <w:ind w:firstLine="560" w:firstLineChars="200"/>
              <w:jc w:val="both"/>
              <w:rPr>
                <w:rFonts w:ascii="Times New Roman" w:hAnsi="Times New Roman" w:eastAsia="仿宋_GB2312" w:cs="Times New Roman"/>
                <w:snapToGrid w:val="0"/>
                <w:color w:val="auto"/>
                <w:sz w:val="32"/>
                <w:szCs w:val="32"/>
              </w:rPr>
            </w:pPr>
            <w:r>
              <w:rPr>
                <w:rFonts w:ascii="Times New Roman" w:hAnsi="Times New Roman" w:eastAsia="方正仿宋_GBK" w:cs="Times New Roman"/>
                <w:snapToGrid w:val="0"/>
                <w:color w:val="auto"/>
                <w:sz w:val="28"/>
                <w:szCs w:val="28"/>
              </w:rPr>
              <w:t>我市联创区建设，要以开放型经济转型升级为统领，围绕增强制造业国际竞争力、提升国际合作水平的主要任务，有针对性地提出深化改革、创新发展的措施，通过五年左右时间的努力，将联创区建设成为我市开放型经济的新高地、对接国际经贸规则的示范地、先进生产要素的集聚地、体制机制创新的策源地，为我市其他地区乃至全省、全国积累经验，提供可复制推广的样板。</w:t>
            </w:r>
          </w:p>
        </w:tc>
      </w:tr>
    </w:tbl>
    <w:p>
      <w:pPr>
        <w:overflowPunct w:val="0"/>
        <w:autoSpaceDE w:val="0"/>
        <w:autoSpaceDN w:val="0"/>
        <w:adjustRightInd w:val="0"/>
        <w:snapToGrid w:val="0"/>
        <w:spacing w:before="80" w:line="570" w:lineRule="exact"/>
        <w:ind w:firstLine="641"/>
        <w:rPr>
          <w:rFonts w:ascii="Times New Roman" w:hAnsi="Times New Roman" w:eastAsia="方正黑体_GBK"/>
          <w:snapToGrid w:val="0"/>
          <w:kern w:val="0"/>
          <w:sz w:val="32"/>
          <w:szCs w:val="32"/>
        </w:rPr>
      </w:pPr>
      <w:r>
        <w:rPr>
          <w:rFonts w:ascii="Times New Roman" w:hAnsi="Times New Roman" w:eastAsia="方正黑体_GBK"/>
          <w:snapToGrid w:val="0"/>
          <w:kern w:val="0"/>
          <w:sz w:val="32"/>
          <w:szCs w:val="32"/>
        </w:rPr>
        <w:t>十、深化合作，着力推动全方位开放</w:t>
      </w:r>
    </w:p>
    <w:p>
      <w:pPr>
        <w:overflowPunct w:val="0"/>
        <w:autoSpaceDE w:val="0"/>
        <w:autoSpaceDN w:val="0"/>
        <w:adjustRightInd w:val="0"/>
        <w:snapToGrid w:val="0"/>
        <w:spacing w:line="570" w:lineRule="exact"/>
        <w:ind w:firstLine="641"/>
        <w:rPr>
          <w:rFonts w:ascii="Times New Roman" w:hAnsi="Times New Roman" w:eastAsia="方正仿宋_GBK"/>
          <w:sz w:val="32"/>
          <w:szCs w:val="32"/>
        </w:rPr>
      </w:pPr>
      <w:r>
        <w:rPr>
          <w:rFonts w:ascii="Times New Roman" w:hAnsi="Times New Roman" w:eastAsia="方正楷体_GBK"/>
          <w:snapToGrid w:val="0"/>
          <w:kern w:val="0"/>
          <w:sz w:val="32"/>
          <w:szCs w:val="32"/>
        </w:rPr>
        <w:t>（一）加强国际人文交流。</w:t>
      </w:r>
      <w:r>
        <w:rPr>
          <w:rFonts w:ascii="Times New Roman" w:hAnsi="Times New Roman" w:eastAsia="方正仿宋_GBK"/>
          <w:sz w:val="32"/>
          <w:szCs w:val="32"/>
        </w:rPr>
        <w:t>充分用好常州的历史遗存、山水资源、名人大师等优质资源，积极挖掘和推广本土文化精髓，推动本土优秀传统文化与时俱进，让常州文化更具时代感、更富世界性。发展具有国际竞争力的文化产业，强化鼓励文化产品和服务出口的政策措施，培育一批拥有原创品牌、具有较强国际视野的骨干文化企业，在更大范围、更广领域、更高层次参与国际文化合作与竞争。积极发挥海外常州社团、常州籍侨胞和留学人员的优势作用，深化与海外媒体交流合作，讲好常州故事，提高常州对外影响力。</w:t>
      </w:r>
    </w:p>
    <w:p>
      <w:pPr>
        <w:overflowPunct w:val="0"/>
        <w:autoSpaceDE w:val="0"/>
        <w:autoSpaceDN w:val="0"/>
        <w:adjustRightInd w:val="0"/>
        <w:snapToGrid w:val="0"/>
        <w:spacing w:line="570" w:lineRule="exact"/>
        <w:ind w:firstLine="641"/>
        <w:rPr>
          <w:rFonts w:ascii="Times New Roman" w:hAnsi="Times New Roman" w:eastAsia="方正仿宋_GBK"/>
          <w:sz w:val="32"/>
          <w:szCs w:val="32"/>
        </w:rPr>
      </w:pPr>
      <w:r>
        <w:rPr>
          <w:rFonts w:ascii="Times New Roman" w:hAnsi="Times New Roman" w:eastAsia="方正楷体_GBK"/>
          <w:snapToGrid w:val="0"/>
          <w:kern w:val="0"/>
          <w:sz w:val="32"/>
          <w:szCs w:val="32"/>
        </w:rPr>
        <w:t>（二）加强国际友城合作。</w:t>
      </w:r>
      <w:r>
        <w:rPr>
          <w:rFonts w:ascii="Times New Roman" w:hAnsi="Times New Roman" w:eastAsia="方正仿宋_GBK"/>
          <w:sz w:val="32"/>
          <w:szCs w:val="32"/>
        </w:rPr>
        <w:t>进一步优化友城布局，积极拓展友好交流城市，不断壮大我市“友城朋友圈”。统筹推进我市与友城间在经贸、科技、教育、旅游、医疗等领域交流。整合常州大学等在常高校资源，推进智库建设，推进与友城就经贸、人文交流等课题合作研究。发挥市友协平台作用，丰富友协活动内容，通过“官方+民间”双渠道，搭建具有对外传播力的文化平台，开创多层次、宽领域民间外交工作新局面。</w:t>
      </w:r>
    </w:p>
    <w:p>
      <w:pPr>
        <w:overflowPunct w:val="0"/>
        <w:autoSpaceDE w:val="0"/>
        <w:autoSpaceDN w:val="0"/>
        <w:adjustRightInd w:val="0"/>
        <w:snapToGrid w:val="0"/>
        <w:spacing w:line="570" w:lineRule="exact"/>
        <w:ind w:firstLine="641"/>
        <w:rPr>
          <w:rFonts w:ascii="Times New Roman" w:hAnsi="Times New Roman" w:eastAsia="方正仿宋_GBK"/>
          <w:sz w:val="32"/>
          <w:szCs w:val="32"/>
        </w:rPr>
      </w:pPr>
      <w:r>
        <w:rPr>
          <w:rFonts w:ascii="Times New Roman" w:hAnsi="Times New Roman" w:eastAsia="方正楷体_GBK"/>
          <w:snapToGrid w:val="0"/>
          <w:kern w:val="0"/>
          <w:sz w:val="32"/>
          <w:szCs w:val="32"/>
        </w:rPr>
        <w:t>（三）加强国际经贸交流。</w:t>
      </w:r>
      <w:r>
        <w:rPr>
          <w:rFonts w:ascii="Times New Roman" w:hAnsi="Times New Roman" w:eastAsia="方正仿宋_GBK"/>
          <w:sz w:val="32"/>
          <w:szCs w:val="32"/>
        </w:rPr>
        <w:t>加强与各国（地区）贸易投资促进机构的合作交流，主动与境内外商协会组织、经贸团体建立业务联系，组织企业开展双边经贸推介活动，推动贸易促进与投资促进相结合，共同寻求服务企业的新机遇。突出“一带一路”交汇点建设，加强与“一带一路”沿线国家的沟通联络，建立长效联系与合作机制。服务我市扩大进口的工作要求和企业技术引进、涉外商法合作的需求，组织相关国家工商机构合作举办特色优质商品展示、国外先进技术合作以及“一带一路”重点国家（地区）商事法律交流活动。</w:t>
      </w:r>
    </w:p>
    <w:p>
      <w:pPr>
        <w:overflowPunct w:val="0"/>
        <w:autoSpaceDE w:val="0"/>
        <w:autoSpaceDN w:val="0"/>
        <w:adjustRightInd w:val="0"/>
        <w:snapToGrid w:val="0"/>
        <w:spacing w:line="570" w:lineRule="exact"/>
        <w:ind w:firstLine="641"/>
        <w:rPr>
          <w:rFonts w:ascii="Times New Roman" w:hAnsi="Times New Roman" w:eastAsia="方正仿宋_GBK"/>
          <w:sz w:val="32"/>
          <w:szCs w:val="32"/>
        </w:rPr>
      </w:pPr>
      <w:r>
        <w:rPr>
          <w:rFonts w:ascii="Times New Roman" w:hAnsi="Times New Roman" w:eastAsia="方正楷体_GBK"/>
          <w:snapToGrid w:val="0"/>
          <w:kern w:val="0"/>
          <w:sz w:val="32"/>
          <w:szCs w:val="32"/>
        </w:rPr>
        <w:t>（四）加强涉外服务水平。</w:t>
      </w:r>
      <w:r>
        <w:rPr>
          <w:rFonts w:ascii="Times New Roman" w:hAnsi="Times New Roman" w:eastAsia="方正仿宋_GBK"/>
          <w:sz w:val="32"/>
          <w:szCs w:val="32"/>
        </w:rPr>
        <w:t>建立国家认证的中文培训机构和正规的中文家教中介机构，打造中国文化和常州地方文化学习交流培训平台，在全市各主要旅游景点及文化场馆增设多语种的介绍手册、外文引导和外文解说服务，大力推进外文图书馆建设，全面提高公共文化设施的涉外服务水平。建设国际文化体育交流平台，如利用溧阳生态资源，建立奥林匹克文化公园，积极组织针对外籍人士的社会文体团体和文体赛事，争取形成2—3项社会影响力大、每年定期举办的特色文体活动。</w:t>
      </w:r>
    </w:p>
    <w:p>
      <w:pPr>
        <w:overflowPunct w:val="0"/>
        <w:autoSpaceDE w:val="0"/>
        <w:autoSpaceDN w:val="0"/>
        <w:adjustRightInd w:val="0"/>
        <w:snapToGrid w:val="0"/>
        <w:spacing w:line="550" w:lineRule="exact"/>
        <w:ind w:firstLine="641"/>
        <w:rPr>
          <w:rFonts w:ascii="Times New Roman" w:hAnsi="Times New Roman" w:eastAsia="方正黑体_GBK"/>
          <w:snapToGrid w:val="0"/>
          <w:kern w:val="0"/>
          <w:sz w:val="32"/>
          <w:szCs w:val="32"/>
        </w:rPr>
      </w:pPr>
      <w:r>
        <w:rPr>
          <w:rFonts w:ascii="Times New Roman" w:hAnsi="Times New Roman" w:eastAsia="方正黑体_GBK"/>
          <w:snapToGrid w:val="0"/>
          <w:kern w:val="0"/>
          <w:sz w:val="32"/>
          <w:szCs w:val="32"/>
        </w:rPr>
        <w:t>十一、实施保障</w:t>
      </w:r>
    </w:p>
    <w:p>
      <w:pPr>
        <w:overflowPunct w:val="0"/>
        <w:autoSpaceDE w:val="0"/>
        <w:autoSpaceDN w:val="0"/>
        <w:adjustRightInd w:val="0"/>
        <w:snapToGrid w:val="0"/>
        <w:spacing w:line="550" w:lineRule="exact"/>
        <w:ind w:firstLine="641"/>
        <w:rPr>
          <w:rFonts w:ascii="Times New Roman" w:hAnsi="Times New Roman" w:eastAsia="方正仿宋_GBK"/>
          <w:sz w:val="32"/>
          <w:szCs w:val="32"/>
        </w:rPr>
      </w:pPr>
      <w:r>
        <w:rPr>
          <w:rFonts w:ascii="Times New Roman" w:hAnsi="Times New Roman" w:eastAsia="方正楷体_GBK"/>
          <w:snapToGrid w:val="0"/>
          <w:kern w:val="0"/>
          <w:sz w:val="32"/>
          <w:szCs w:val="32"/>
        </w:rPr>
        <w:t>（一）加强组织领导。</w:t>
      </w:r>
      <w:r>
        <w:rPr>
          <w:rFonts w:ascii="Times New Roman" w:hAnsi="Times New Roman" w:eastAsia="方正仿宋_GBK"/>
          <w:sz w:val="32"/>
          <w:szCs w:val="32"/>
        </w:rPr>
        <w:t>加强各级领导对全市开放型经济重要性的认识，切实形成“一盘棋”的统一思想，把促进开放型经济提升到推动建设“国际化智造名城、长三角中轴枢纽”的战略高度。市商务局会同相关部门，做好常州市开放型经济发展的顶层设计，构建以“十四五”开放型经济发展规划为核心的工作体系，强化规划对全市开放型经济工作的指导和调控。建立健全开放型经济协作机制，强化各职能部门之间的互动，统筹制定各项政策措施，形成齐抓共管、共促开放的工作合力和良好氛围。强化“双招双引”，全面加强招商队伍建设，大力培养、引进与开放型经济发展相适应的国际化人才。</w:t>
      </w:r>
    </w:p>
    <w:p>
      <w:pPr>
        <w:overflowPunct w:val="0"/>
        <w:autoSpaceDE w:val="0"/>
        <w:autoSpaceDN w:val="0"/>
        <w:adjustRightInd w:val="0"/>
        <w:snapToGrid w:val="0"/>
        <w:spacing w:line="550" w:lineRule="exact"/>
        <w:ind w:firstLine="641"/>
        <w:rPr>
          <w:rFonts w:ascii="Times New Roman" w:hAnsi="Times New Roman" w:eastAsia="方正仿宋_GBK"/>
          <w:sz w:val="32"/>
          <w:szCs w:val="32"/>
        </w:rPr>
      </w:pPr>
      <w:r>
        <w:rPr>
          <w:rFonts w:ascii="Times New Roman" w:hAnsi="Times New Roman" w:eastAsia="方正楷体_GBK"/>
          <w:snapToGrid w:val="0"/>
          <w:kern w:val="0"/>
          <w:sz w:val="32"/>
          <w:szCs w:val="32"/>
        </w:rPr>
        <w:t>（二）优化考核评价。</w:t>
      </w:r>
      <w:r>
        <w:rPr>
          <w:rFonts w:ascii="Times New Roman" w:hAnsi="Times New Roman" w:eastAsia="方正仿宋_GBK"/>
          <w:sz w:val="32"/>
          <w:szCs w:val="32"/>
        </w:rPr>
        <w:t>以高质量考核为导向，进一步完善开放型经济考核评价机制和开发区综合评价体系，把能否实现开放型经济发展新突破，作为辖市区和相关部门领导班子年度考核奖惩、选拔任用的重要依据，以考核促落实，以考核促提升，确保各项工作有效落实。加大对利用外资、园区发展、签约重点项目落地、在建重点项目推进等督查力度，对达不到预期目标、督促整改不力的，及时约谈、严肃问责。</w:t>
      </w:r>
    </w:p>
    <w:p>
      <w:pPr>
        <w:overflowPunct w:val="0"/>
        <w:autoSpaceDE w:val="0"/>
        <w:autoSpaceDN w:val="0"/>
        <w:adjustRightInd w:val="0"/>
        <w:snapToGrid w:val="0"/>
        <w:spacing w:line="550" w:lineRule="exact"/>
        <w:ind w:firstLine="641"/>
        <w:rPr>
          <w:rFonts w:ascii="Times New Roman" w:hAnsi="Times New Roman" w:eastAsia="方正仿宋_GBK"/>
          <w:sz w:val="32"/>
          <w:szCs w:val="32"/>
        </w:rPr>
      </w:pPr>
      <w:r>
        <w:rPr>
          <w:rFonts w:ascii="Times New Roman" w:hAnsi="Times New Roman" w:eastAsia="方正楷体_GBK"/>
          <w:snapToGrid w:val="0"/>
          <w:kern w:val="0"/>
          <w:sz w:val="32"/>
          <w:szCs w:val="32"/>
        </w:rPr>
        <w:t>（三）强化政策保障。</w:t>
      </w:r>
      <w:r>
        <w:rPr>
          <w:rFonts w:ascii="Times New Roman" w:hAnsi="Times New Roman" w:eastAsia="方正仿宋_GBK"/>
          <w:sz w:val="32"/>
          <w:szCs w:val="32"/>
        </w:rPr>
        <w:t>加强对中央、省级政策的研究和落实，确保用足用好用活上级政策，更好地发挥政策杠杆效应，帮助企业做大做强。结合常州实际，以企业需求为导向，细化出台我市外经贸发展扶持政策，进一步做好政策的梳理、集成和宣讲，确保各项政策能够落到实处、取得实效。强化政策创新，重点加大对存量企业转型升级、战略性新兴产业引进与培育、外资总部经济和会展经济发展、跨境电商综试区建设、外贸业态模式创新发展、载体争先创优等方面的支持力度，注重政策导向由扩规模向提质量、促转型转变，努力形成全方位、多层次、宽领域的开放型经济政策促进体系。</w:t>
      </w:r>
    </w:p>
    <w:p>
      <w:pPr>
        <w:overflowPunct w:val="0"/>
        <w:autoSpaceDE w:val="0"/>
        <w:autoSpaceDN w:val="0"/>
        <w:adjustRightInd w:val="0"/>
        <w:snapToGrid w:val="0"/>
        <w:spacing w:line="550" w:lineRule="exact"/>
        <w:ind w:firstLine="641"/>
        <w:rPr>
          <w:rFonts w:hint="eastAsia" w:ascii="Times New Roman" w:hAnsi="Times New Roman" w:eastAsia="方正仿宋_GBK"/>
          <w:sz w:val="32"/>
          <w:szCs w:val="32"/>
        </w:rPr>
      </w:pPr>
      <w:r>
        <w:rPr>
          <w:rFonts w:ascii="Times New Roman" w:hAnsi="Times New Roman" w:eastAsia="方正楷体_GBK"/>
          <w:snapToGrid w:val="0"/>
          <w:kern w:val="0"/>
          <w:sz w:val="32"/>
          <w:szCs w:val="32"/>
        </w:rPr>
        <w:t>（四）提升服务水平。</w:t>
      </w:r>
      <w:r>
        <w:rPr>
          <w:rFonts w:ascii="Times New Roman" w:hAnsi="Times New Roman" w:eastAsia="方正仿宋_GBK"/>
          <w:sz w:val="32"/>
          <w:szCs w:val="32"/>
        </w:rPr>
        <w:t>全力打造“政府、中介机构和企业”三位一体的开放型经济综合服务体系。支持引导各类贸促机构、行业中介组织利用自身优势，为企业提供财务、法律、知识产权、商事调解、管理咨询和口岸通关等服务。启动服务外企“十百千行动”，进一步完善外商投诉协调处理机制，健全重点外经贸企业挂钩联系服务制度，打造“走出去”支撑服务体系，不断提高全市开放型经济公共服务水平。深入走访企业、走访项目，落实好“首问负责制”，发挥好常州“政企通”微信公众号、重点企业微信服务群作用，全力当好服务企业“店小二”和“急郎中”。</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4831FAF-9011-407E-A902-E2D5DF0E023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456E9DFB-A4AD-443E-A4A8-1DB5235184BB}"/>
  </w:font>
  <w:font w:name="FZFangSong-Z02">
    <w:altName w:val="宋体"/>
    <w:panose1 w:val="03000509000000000000"/>
    <w:charset w:val="86"/>
    <w:family w:val="swiss"/>
    <w:pitch w:val="default"/>
    <w:sig w:usb0="00000000" w:usb1="00000000" w:usb2="00000000" w:usb3="00000000" w:csb0="00040000" w:csb1="00000000"/>
  </w:font>
  <w:font w:name="方正仿宋_GBK">
    <w:altName w:val="Arial Unicode MS"/>
    <w:panose1 w:val="03000509000000000000"/>
    <w:charset w:val="86"/>
    <w:family w:val="script"/>
    <w:pitch w:val="default"/>
    <w:sig w:usb0="00000000" w:usb1="00000000" w:usb2="00000000" w:usb3="00000000" w:csb0="00040000" w:csb1="00000000"/>
    <w:embedRegular r:id="rId3" w:fontKey="{CD257E8E-9044-4CC1-A962-37F85E0491F2}"/>
  </w:font>
  <w:font w:name="方正小标宋简体">
    <w:altName w:val="Arial Unicode MS"/>
    <w:panose1 w:val="03000509000000000000"/>
    <w:charset w:val="86"/>
    <w:family w:val="script"/>
    <w:pitch w:val="default"/>
    <w:sig w:usb0="00000000" w:usb1="00000000" w:usb2="00000000" w:usb3="00000000" w:csb0="00040000" w:csb1="00000000"/>
    <w:embedRegular r:id="rId4" w:fontKey="{64CF237C-D204-4A23-A83E-A7AD73918D2A}"/>
  </w:font>
  <w:font w:name="方正小标宋_GBK">
    <w:panose1 w:val="02000000000000000000"/>
    <w:charset w:val="86"/>
    <w:family w:val="script"/>
    <w:pitch w:val="default"/>
    <w:sig w:usb0="A00002BF" w:usb1="38CF7CFA" w:usb2="00082016" w:usb3="00000000" w:csb0="00040001" w:csb1="00000000"/>
    <w:embedRegular r:id="rId5" w:fontKey="{FD77C07D-11F6-404E-A6A1-DEB7C7648AD0}"/>
  </w:font>
  <w:font w:name="楷体_GB2312">
    <w:altName w:val="楷体"/>
    <w:panose1 w:val="02010609030101010101"/>
    <w:charset w:val="86"/>
    <w:family w:val="modern"/>
    <w:pitch w:val="default"/>
    <w:sig w:usb0="00000000" w:usb1="00000000" w:usb2="00000010" w:usb3="00000000" w:csb0="00040000" w:csb1="00000000"/>
    <w:embedRegular r:id="rId6" w:fontKey="{12D8B1F6-349B-4E24-9B2C-29245CA58CA9}"/>
  </w:font>
  <w:font w:name="方正黑体_GBK">
    <w:altName w:val="Arial Unicode MS"/>
    <w:panose1 w:val="03000509000000000000"/>
    <w:charset w:val="86"/>
    <w:family w:val="script"/>
    <w:pitch w:val="default"/>
    <w:sig w:usb0="00000000" w:usb1="00000000" w:usb2="00000000" w:usb3="00000000" w:csb0="00040000" w:csb1="00000000"/>
    <w:embedRegular r:id="rId7" w:fontKey="{A740BDFA-A4E3-4838-B06A-F4B0F5F5A53A}"/>
  </w:font>
  <w:font w:name="仿宋_GB2312">
    <w:panose1 w:val="02010609030101010101"/>
    <w:charset w:val="86"/>
    <w:family w:val="modern"/>
    <w:pitch w:val="default"/>
    <w:sig w:usb0="00000001" w:usb1="080E0000" w:usb2="00000000" w:usb3="00000000" w:csb0="00040000" w:csb1="00000000"/>
    <w:embedRegular r:id="rId8" w:fontKey="{2152ECCE-F9A6-4853-BDF0-045710D3CDDC}"/>
  </w:font>
  <w:font w:name="方正楷体_GBK">
    <w:altName w:val="Arial Unicode MS"/>
    <w:panose1 w:val="03000509000000000000"/>
    <w:charset w:val="86"/>
    <w:family w:val="script"/>
    <w:pitch w:val="default"/>
    <w:sig w:usb0="00000000" w:usb1="00000000" w:usb2="00000000" w:usb3="00000000" w:csb0="00040000" w:csb1="00000000"/>
    <w:embedRegular r:id="rId9" w:fontKey="{34C29F60-EA87-4E46-A109-5A011B88890E}"/>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210" w:rightChars="100"/>
      <w:jc w:val="right"/>
      <w:rPr>
        <w:rFonts w:ascii="Times New Roman" w:hAnsi="Times New Roman"/>
        <w:sz w:val="28"/>
        <w:szCs w:val="28"/>
      </w:rPr>
    </w:pPr>
    <w:r>
      <w:rPr>
        <w:rFonts w:hint="eastAsia"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lang w:val="zh-CN"/>
      </w:rPr>
      <w:t>13</w:t>
    </w:r>
    <w:r>
      <w:rPr>
        <w:rFonts w:ascii="Times New Roman" w:hAnsi="Times New Roman"/>
        <w:sz w:val="28"/>
        <w:szCs w:val="28"/>
      </w:rPr>
      <w:fldChar w:fldCharType="end"/>
    </w:r>
    <w:r>
      <w:rPr>
        <w:rFonts w:hint="eastAsia" w:ascii="Times New Roman" w:hAnsi="Times New Roman"/>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adjustRightInd w:val="0"/>
      <w:ind w:left="210" w:leftChars="100"/>
      <w:rPr>
        <w:rFonts w:ascii="Times New Roman" w:hAnsi="Times New Roman"/>
        <w:sz w:val="28"/>
        <w:szCs w:val="28"/>
      </w:rPr>
    </w:pPr>
    <w:r>
      <w:rPr>
        <w:rFonts w:hint="eastAsia"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lang w:val="zh-CN"/>
      </w:rPr>
      <w:t>14</w:t>
    </w:r>
    <w:r>
      <w:rPr>
        <w:rFonts w:ascii="Times New Roman" w:hAnsi="Times New Roman"/>
        <w:sz w:val="28"/>
        <w:szCs w:val="28"/>
      </w:rPr>
      <w:fldChar w:fldCharType="end"/>
    </w:r>
    <w:r>
      <w:rPr>
        <w:rFonts w:hint="eastAsia" w:ascii="Times New Roman" w:hAnsi="Times New Roman"/>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adjustRightInd w:val="0"/>
      <w:ind w:right="210" w:rightChars="100"/>
      <w:jc w:val="right"/>
      <w:rPr>
        <w:rFonts w:ascii="Times New Roman" w:hAnsi="Times New Roman"/>
        <w:sz w:val="28"/>
        <w:szCs w:val="28"/>
      </w:rPr>
    </w:pPr>
    <w:r>
      <w:rPr>
        <w:rFonts w:hint="eastAsia"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lang w:val="zh-CN"/>
      </w:rPr>
      <w:t>1</w:t>
    </w:r>
    <w:r>
      <w:rPr>
        <w:rFonts w:ascii="Times New Roman" w:hAnsi="Times New Roman"/>
        <w:sz w:val="28"/>
        <w:szCs w:val="28"/>
      </w:rPr>
      <w:fldChar w:fldCharType="end"/>
    </w:r>
    <w:r>
      <w:rPr>
        <w:rFonts w:hint="eastAsia" w:ascii="Times New Roman" w:hAnsi="Times New Roman"/>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5NWQ2OTU1OGVjMGY1ODg1NzM3NDc2ZDYxMjhkZTIifQ=="/>
  </w:docVars>
  <w:rsids>
    <w:rsidRoot w:val="24B53AC9"/>
    <w:rsid w:val="24B53AC9"/>
    <w:rsid w:val="43BD43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rPr>
  </w:style>
  <w:style w:type="character" w:customStyle="1" w:styleId="5">
    <w:name w:val="NormalCharacter"/>
    <w:semiHidden/>
    <w:uiPriority w:val="0"/>
  </w:style>
  <w:style w:type="paragraph" w:customStyle="1" w:styleId="6">
    <w:name w:val="Default"/>
    <w:autoRedefine/>
    <w:qFormat/>
    <w:uiPriority w:val="0"/>
    <w:pPr>
      <w:widowControl w:val="0"/>
      <w:autoSpaceDE w:val="0"/>
      <w:autoSpaceDN w:val="0"/>
      <w:adjustRightInd w:val="0"/>
    </w:pPr>
    <w:rPr>
      <w:rFonts w:ascii="FZFangSong-Z02" w:hAnsi="FZFangSong-Z02" w:eastAsia="宋体" w:cs="FZFangSong-Z02"/>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2021-09-18T01:43:00Z</dcterms:created>
  <dc:creator>丹丹</dc:creator>
  <cp:lastModifiedBy>未遂</cp:lastModifiedBy>
  <dcterms:modified xsi:type="dcterms:W3CDTF">2024-03-05T07:25:05Z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7794795C0E1E467EACFB821EC7746C57</vt:lpwstr>
  </property>
</Properties>
</file>