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bookmarkStart w:id="0" w:name="_GoBack"/>
      <w:bookmarkEnd w:id="0"/>
      <w:r>
        <w:rPr>
          <w:rFonts w:eastAsia="黑体"/>
          <w:bCs/>
          <w:sz w:val="32"/>
          <w:szCs w:val="32"/>
        </w:rPr>
        <w:t>附件</w:t>
      </w:r>
    </w:p>
    <w:p>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2020</w:t>
      </w:r>
      <w:r>
        <w:rPr>
          <w:rFonts w:hint="eastAsia" w:ascii="Times New Roman" w:hAnsi="Times New Roman" w:eastAsia="方正小标宋简体"/>
          <w:sz w:val="44"/>
          <w:szCs w:val="44"/>
        </w:rPr>
        <w:t>年党的建设工作要点</w:t>
      </w:r>
    </w:p>
    <w:p>
      <w:pPr>
        <w:pStyle w:val="2"/>
        <w:spacing w:line="570" w:lineRule="exact"/>
        <w:ind w:left="0" w:leftChars="0" w:firstLine="643" w:firstLineChars="200"/>
        <w:jc w:val="center"/>
        <w:rPr>
          <w:rFonts w:ascii="Times New Roman" w:hAnsi="Times New Roman"/>
        </w:rPr>
      </w:pP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2020年是高水平全面建成小康社会和“十三五”规划收官之年。区财政局党组2020年党建工作的总体要求是：</w:t>
      </w:r>
      <w:r>
        <w:rPr>
          <w:rFonts w:hint="default" w:ascii="Times New Roman" w:hAnsi="Times New Roman" w:eastAsia="黑体" w:cs="Times New Roman"/>
          <w:sz w:val="32"/>
          <w:szCs w:val="32"/>
        </w:rPr>
        <w:t>坚持以习近平新时代中国特色社会主义思想为指引，深入学习贯彻党的十九大和十九届二中、三中、四中全会精神，认真落实习近平总书记在中央和国家机关党的建设工作会议上的重要讲话要求，着力在政治建设、理论武装、基层基础、正风肃纪、队伍建设上狠下功夫，全面巩固和深化拓展“不忘初心、牢记使命”主题教育成果，持续提升“6+1”党建工程建设质量，努力建设让党放心，让人民群众满意的模范机关，为夺取疫情防控和经济社会发展“双胜利”提供坚强保证。</w:t>
      </w:r>
    </w:p>
    <w:p>
      <w:pPr>
        <w:pStyle w:val="2"/>
        <w:spacing w:line="570" w:lineRule="exact"/>
        <w:ind w:left="0" w:leftChars="0" w:firstLine="640" w:firstLineChars="200"/>
        <w:rPr>
          <w:rFonts w:hint="default" w:ascii="Times New Roman" w:hAnsi="Times New Roman" w:eastAsia="黑体" w:cs="Times New Roman"/>
          <w:b w:val="0"/>
          <w:bCs w:val="0"/>
        </w:rPr>
      </w:pPr>
      <w:r>
        <w:rPr>
          <w:rFonts w:hint="default" w:ascii="Times New Roman" w:hAnsi="Times New Roman" w:eastAsia="黑体" w:cs="Times New Roman"/>
          <w:b w:val="0"/>
        </w:rPr>
        <w:t>一、筑牢政治之魂，坚决做到“两个维护”</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 旗帜鲜明讲政治。</w:t>
      </w:r>
      <w:r>
        <w:rPr>
          <w:rFonts w:hint="default" w:ascii="Times New Roman" w:hAnsi="Times New Roman" w:eastAsia="仿宋_GB2312" w:cs="Times New Roman"/>
          <w:sz w:val="32"/>
          <w:szCs w:val="32"/>
        </w:rPr>
        <w:t>把讲政治作为第一位的工作要求，深入学习贯彻《中共中央关于加强党的政治建设的意见》《关于加强和改进中央和国家机关党的建设的意见》，牢牢把握政府机关首先是政治机关的政治属性，自觉强化“财”服从服务于“政”的意识，教育引导干部职工切实增强“四个意识”，坚定“四个自信”，带头做到“两个维护”，确保财随政走、政令财行。</w:t>
      </w:r>
    </w:p>
    <w:p>
      <w:pPr>
        <w:pStyle w:val="2"/>
        <w:spacing w:line="570" w:lineRule="exact"/>
        <w:ind w:left="0" w:leftChars="0" w:firstLine="643" w:firstLineChars="200"/>
        <w:rPr>
          <w:rFonts w:hint="default" w:ascii="Times New Roman" w:hAnsi="Times New Roman" w:eastAsia="仿宋_GB2312" w:cs="Times New Roman"/>
          <w:szCs w:val="36"/>
        </w:rPr>
      </w:pPr>
      <w:r>
        <w:rPr>
          <w:rFonts w:hint="default" w:ascii="Times New Roman" w:hAnsi="Times New Roman" w:eastAsia="楷体_GB2312" w:cs="Times New Roman"/>
        </w:rPr>
        <w:t>2. 严肃党内政治生活。</w:t>
      </w:r>
      <w:r>
        <w:rPr>
          <w:rFonts w:hint="default" w:ascii="Times New Roman" w:hAnsi="Times New Roman" w:eastAsia="仿宋_GB2312" w:cs="Times New Roman"/>
          <w:b w:val="0"/>
        </w:rPr>
        <w:t>严格执行《关于新形势下党内政治生活的若干准则》，增强党员干部角色意识和政治担当，在党言党、在党忧党、在党为党。落实党员领导干部双重组织生活制度，用好批评与自我批评这个武器，高质量开好民主生活会、组织生活会。强化党章党规党纪学习，严明党的政治纪律和政治规矩。“七一”前后，局党组书记上1次专题党课。</w:t>
      </w:r>
    </w:p>
    <w:p>
      <w:pPr>
        <w:pStyle w:val="3"/>
        <w:spacing w:line="570" w:lineRule="exact"/>
        <w:ind w:left="0" w:leftChars="0" w:firstLine="611"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bCs/>
          <w:spacing w:val="-8"/>
          <w:sz w:val="32"/>
          <w:szCs w:val="32"/>
        </w:rPr>
        <w:t>3. 压实党建主体责任。</w:t>
      </w:r>
      <w:r>
        <w:rPr>
          <w:rFonts w:hint="default" w:ascii="Times New Roman" w:hAnsi="Times New Roman" w:eastAsia="仿宋_GB2312" w:cs="Times New Roman"/>
          <w:sz w:val="32"/>
          <w:szCs w:val="32"/>
        </w:rPr>
        <w:t>把抓好党建工作作为最大的政绩，认真履行党组、书记、班子成员抓党建责任，确保一级抓一级、层层抓落实。紧密结合财政工作实际，推动党建工作和业务工作同谋划、同部署、同落实、同检查，防止“一手硬、一手软”，</w:t>
      </w:r>
      <w:r>
        <w:rPr>
          <w:rFonts w:hint="default" w:ascii="Times New Roman" w:hAnsi="Times New Roman" w:eastAsia="仿宋_GB2312" w:cs="Times New Roman"/>
          <w:snapToGrid w:val="0"/>
          <w:kern w:val="0"/>
          <w:sz w:val="32"/>
          <w:szCs w:val="32"/>
        </w:rPr>
        <w:t>切实解决机关党建与业务工作“两张皮”的现象，不断提高机关党建工作质量。</w:t>
      </w:r>
      <w:r>
        <w:rPr>
          <w:rFonts w:hint="default" w:ascii="Times New Roman" w:hAnsi="Times New Roman" w:eastAsia="仿宋_GB2312" w:cs="Times New Roman"/>
          <w:sz w:val="32"/>
          <w:szCs w:val="32"/>
        </w:rPr>
        <w:t>年内，局党组至少召开2次机关党建工作专题会议。</w:t>
      </w:r>
    </w:p>
    <w:p>
      <w:pPr>
        <w:pStyle w:val="3"/>
        <w:spacing w:line="57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二、补足精神之钙，强化思想理论武装</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 深入学习贯彻习近平新时代中国特色社会主义思想。</w:t>
      </w:r>
      <w:r>
        <w:rPr>
          <w:rFonts w:hint="default" w:ascii="Times New Roman" w:hAnsi="Times New Roman" w:eastAsia="仿宋_GB2312" w:cs="Times New Roman"/>
          <w:bCs/>
          <w:sz w:val="32"/>
          <w:szCs w:val="32"/>
        </w:rPr>
        <w:t>建立“第一议程”学习制度，领导班子讨论决策重大事项前首先学习习近平总书记有关重要论述，在对标对表中找准方向、明确思路、提出措施，推动学习宣传贯彻习近平新时代中国特色社会主义思想往深里走、往实里走、往心里走。落实“1412”理论学习机制，</w:t>
      </w:r>
      <w:r>
        <w:rPr>
          <w:rFonts w:hint="default" w:ascii="Times New Roman" w:hAnsi="Times New Roman" w:eastAsia="仿宋_GB2312" w:cs="Times New Roman"/>
          <w:sz w:val="32"/>
          <w:szCs w:val="32"/>
        </w:rPr>
        <w:t>制定党组理论学习中心组专题学习年度计划，合理编排学习内容，全年组织党组中心组理论学习不少于12次、集中研讨不少于6次。通过书记示范引领学、支部集中经常学、深入党性基地学、依托平台自主学等不同形式，</w:t>
      </w:r>
      <w:r>
        <w:rPr>
          <w:rFonts w:hint="default" w:ascii="Times New Roman" w:hAnsi="Times New Roman" w:eastAsia="仿宋_GB2312" w:cs="Times New Roman"/>
          <w:bCs/>
          <w:sz w:val="32"/>
          <w:szCs w:val="32"/>
        </w:rPr>
        <w:t>持续开展党的十九届</w:t>
      </w:r>
      <w:r>
        <w:rPr>
          <w:rFonts w:hint="default" w:ascii="Times New Roman" w:hAnsi="Times New Roman" w:eastAsia="仿宋_GB2312" w:cs="Times New Roman"/>
          <w:sz w:val="32"/>
          <w:szCs w:val="32"/>
        </w:rPr>
        <w:t>四中全会精神学习宣贯。加强周通报、季测试、年考核，进一步推广使用“学习强国”等线上学习平台。年内，组织1次应知应会理论测试，开展1次理论宣讲活动，组织开展“总书记的这句话让我最受教育”学习交流活动。</w:t>
      </w:r>
    </w:p>
    <w:p>
      <w:pPr>
        <w:pStyle w:val="3"/>
        <w:spacing w:line="570" w:lineRule="exact"/>
        <w:ind w:left="0" w:leftChars="0"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5. 持续深化理想信念教育。</w:t>
      </w:r>
      <w:r>
        <w:rPr>
          <w:rFonts w:hint="default" w:ascii="Times New Roman" w:hAnsi="Times New Roman" w:eastAsia="仿宋_GB2312" w:cs="Times New Roman"/>
          <w:bCs/>
          <w:sz w:val="32"/>
          <w:szCs w:val="32"/>
        </w:rPr>
        <w:t>用好常州红色教育基地、钟楼党性教育基地等本土资源，加强党史、新中国史、改革开放史的学习教育。巩固深化“不忘初心、牢记使命”主题教育成果，</w:t>
      </w:r>
      <w:r>
        <w:rPr>
          <w:rFonts w:hint="default" w:ascii="Times New Roman" w:hAnsi="Times New Roman" w:eastAsia="仿宋_GB2312" w:cs="Times New Roman"/>
          <w:sz w:val="32"/>
          <w:szCs w:val="32"/>
        </w:rPr>
        <w:t>组织“五个一”主题活动，暨组织党员通读1遍党章、读1本红色书籍、观看1部红色教育片、上1堂革命传统教育课、开展1次主题党日活动，</w:t>
      </w:r>
      <w:r>
        <w:rPr>
          <w:rFonts w:hint="default" w:ascii="Times New Roman" w:hAnsi="Times New Roman" w:eastAsia="仿宋_GB2312" w:cs="Times New Roman"/>
          <w:bCs/>
          <w:sz w:val="32"/>
          <w:szCs w:val="32"/>
        </w:rPr>
        <w:t>坚持不懈把“不忘初心、牢记使命”作为加强机关党建永恒课题和党员干部终身课题。</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6. 坚守意识形态工作阵地。</w:t>
      </w:r>
      <w:r>
        <w:rPr>
          <w:rFonts w:hint="default" w:ascii="Times New Roman" w:hAnsi="Times New Roman" w:eastAsia="仿宋_GB2312" w:cs="Times New Roman"/>
          <w:sz w:val="32"/>
          <w:szCs w:val="32"/>
        </w:rPr>
        <w:t>严格落实意识形态工作责任制，制定局意识形态重点工作，明确工作内容及完成时限。年内，至少召开2次局党组会议，专题研究意识形态工作，对重大突发情况及苗头性倾向性问题进行研判处置。加强信息调研文章报送审批管理，加强财政干部讲坛、在线工作群等舆论阵地建设，牢牢掌握意识形态主动权。年内，组织1次社会主义核心价值观专题教育。</w:t>
      </w:r>
    </w:p>
    <w:p>
      <w:pPr>
        <w:pStyle w:val="3"/>
        <w:spacing w:line="57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三、夯实组织之基，推动支部规范提质</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7. 狠抓支部组织建设。</w:t>
      </w:r>
      <w:r>
        <w:rPr>
          <w:rFonts w:hint="default" w:ascii="Times New Roman" w:hAnsi="Times New Roman" w:eastAsia="仿宋_GB2312" w:cs="Times New Roman"/>
          <w:sz w:val="32"/>
          <w:szCs w:val="32"/>
        </w:rPr>
        <w:t>牢固树立党的一切工作到支部的鲜明导向，以《</w:t>
      </w:r>
      <w:r>
        <w:rPr>
          <w:rFonts w:hint="eastAsia" w:ascii="Times New Roman" w:hAnsi="Times New Roman" w:eastAsia="仿宋_GB2312" w:cs="Times New Roman"/>
          <w:sz w:val="32"/>
          <w:szCs w:val="32"/>
          <w:lang w:eastAsia="zh-CN"/>
        </w:rPr>
        <w:t>中国共产党党和国家机关基层组织工作条例</w:t>
      </w:r>
      <w:r>
        <w:rPr>
          <w:rFonts w:hint="default" w:ascii="Times New Roman" w:hAnsi="Times New Roman" w:eastAsia="仿宋_GB2312" w:cs="Times New Roman"/>
          <w:sz w:val="32"/>
          <w:szCs w:val="32"/>
        </w:rPr>
        <w:t>》为重要遵循，指导支部党建工作，切实发挥党组织战斗堡垒作用和党员先锋模范作用。以提升组织力为重点，制定《党支部2020年主要工作安排表》，对全年支部党建工作实行清单化管理，确保抓实、抓细、抓到位。</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8.全面规范日常管理。</w:t>
      </w:r>
      <w:r>
        <w:rPr>
          <w:rFonts w:hint="default" w:ascii="Times New Roman" w:hAnsi="Times New Roman" w:eastAsia="仿宋_GB2312" w:cs="Times New Roman"/>
          <w:sz w:val="32"/>
          <w:szCs w:val="32"/>
        </w:rPr>
        <w:t>用好党支部建设“一本通”，规范落实“三会一课”、组织生活会、民主评议党员等七项组织生活制度。加强仪式感教育，规范入党宣誓、政治生日等流程，“七一”前组织党员开展“四重四亮”活动，激发党员爱党爱国热情。健全与村、社区结对共建工作机制，常态化开展“党员义工365”等主题党日活动，推动党建资源共享、党员服务下沉。做好党员发展、党组织关系接转、党费收缴管理使用等基础工作。</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9.深化机关党建创新。</w:t>
      </w:r>
      <w:r>
        <w:rPr>
          <w:rFonts w:hint="default" w:ascii="Times New Roman" w:hAnsi="Times New Roman" w:eastAsia="仿宋_GB2312" w:cs="Times New Roman"/>
          <w:sz w:val="32"/>
          <w:szCs w:val="32"/>
        </w:rPr>
        <w:t>创新开展“十个一”系列活动，深化“3C”党建工作法内涵，争创“标准+示范”党支部。持续完善“党员之家”“悦读角”“清廉财政”等党建阵地建设，探索“互联网+智慧党建”有效实施路径，把党组织的政治优势转化为制胜优势，提升“知行合一”特色党支部建设成效。</w:t>
      </w:r>
    </w:p>
    <w:p>
      <w:pPr>
        <w:pStyle w:val="3"/>
        <w:spacing w:line="57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四、织密监督之网，深化机关效能建设</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10. 整治形式主义、官僚主义。</w:t>
      </w:r>
      <w:r>
        <w:rPr>
          <w:rFonts w:hint="default" w:ascii="Times New Roman" w:hAnsi="Times New Roman" w:eastAsia="仿宋_GB2312" w:cs="Times New Roman"/>
          <w:sz w:val="32"/>
          <w:szCs w:val="32"/>
        </w:rPr>
        <w:t>坚持从具体问题抓起，</w:t>
      </w:r>
      <w:r>
        <w:rPr>
          <w:rFonts w:hint="default" w:ascii="Times New Roman" w:hAnsi="Times New Roman" w:eastAsia="仿宋_GB2312" w:cs="Times New Roman"/>
          <w:snapToGrid w:val="0"/>
          <w:kern w:val="0"/>
          <w:sz w:val="32"/>
          <w:szCs w:val="32"/>
        </w:rPr>
        <w:t>全面排查形式主义、官僚主义突出问题，更新完善问题整治清单，推进问题真抓实改。</w:t>
      </w:r>
      <w:r>
        <w:rPr>
          <w:rFonts w:hint="default" w:ascii="Times New Roman" w:hAnsi="Times New Roman" w:eastAsia="仿宋_GB2312" w:cs="Times New Roman"/>
          <w:sz w:val="32"/>
          <w:szCs w:val="32"/>
        </w:rPr>
        <w:t>紧盯群众反映的痛点、难点、堵点问题，</w:t>
      </w:r>
      <w:r>
        <w:rPr>
          <w:rFonts w:hint="default" w:ascii="Times New Roman" w:hAnsi="Times New Roman" w:eastAsia="仿宋_GB2312" w:cs="Times New Roman"/>
          <w:snapToGrid w:val="0"/>
          <w:kern w:val="0"/>
          <w:sz w:val="32"/>
          <w:szCs w:val="32"/>
        </w:rPr>
        <w:t>加强调查研究，</w:t>
      </w:r>
      <w:r>
        <w:rPr>
          <w:rFonts w:hint="default" w:ascii="Times New Roman" w:hAnsi="Times New Roman" w:eastAsia="仿宋_GB2312" w:cs="Times New Roman"/>
          <w:sz w:val="32"/>
          <w:szCs w:val="32"/>
        </w:rPr>
        <w:t>采取“四不两直”方式，深入基层、企业、社区，沉下心来“解剖麻雀”，破解难题。</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xml:space="preserve">11. </w:t>
      </w:r>
      <w:r>
        <w:rPr>
          <w:rFonts w:hint="eastAsia" w:ascii="Times New Roman" w:hAnsi="Times New Roman" w:eastAsia="楷体_GB2312" w:cs="Times New Roman"/>
          <w:b/>
          <w:bCs/>
          <w:sz w:val="32"/>
          <w:szCs w:val="32"/>
          <w:lang w:val="en-US" w:eastAsia="zh-CN"/>
        </w:rPr>
        <w:t>驰</w:t>
      </w:r>
      <w:r>
        <w:rPr>
          <w:rFonts w:hint="default" w:ascii="Times New Roman" w:hAnsi="Times New Roman" w:eastAsia="楷体_GB2312" w:cs="Times New Roman"/>
          <w:b/>
          <w:bCs/>
          <w:sz w:val="32"/>
          <w:szCs w:val="32"/>
        </w:rPr>
        <w:t>而不息推进作风建设。</w:t>
      </w:r>
      <w:r>
        <w:rPr>
          <w:rFonts w:hint="default" w:ascii="Times New Roman" w:hAnsi="Times New Roman" w:eastAsia="仿宋_GB2312" w:cs="Times New Roman"/>
          <w:sz w:val="32"/>
          <w:szCs w:val="32"/>
        </w:rPr>
        <w:t>严格落实中央八项规定，以及省委、市委、区委相关规定要求，从严执行《钟楼区机关工作人员作风建设“十带头、十严禁”规定》《钟楼区机关首问负责制实施办法（试行）》等制度办法，</w:t>
      </w:r>
      <w:r>
        <w:rPr>
          <w:rFonts w:hint="default" w:ascii="Times New Roman" w:hAnsi="Times New Roman" w:eastAsia="仿宋_GB2312" w:cs="Times New Roman"/>
          <w:spacing w:val="-8"/>
          <w:kern w:val="0"/>
          <w:sz w:val="32"/>
          <w:szCs w:val="32"/>
        </w:rPr>
        <w:t>严防“四风”问题反弹回潮。</w:t>
      </w:r>
      <w:r>
        <w:rPr>
          <w:rFonts w:hint="default" w:ascii="Times New Roman" w:hAnsi="Times New Roman" w:eastAsia="仿宋_GB2312" w:cs="Times New Roman"/>
          <w:sz w:val="32"/>
          <w:szCs w:val="32"/>
        </w:rPr>
        <w:t>10月，组织开展作风建设主题月活动。</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12. 推动机关作风提质增效。</w:t>
      </w:r>
      <w:r>
        <w:rPr>
          <w:rFonts w:hint="default" w:ascii="Times New Roman" w:hAnsi="Times New Roman" w:eastAsia="仿宋_GB2312" w:cs="Times New Roman"/>
          <w:sz w:val="32"/>
          <w:szCs w:val="32"/>
        </w:rPr>
        <w:t>弘扬“马上就办、真抓实干”优良作风，紧贴“重大项目强化攻坚年”活动，高质量落实30项年度财政重点工作。年内，继续开展“上门服务至少一次”活动，争取全年上门服务企业不低于100户，服务基层部门不少于100次。三季度，开展1次财政宣传月主题活动。</w:t>
      </w:r>
    </w:p>
    <w:p>
      <w:pPr>
        <w:pStyle w:val="3"/>
        <w:spacing w:line="57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五、紧绷纪律之弦，营造良好政治生态</w:t>
      </w:r>
    </w:p>
    <w:p>
      <w:pPr>
        <w:spacing w:line="570" w:lineRule="exact"/>
        <w:ind w:firstLine="643"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bCs/>
          <w:sz w:val="32"/>
          <w:szCs w:val="32"/>
        </w:rPr>
        <w:t>13. 抓好巡视巡察整改落实。</w:t>
      </w:r>
      <w:r>
        <w:rPr>
          <w:rFonts w:hint="default" w:ascii="Times New Roman" w:hAnsi="Times New Roman" w:eastAsia="仿宋_GB2312" w:cs="Times New Roman"/>
          <w:b w:val="0"/>
          <w:bCs w:val="0"/>
          <w:kern w:val="2"/>
          <w:sz w:val="32"/>
          <w:szCs w:val="32"/>
          <w:lang w:val="en-US" w:eastAsia="zh-CN" w:bidi="ar-SA"/>
        </w:rPr>
        <w:t>对照巡视巡察“体检”问题清单，找准病因，对症下药，列出问题整改责任清单，层层压实工作责任，定人限时整改到位，逐条逐项对帐销号，做实做深“后半篇文章”。进一步巩固“一学习两整治”成果。年内，做好迎接区委巡察的准备。</w:t>
      </w:r>
    </w:p>
    <w:p>
      <w:pPr>
        <w:pStyle w:val="2"/>
        <w:spacing w:line="570" w:lineRule="exact"/>
        <w:ind w:left="0" w:leftChars="0" w:firstLine="643"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rPr>
        <w:t>14. 推进清廉财政建设。</w:t>
      </w:r>
      <w:r>
        <w:rPr>
          <w:rFonts w:hint="default" w:ascii="Times New Roman" w:hAnsi="Times New Roman" w:eastAsia="仿宋_GB2312" w:cs="Times New Roman"/>
          <w:b w:val="0"/>
          <w:bCs w:val="0"/>
          <w:kern w:val="2"/>
          <w:sz w:val="32"/>
          <w:szCs w:val="32"/>
          <w:lang w:val="en-US" w:eastAsia="zh-CN" w:bidi="ar-SA"/>
        </w:rPr>
        <w:t>运用“四种形态”，及时发现和解决苗头性、倾向性问题。定期开展安全隐患排查和廉政风险点排查，推进廉洁风险防控工作。持续开展纪律教育、廉政教育和警示教育，专题学习《准则》《条例》等党纪党规，对新任职党员干部及时进行廉政谈话，确保财政人员、资金“双安全”。11月，组织开展“廉政教育学习周”活动。</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15. 加强权力运行监督。</w:t>
      </w:r>
      <w:r>
        <w:rPr>
          <w:rFonts w:hint="default" w:ascii="Times New Roman" w:hAnsi="Times New Roman" w:eastAsia="仿宋_GB2312" w:cs="Times New Roman"/>
          <w:sz w:val="32"/>
          <w:szCs w:val="32"/>
        </w:rPr>
        <w:t>构建“大监督”机制，认真落实《2020年财政监督检查计划》，加大专项资金使用、政府采购、“三公”经费、零星工程建设等领域监督检查力度。借鉴嘉善县财政局有益做法，加强基层财政内控体系建设，推进反腐倡廉关口前移。规范代理记账行业管理，加大代理记账机构监督检查力度。</w:t>
      </w:r>
    </w:p>
    <w:p>
      <w:pPr>
        <w:pStyle w:val="3"/>
        <w:spacing w:line="57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六、厚积奋进之力，激发队伍生机活力</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16. 搭建专业成长平台。</w:t>
      </w:r>
      <w:r>
        <w:rPr>
          <w:rFonts w:hint="default" w:ascii="Times New Roman" w:hAnsi="Times New Roman" w:eastAsia="仿宋_GB2312" w:cs="Times New Roman"/>
          <w:sz w:val="32"/>
          <w:szCs w:val="32"/>
        </w:rPr>
        <w:t>制定《2020年全区财政系统教育培训计划》，落实思想政治、党风廉政、能力素质和干部队伍等4大类30余项培训，增强干部职工人岗匹配度和兼容性。采取领导引学、专家讲学、互动研学等方式，持续丰富“学思践悟”财政干部讲坛形式和内涵，着力提升干部职工“提笔能写、开口能讲、问策能对、遇事能办”的综合能力。</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17. 树立正向激励导向。</w:t>
      </w:r>
      <w:r>
        <w:rPr>
          <w:rFonts w:hint="default" w:ascii="Times New Roman" w:hAnsi="Times New Roman" w:eastAsia="仿宋_GB2312" w:cs="Times New Roman"/>
          <w:sz w:val="32"/>
          <w:szCs w:val="32"/>
        </w:rPr>
        <w:t>重视干部培养，坚持严管和厚爱结合、约束和激励并重。聚焦“8090”财政青年，落实“财青+4”培养机制，搭建年轻干部成长平台和环境。科学设立“财政先锋”考核体系，广泛开展基层分局“优胜单位”、局机关“先进科室”、结算中心“双星”评选、优秀“财青年”评选等活动，营造主动担当作为氛围，激发干事创业激情。</w:t>
      </w:r>
    </w:p>
    <w:p>
      <w:pPr>
        <w:pStyle w:val="3"/>
        <w:spacing w:line="57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18. 涵养财政文化内涵。</w:t>
      </w:r>
      <w:r>
        <w:rPr>
          <w:rFonts w:hint="default" w:ascii="Times New Roman" w:hAnsi="Times New Roman" w:eastAsia="仿宋_GB2312" w:cs="Times New Roman"/>
          <w:sz w:val="32"/>
          <w:szCs w:val="32"/>
        </w:rPr>
        <w:t>坚持党建带团建、带群建，积极参加各类志愿服务活动。持续擦亮“书香财政”品牌，开展“朗读者”读书活动。办好“道德讲堂”系列活动，讲好身边人、身边事。开展经常性谈心谈话工作，及时了解干部思想动态，关心干部职工的身心健康。尽力帮扶困难党员群众，提升机关党建“温度”。</w:t>
      </w:r>
    </w:p>
    <w:p>
      <w:pPr>
        <w:pStyle w:val="3"/>
        <w:spacing w:line="570" w:lineRule="exact"/>
        <w:ind w:leftChars="0"/>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sectPr>
      <w:headerReference r:id="rId3" w:type="default"/>
      <w:footerReference r:id="rId4" w:type="default"/>
      <w:pgSz w:w="11906" w:h="16838"/>
      <w:pgMar w:top="2098" w:right="1417" w:bottom="1984" w:left="1644"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61" w:wrap="around" w:vAnchor="text" w:hAnchor="margin" w:xAlign="outside" w:y="1"/>
      <w:jc w:val="center"/>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8</w:t>
    </w:r>
    <w:r>
      <w:rPr>
        <w:rStyle w:val="11"/>
        <w:rFonts w:ascii="宋体" w:hAnsi="宋体"/>
        <w:sz w:val="28"/>
        <w:szCs w:val="28"/>
      </w:rPr>
      <w:fldChar w:fldCharType="end"/>
    </w:r>
    <w:r>
      <w:rPr>
        <w:rStyle w:val="11"/>
        <w:rFonts w:ascii="宋体" w:hAnsi="宋体"/>
        <w:sz w:val="28"/>
        <w:szCs w:val="28"/>
      </w:rPr>
      <w:t xml:space="preserve"> —</w:t>
    </w:r>
  </w:p>
  <w:p>
    <w:pPr>
      <w:pStyle w:val="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5NWQ2OTU1OGVjMGY1ODg1NzM3NDc2ZDYxMjhkZTIifQ=="/>
  </w:docVars>
  <w:rsids>
    <w:rsidRoot w:val="5D494A44"/>
    <w:rsid w:val="00034D54"/>
    <w:rsid w:val="000A29C1"/>
    <w:rsid w:val="000D151F"/>
    <w:rsid w:val="00130C68"/>
    <w:rsid w:val="001953BC"/>
    <w:rsid w:val="00227911"/>
    <w:rsid w:val="002635E9"/>
    <w:rsid w:val="003114C4"/>
    <w:rsid w:val="0033112A"/>
    <w:rsid w:val="00362544"/>
    <w:rsid w:val="003E52CF"/>
    <w:rsid w:val="00416EE5"/>
    <w:rsid w:val="00461FC6"/>
    <w:rsid w:val="00554F32"/>
    <w:rsid w:val="005D0FE7"/>
    <w:rsid w:val="00607FF3"/>
    <w:rsid w:val="006A7297"/>
    <w:rsid w:val="00752DE0"/>
    <w:rsid w:val="007954AA"/>
    <w:rsid w:val="007D6731"/>
    <w:rsid w:val="00822C8A"/>
    <w:rsid w:val="00856480"/>
    <w:rsid w:val="009637C2"/>
    <w:rsid w:val="0096791A"/>
    <w:rsid w:val="009726E8"/>
    <w:rsid w:val="00A03A48"/>
    <w:rsid w:val="00A12CCF"/>
    <w:rsid w:val="00A5036B"/>
    <w:rsid w:val="00A71972"/>
    <w:rsid w:val="00A777F8"/>
    <w:rsid w:val="00A77E1A"/>
    <w:rsid w:val="00B01120"/>
    <w:rsid w:val="00BC54D3"/>
    <w:rsid w:val="00BF4819"/>
    <w:rsid w:val="00C73D3A"/>
    <w:rsid w:val="00DE6FAA"/>
    <w:rsid w:val="00E03FFE"/>
    <w:rsid w:val="00E56C99"/>
    <w:rsid w:val="011F2845"/>
    <w:rsid w:val="02AA506B"/>
    <w:rsid w:val="030653D7"/>
    <w:rsid w:val="0481773E"/>
    <w:rsid w:val="06994AFA"/>
    <w:rsid w:val="0769217D"/>
    <w:rsid w:val="08CD1804"/>
    <w:rsid w:val="09B62FE9"/>
    <w:rsid w:val="0B6B1CFE"/>
    <w:rsid w:val="0F8761F4"/>
    <w:rsid w:val="11D3514E"/>
    <w:rsid w:val="12201A93"/>
    <w:rsid w:val="135E63E7"/>
    <w:rsid w:val="148839E8"/>
    <w:rsid w:val="152A0185"/>
    <w:rsid w:val="16E01D7A"/>
    <w:rsid w:val="171F51F4"/>
    <w:rsid w:val="18E87131"/>
    <w:rsid w:val="1A5F4F53"/>
    <w:rsid w:val="1AFD224E"/>
    <w:rsid w:val="1B5F34E0"/>
    <w:rsid w:val="1B6D5173"/>
    <w:rsid w:val="1B9B7F4E"/>
    <w:rsid w:val="1BB76A72"/>
    <w:rsid w:val="1C5A4F62"/>
    <w:rsid w:val="1C6F7D23"/>
    <w:rsid w:val="1D1725EA"/>
    <w:rsid w:val="1D26386D"/>
    <w:rsid w:val="1D3C1056"/>
    <w:rsid w:val="20ED0D22"/>
    <w:rsid w:val="213D5586"/>
    <w:rsid w:val="218F477B"/>
    <w:rsid w:val="244C0DD5"/>
    <w:rsid w:val="27BA7587"/>
    <w:rsid w:val="2AF46FF2"/>
    <w:rsid w:val="2BE4342E"/>
    <w:rsid w:val="2D1D2C9E"/>
    <w:rsid w:val="2F4F2BED"/>
    <w:rsid w:val="30D850D1"/>
    <w:rsid w:val="33A02E60"/>
    <w:rsid w:val="35712DBD"/>
    <w:rsid w:val="35BE6A1D"/>
    <w:rsid w:val="38F71F30"/>
    <w:rsid w:val="3946789E"/>
    <w:rsid w:val="3A8465F9"/>
    <w:rsid w:val="3B2C244E"/>
    <w:rsid w:val="3B862C79"/>
    <w:rsid w:val="3F7945FF"/>
    <w:rsid w:val="3FCC49FE"/>
    <w:rsid w:val="40455D7F"/>
    <w:rsid w:val="40471E88"/>
    <w:rsid w:val="420966C3"/>
    <w:rsid w:val="43E22AB7"/>
    <w:rsid w:val="44200873"/>
    <w:rsid w:val="44214840"/>
    <w:rsid w:val="449133E9"/>
    <w:rsid w:val="48CA3690"/>
    <w:rsid w:val="49563BFD"/>
    <w:rsid w:val="497A6CB3"/>
    <w:rsid w:val="4C227758"/>
    <w:rsid w:val="4F5175FD"/>
    <w:rsid w:val="5023651B"/>
    <w:rsid w:val="51981B05"/>
    <w:rsid w:val="52652C11"/>
    <w:rsid w:val="54AC7FCF"/>
    <w:rsid w:val="554524CD"/>
    <w:rsid w:val="56A320FF"/>
    <w:rsid w:val="56B941B1"/>
    <w:rsid w:val="56C22E4B"/>
    <w:rsid w:val="570E737A"/>
    <w:rsid w:val="57A34046"/>
    <w:rsid w:val="58733D99"/>
    <w:rsid w:val="58FE2A0D"/>
    <w:rsid w:val="59DC417C"/>
    <w:rsid w:val="5B3C3637"/>
    <w:rsid w:val="5C216B6B"/>
    <w:rsid w:val="5CF3674A"/>
    <w:rsid w:val="5D494A44"/>
    <w:rsid w:val="60D429AB"/>
    <w:rsid w:val="622D018F"/>
    <w:rsid w:val="624318E9"/>
    <w:rsid w:val="655C1404"/>
    <w:rsid w:val="66E42AC9"/>
    <w:rsid w:val="69B64E9B"/>
    <w:rsid w:val="6D000410"/>
    <w:rsid w:val="6DE54868"/>
    <w:rsid w:val="6E645938"/>
    <w:rsid w:val="6F727372"/>
    <w:rsid w:val="71D40585"/>
    <w:rsid w:val="733B6DFC"/>
    <w:rsid w:val="736237AF"/>
    <w:rsid w:val="73CC77EB"/>
    <w:rsid w:val="751D431D"/>
    <w:rsid w:val="768F6CA3"/>
    <w:rsid w:val="76E67CFE"/>
    <w:rsid w:val="78102E65"/>
    <w:rsid w:val="78517CA7"/>
    <w:rsid w:val="7B5A48C4"/>
    <w:rsid w:val="7BAD498A"/>
    <w:rsid w:val="7CDC59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name="Normal (Web)"/>
    <w:lsdException w:qFormat="1" w:unhideWhenUsed="0" w:uiPriority="99" w:name="HTML Acronym"/>
    <w:lsdException w:uiPriority="99" w:name="HTML Address"/>
    <w:lsdException w:qFormat="1" w:unhideWhenUsed="0" w:uiPriority="99" w:name="HTML Cite"/>
    <w:lsdException w:unhideWhenUsed="0" w:uiPriority="99" w:name="HTML Code"/>
    <w:lsdException w:qFormat="1" w:unhideWhenUsed="0"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0"/>
    <w:qFormat/>
    <w:locked/>
    <w:uiPriority w:val="99"/>
    <w:pPr>
      <w:keepNext/>
      <w:keepLines/>
      <w:spacing w:before="340" w:after="330" w:line="578" w:lineRule="auto"/>
      <w:outlineLvl w:val="0"/>
    </w:pPr>
    <w:rPr>
      <w:b/>
      <w:bCs/>
      <w:kern w:val="44"/>
      <w:sz w:val="44"/>
      <w:szCs w:val="44"/>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21"/>
    <w:qFormat/>
    <w:uiPriority w:val="99"/>
    <w:pPr>
      <w:ind w:left="640" w:leftChars="200"/>
      <w:outlineLvl w:val="0"/>
    </w:pPr>
    <w:rPr>
      <w:rFonts w:ascii="Cambria" w:hAnsi="Cambria"/>
      <w:b/>
      <w:bCs/>
      <w:kern w:val="0"/>
      <w:sz w:val="32"/>
      <w:szCs w:val="32"/>
    </w:rPr>
  </w:style>
  <w:style w:type="paragraph" w:customStyle="1" w:styleId="3">
    <w:name w:val="Body Text Indent1"/>
    <w:basedOn w:val="1"/>
    <w:qFormat/>
    <w:uiPriority w:val="99"/>
    <w:pPr>
      <w:ind w:left="420" w:leftChars="200"/>
    </w:pPr>
  </w:style>
  <w:style w:type="paragraph" w:styleId="5">
    <w:name w:val="footer"/>
    <w:basedOn w:val="1"/>
    <w:link w:val="22"/>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Normal (Web)"/>
    <w:basedOn w:val="1"/>
    <w:semiHidden/>
    <w:qFormat/>
    <w:uiPriority w:val="99"/>
    <w:pPr>
      <w:spacing w:beforeAutospacing="1" w:afterAutospacing="1"/>
      <w:jc w:val="left"/>
    </w:pPr>
    <w:rPr>
      <w:kern w:val="0"/>
      <w:sz w:val="24"/>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qFormat/>
    <w:uiPriority w:val="99"/>
    <w:rPr>
      <w:rFonts w:cs="Times New Roman"/>
      <w:color w:val="333333"/>
      <w:u w:val="none"/>
    </w:rPr>
  </w:style>
  <w:style w:type="character" w:styleId="13">
    <w:name w:val="Emphasis"/>
    <w:basedOn w:val="10"/>
    <w:qFormat/>
    <w:locked/>
    <w:uiPriority w:val="99"/>
    <w:rPr>
      <w:rFonts w:cs="Times New Roman"/>
    </w:rPr>
  </w:style>
  <w:style w:type="character" w:styleId="14">
    <w:name w:val="HTML Definition"/>
    <w:basedOn w:val="10"/>
    <w:semiHidden/>
    <w:qFormat/>
    <w:uiPriority w:val="99"/>
    <w:rPr>
      <w:rFonts w:cs="Times New Roman"/>
    </w:rPr>
  </w:style>
  <w:style w:type="character" w:styleId="15">
    <w:name w:val="HTML Acronym"/>
    <w:basedOn w:val="10"/>
    <w:semiHidden/>
    <w:qFormat/>
    <w:uiPriority w:val="99"/>
    <w:rPr>
      <w:rFonts w:cs="Times New Roman"/>
    </w:rPr>
  </w:style>
  <w:style w:type="character" w:styleId="16">
    <w:name w:val="HTML Variable"/>
    <w:basedOn w:val="10"/>
    <w:semiHidden/>
    <w:qFormat/>
    <w:uiPriority w:val="99"/>
    <w:rPr>
      <w:rFonts w:cs="Times New Roman"/>
    </w:rPr>
  </w:style>
  <w:style w:type="character" w:styleId="17">
    <w:name w:val="Hyperlink"/>
    <w:basedOn w:val="10"/>
    <w:semiHidden/>
    <w:qFormat/>
    <w:uiPriority w:val="99"/>
    <w:rPr>
      <w:rFonts w:cs="Times New Roman"/>
      <w:color w:val="333333"/>
      <w:u w:val="none"/>
    </w:rPr>
  </w:style>
  <w:style w:type="character" w:styleId="18">
    <w:name w:val="HTML Code"/>
    <w:basedOn w:val="10"/>
    <w:semiHidden/>
    <w:uiPriority w:val="99"/>
    <w:rPr>
      <w:rFonts w:ascii="Courier New" w:hAnsi="Courier New" w:cs="Times New Roman"/>
      <w:sz w:val="20"/>
    </w:rPr>
  </w:style>
  <w:style w:type="character" w:styleId="19">
    <w:name w:val="HTML Cite"/>
    <w:basedOn w:val="10"/>
    <w:semiHidden/>
    <w:qFormat/>
    <w:uiPriority w:val="99"/>
    <w:rPr>
      <w:rFonts w:cs="Times New Roman"/>
    </w:rPr>
  </w:style>
  <w:style w:type="character" w:customStyle="1" w:styleId="20">
    <w:name w:val="Heading 1 Char"/>
    <w:basedOn w:val="10"/>
    <w:link w:val="4"/>
    <w:locked/>
    <w:uiPriority w:val="99"/>
    <w:rPr>
      <w:rFonts w:ascii="Calibri" w:hAnsi="Calibri" w:cs="Times New Roman"/>
      <w:b/>
      <w:bCs/>
      <w:kern w:val="44"/>
      <w:sz w:val="44"/>
      <w:szCs w:val="44"/>
    </w:rPr>
  </w:style>
  <w:style w:type="character" w:customStyle="1" w:styleId="21">
    <w:name w:val="Title Char"/>
    <w:basedOn w:val="10"/>
    <w:link w:val="2"/>
    <w:locked/>
    <w:uiPriority w:val="99"/>
    <w:rPr>
      <w:rFonts w:ascii="Cambria" w:hAnsi="Cambria"/>
      <w:b/>
      <w:sz w:val="32"/>
    </w:rPr>
  </w:style>
  <w:style w:type="character" w:customStyle="1" w:styleId="22">
    <w:name w:val="Footer Char"/>
    <w:basedOn w:val="10"/>
    <w:link w:val="5"/>
    <w:semiHidden/>
    <w:locked/>
    <w:uiPriority w:val="99"/>
    <w:rPr>
      <w:sz w:val="18"/>
    </w:rPr>
  </w:style>
  <w:style w:type="character" w:customStyle="1" w:styleId="23">
    <w:name w:val="Header Char"/>
    <w:basedOn w:val="10"/>
    <w:link w:val="6"/>
    <w:semiHidden/>
    <w:locked/>
    <w:uiPriority w:val="99"/>
    <w:rPr>
      <w:sz w:val="18"/>
    </w:rPr>
  </w:style>
  <w:style w:type="character" w:customStyle="1" w:styleId="24">
    <w:name w:val="imginfo"/>
    <w:basedOn w:val="10"/>
    <w:uiPriority w:val="99"/>
    <w:rPr>
      <w:rFonts w:cs="Times New Roman"/>
      <w:color w:val="004276"/>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6</Pages>
  <Words>3246</Words>
  <Characters>3324</Characters>
  <Lines>0</Lines>
  <Paragraphs>0</Paragraphs>
  <TotalTime>1</TotalTime>
  <ScaleCrop>false</ScaleCrop>
  <LinksUpToDate>false</LinksUpToDate>
  <CharactersWithSpaces>3340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2020-02-24T02:07:00Z</dcterms:created>
  <dc:creator>asus</dc:creator>
  <cp:lastModifiedBy>丹丹</cp:lastModifiedBy>
  <cp:lastPrinted>2020-02-28T06:22:00Z</cp:lastPrinted>
  <dcterms:modified xsi:type="dcterms:W3CDTF">2024-05-17T07:18:25Z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9AA8D9E95D874762B80C3837AE7F57E6_12</vt:lpwstr>
  </property>
</Properties>
</file>