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AAB357">
      <w:pPr>
        <w:adjustRightInd w:val="0"/>
        <w:spacing w:line="560" w:lineRule="exact"/>
        <w:jc w:val="center"/>
        <w:rPr>
          <w:rFonts w:eastAsia="方正小标宋简体"/>
          <w:color w:val="000000"/>
          <w:sz w:val="52"/>
          <w:szCs w:val="52"/>
        </w:rPr>
      </w:pPr>
      <w:r>
        <w:rPr>
          <w:rFonts w:eastAsia="方正小标宋简体"/>
          <w:color w:val="000000"/>
          <w:sz w:val="52"/>
          <w:szCs w:val="52"/>
        </w:rPr>
        <w:t>常州市钟楼区人民政府</w:t>
      </w:r>
    </w:p>
    <w:p w14:paraId="6B993563">
      <w:pPr>
        <w:adjustRightInd w:val="0"/>
        <w:spacing w:line="560" w:lineRule="exact"/>
        <w:jc w:val="center"/>
        <w:rPr>
          <w:rFonts w:eastAsia="方正小标宋简体"/>
          <w:color w:val="000000"/>
          <w:sz w:val="52"/>
          <w:szCs w:val="52"/>
        </w:rPr>
      </w:pPr>
      <w:r>
        <w:rPr>
          <w:rFonts w:eastAsia="方正小标宋简体"/>
          <w:color w:val="000000"/>
          <w:sz w:val="52"/>
          <w:szCs w:val="52"/>
        </w:rPr>
        <w:t>行政复议决定书</w:t>
      </w:r>
    </w:p>
    <w:p w14:paraId="623592FC">
      <w:pPr>
        <w:spacing w:line="560" w:lineRule="exact"/>
        <w:jc w:val="right"/>
        <w:rPr>
          <w:rFonts w:eastAsia="仿宋_GB2312"/>
          <w:sz w:val="32"/>
          <w:szCs w:val="32"/>
        </w:rPr>
      </w:pPr>
    </w:p>
    <w:p w14:paraId="3493991C">
      <w:pPr>
        <w:tabs>
          <w:tab w:val="left" w:pos="2517"/>
          <w:tab w:val="right" w:pos="8964"/>
        </w:tabs>
        <w:spacing w:line="560" w:lineRule="exact"/>
        <w:jc w:val="left"/>
        <w:rPr>
          <w:rFonts w:eastAsia="仿宋_GB2312"/>
          <w:color w:val="000000"/>
          <w:sz w:val="32"/>
          <w:szCs w:val="32"/>
        </w:rPr>
      </w:pPr>
      <w:r>
        <w:rPr>
          <w:rFonts w:eastAsia="仿宋_GB2312"/>
          <w:sz w:val="32"/>
          <w:szCs w:val="32"/>
        </w:rPr>
        <w:tab/>
      </w:r>
      <w:r>
        <w:rPr>
          <w:rFonts w:eastAsia="仿宋_GB2312"/>
          <w:sz w:val="32"/>
          <w:szCs w:val="32"/>
        </w:rPr>
        <w:tab/>
      </w:r>
      <w:r>
        <w:rPr>
          <w:rFonts w:eastAsia="仿宋_GB2312"/>
          <w:sz w:val="32"/>
          <w:szCs w:val="32"/>
        </w:rPr>
        <w:t>〔202</w:t>
      </w:r>
      <w:r>
        <w:rPr>
          <w:rFonts w:hint="eastAsia" w:eastAsia="仿宋_GB2312"/>
          <w:sz w:val="32"/>
          <w:szCs w:val="32"/>
          <w:lang w:val="en-US" w:eastAsia="zh-CN"/>
        </w:rPr>
        <w:t>4</w:t>
      </w:r>
      <w:r>
        <w:rPr>
          <w:rFonts w:eastAsia="仿宋_GB2312"/>
          <w:sz w:val="32"/>
          <w:szCs w:val="32"/>
        </w:rPr>
        <w:t>〕</w:t>
      </w:r>
      <w:r>
        <w:rPr>
          <w:rFonts w:eastAsia="仿宋_GB2312"/>
          <w:color w:val="000000"/>
          <w:sz w:val="32"/>
          <w:szCs w:val="32"/>
        </w:rPr>
        <w:t>常钟行复第</w:t>
      </w:r>
      <w:r>
        <w:rPr>
          <w:rFonts w:hint="eastAsia" w:eastAsia="仿宋_GB2312"/>
          <w:color w:val="000000"/>
          <w:sz w:val="32"/>
          <w:szCs w:val="32"/>
          <w:lang w:val="en-US" w:eastAsia="zh-CN"/>
        </w:rPr>
        <w:t>17</w:t>
      </w:r>
      <w:r>
        <w:rPr>
          <w:rFonts w:eastAsia="仿宋_GB2312"/>
          <w:color w:val="000000"/>
          <w:sz w:val="32"/>
          <w:szCs w:val="32"/>
        </w:rPr>
        <w:t>号</w:t>
      </w:r>
    </w:p>
    <w:p w14:paraId="1F82B410">
      <w:pPr>
        <w:spacing w:line="560" w:lineRule="exact"/>
        <w:ind w:firstLine="640" w:firstLineChars="200"/>
        <w:rPr>
          <w:rFonts w:eastAsia="仿宋_GB2312"/>
          <w:sz w:val="32"/>
          <w:szCs w:val="32"/>
        </w:rPr>
      </w:pPr>
    </w:p>
    <w:p w14:paraId="603B58D0">
      <w:pPr>
        <w:spacing w:line="560" w:lineRule="exact"/>
        <w:ind w:firstLine="640" w:firstLineChars="200"/>
        <w:rPr>
          <w:rFonts w:hint="eastAsia" w:eastAsia="仿宋_GB2312"/>
          <w:color w:val="000000"/>
          <w:sz w:val="32"/>
          <w:szCs w:val="32"/>
          <w:lang w:eastAsia="zh-CN"/>
        </w:rPr>
      </w:pPr>
      <w:r>
        <w:rPr>
          <w:rFonts w:eastAsia="仿宋_GB2312"/>
          <w:color w:val="000000"/>
          <w:sz w:val="32"/>
          <w:szCs w:val="32"/>
        </w:rPr>
        <w:t>申请人：</w:t>
      </w:r>
      <w:r>
        <w:rPr>
          <w:rFonts w:hint="eastAsia" w:eastAsia="仿宋_GB2312"/>
          <w:color w:val="000000"/>
          <w:sz w:val="32"/>
          <w:szCs w:val="32"/>
        </w:rPr>
        <w:t>秦</w:t>
      </w:r>
      <w:r>
        <w:rPr>
          <w:rFonts w:hint="eastAsia" w:eastAsia="仿宋_GB2312"/>
          <w:color w:val="000000"/>
          <w:sz w:val="32"/>
          <w:szCs w:val="32"/>
          <w:lang w:eastAsia="zh-CN"/>
        </w:rPr>
        <w:t>某</w:t>
      </w:r>
    </w:p>
    <w:p w14:paraId="29F0B97B">
      <w:pPr>
        <w:spacing w:line="560" w:lineRule="exact"/>
        <w:ind w:firstLine="640" w:firstLineChars="200"/>
        <w:rPr>
          <w:rFonts w:eastAsia="仿宋_GB2312"/>
          <w:sz w:val="32"/>
          <w:szCs w:val="32"/>
        </w:rPr>
      </w:pPr>
      <w:r>
        <w:rPr>
          <w:rFonts w:eastAsia="仿宋_GB2312"/>
          <w:sz w:val="32"/>
          <w:szCs w:val="32"/>
        </w:rPr>
        <w:t>被申请人：常州市钟楼区市场监督管理局</w:t>
      </w:r>
    </w:p>
    <w:p w14:paraId="7DD3AF58">
      <w:pPr>
        <w:spacing w:line="560" w:lineRule="exact"/>
        <w:ind w:firstLine="640" w:firstLineChars="200"/>
        <w:rPr>
          <w:rFonts w:eastAsia="仿宋_GB2312"/>
          <w:sz w:val="32"/>
          <w:szCs w:val="32"/>
        </w:rPr>
      </w:pPr>
      <w:r>
        <w:rPr>
          <w:rFonts w:eastAsia="仿宋_GB2312"/>
          <w:sz w:val="32"/>
          <w:szCs w:val="32"/>
        </w:rPr>
        <w:t>申请人</w:t>
      </w:r>
      <w:r>
        <w:rPr>
          <w:rFonts w:hint="eastAsia" w:eastAsia="仿宋_GB2312"/>
          <w:color w:val="000000"/>
          <w:sz w:val="32"/>
          <w:szCs w:val="32"/>
        </w:rPr>
        <w:t>秦</w:t>
      </w:r>
      <w:r>
        <w:rPr>
          <w:rFonts w:hint="eastAsia" w:eastAsia="仿宋_GB2312"/>
          <w:color w:val="000000"/>
          <w:sz w:val="32"/>
          <w:szCs w:val="32"/>
          <w:lang w:eastAsia="zh-CN"/>
        </w:rPr>
        <w:t>某</w:t>
      </w:r>
      <w:r>
        <w:rPr>
          <w:rFonts w:eastAsia="仿宋_GB2312"/>
          <w:sz w:val="32"/>
          <w:szCs w:val="32"/>
        </w:rPr>
        <w:t>对被申请人常州市钟楼区市场监督管理局作出的举报处理行为不服，于202</w:t>
      </w:r>
      <w:r>
        <w:rPr>
          <w:rFonts w:hint="eastAsia" w:eastAsia="仿宋_GB2312"/>
          <w:sz w:val="32"/>
          <w:szCs w:val="32"/>
          <w:lang w:val="en-US" w:eastAsia="zh-CN"/>
        </w:rPr>
        <w:t>4</w:t>
      </w:r>
      <w:r>
        <w:rPr>
          <w:rFonts w:eastAsia="仿宋_GB2312"/>
          <w:sz w:val="32"/>
          <w:szCs w:val="32"/>
        </w:rPr>
        <w:t>年</w:t>
      </w:r>
      <w:r>
        <w:rPr>
          <w:rFonts w:hint="eastAsia" w:eastAsia="仿宋_GB2312"/>
          <w:sz w:val="32"/>
          <w:szCs w:val="32"/>
          <w:lang w:val="en-US" w:eastAsia="zh-CN"/>
        </w:rPr>
        <w:t>1</w:t>
      </w:r>
      <w:r>
        <w:rPr>
          <w:rFonts w:eastAsia="仿宋_GB2312"/>
          <w:sz w:val="32"/>
          <w:szCs w:val="32"/>
        </w:rPr>
        <w:t>月</w:t>
      </w:r>
      <w:r>
        <w:rPr>
          <w:rFonts w:hint="eastAsia" w:eastAsia="仿宋_GB2312"/>
          <w:sz w:val="32"/>
          <w:szCs w:val="32"/>
          <w:lang w:val="en-US" w:eastAsia="zh-CN"/>
        </w:rPr>
        <w:t>23</w:t>
      </w:r>
      <w:r>
        <w:rPr>
          <w:rFonts w:eastAsia="仿宋_GB2312"/>
          <w:sz w:val="32"/>
          <w:szCs w:val="32"/>
        </w:rPr>
        <w:t>日向本机关申请行政复议，本机关依法</w:t>
      </w:r>
      <w:r>
        <w:rPr>
          <w:rFonts w:hint="eastAsia" w:eastAsia="仿宋_GB2312"/>
          <w:sz w:val="32"/>
          <w:szCs w:val="32"/>
          <w:lang w:val="en-US" w:eastAsia="zh-CN"/>
        </w:rPr>
        <w:t>于2024年1月29日</w:t>
      </w:r>
      <w:r>
        <w:rPr>
          <w:rFonts w:eastAsia="仿宋_GB2312"/>
          <w:sz w:val="32"/>
          <w:szCs w:val="32"/>
        </w:rPr>
        <w:t>已予受理。现已审理终结。</w:t>
      </w:r>
    </w:p>
    <w:p w14:paraId="5C5E8159">
      <w:pPr>
        <w:spacing w:line="560" w:lineRule="exact"/>
        <w:ind w:firstLine="640" w:firstLineChars="200"/>
        <w:rPr>
          <w:rFonts w:hint="eastAsia" w:eastAsia="仿宋_GB2312"/>
          <w:sz w:val="32"/>
          <w:szCs w:val="32"/>
          <w:lang w:val="en-US" w:eastAsia="zh-CN"/>
        </w:rPr>
      </w:pPr>
      <w:r>
        <w:rPr>
          <w:rFonts w:eastAsia="仿宋_GB2312"/>
          <w:sz w:val="32"/>
          <w:szCs w:val="32"/>
        </w:rPr>
        <w:t>申请人请求：</w:t>
      </w:r>
      <w:r>
        <w:rPr>
          <w:rFonts w:hint="eastAsia" w:eastAsia="仿宋_GB2312"/>
          <w:sz w:val="32"/>
          <w:szCs w:val="32"/>
          <w:lang w:val="en-US" w:eastAsia="zh-CN"/>
        </w:rPr>
        <w:t>1.撤销被申请人作出的《常钟市监告〔2023〕J120410号》告知书；2.责令被申请人重新作出处理，处理结果予以书面邮寄告知。</w:t>
      </w:r>
    </w:p>
    <w:p w14:paraId="46D79AE9">
      <w:pPr>
        <w:spacing w:line="560" w:lineRule="exact"/>
        <w:ind w:firstLine="640" w:firstLineChars="200"/>
        <w:rPr>
          <w:rFonts w:eastAsia="仿宋_GB2312"/>
          <w:sz w:val="32"/>
          <w:szCs w:val="32"/>
        </w:rPr>
      </w:pPr>
      <w:r>
        <w:rPr>
          <w:rFonts w:eastAsia="仿宋_GB2312"/>
          <w:sz w:val="32"/>
          <w:szCs w:val="32"/>
        </w:rPr>
        <w:t>申请人称</w:t>
      </w:r>
      <w:r>
        <w:rPr>
          <w:rFonts w:hint="eastAsia" w:eastAsia="仿宋_GB2312"/>
          <w:sz w:val="32"/>
          <w:szCs w:val="32"/>
          <w:lang w:eastAsia="zh-CN"/>
        </w:rPr>
        <w:t>：</w:t>
      </w:r>
      <w:r>
        <w:rPr>
          <w:rFonts w:hint="eastAsia" w:eastAsia="仿宋_GB2312"/>
          <w:sz w:val="32"/>
          <w:szCs w:val="32"/>
        </w:rPr>
        <w:t>申请人于2023年11月24日向被申请人书面邮寄标题为举报书的举报材料</w:t>
      </w:r>
      <w:r>
        <w:rPr>
          <w:rFonts w:hint="eastAsia" w:eastAsia="仿宋_GB2312"/>
          <w:sz w:val="32"/>
          <w:szCs w:val="32"/>
          <w:lang w:eastAsia="zh-CN"/>
        </w:rPr>
        <w:t>（</w:t>
      </w:r>
      <w:r>
        <w:rPr>
          <w:rFonts w:hint="eastAsia" w:eastAsia="仿宋_GB2312"/>
          <w:sz w:val="32"/>
          <w:szCs w:val="32"/>
        </w:rPr>
        <w:t>关于常州市</w:t>
      </w:r>
      <w:r>
        <w:rPr>
          <w:rFonts w:hint="eastAsia" w:eastAsia="仿宋_GB2312"/>
          <w:sz w:val="32"/>
          <w:szCs w:val="32"/>
          <w:lang w:eastAsia="zh-CN"/>
        </w:rPr>
        <w:t>某</w:t>
      </w:r>
      <w:r>
        <w:rPr>
          <w:rFonts w:hint="eastAsia" w:eastAsia="仿宋_GB2312"/>
          <w:sz w:val="32"/>
          <w:szCs w:val="32"/>
        </w:rPr>
        <w:t>有限公司生产销售的“</w:t>
      </w:r>
      <w:r>
        <w:rPr>
          <w:rFonts w:hint="eastAsia" w:eastAsia="仿宋_GB2312"/>
          <w:sz w:val="32"/>
          <w:szCs w:val="32"/>
          <w:lang w:eastAsia="zh-CN"/>
        </w:rPr>
        <w:t>某</w:t>
      </w:r>
      <w:r>
        <w:rPr>
          <w:rFonts w:hint="eastAsia" w:eastAsia="仿宋_GB2312"/>
          <w:sz w:val="32"/>
          <w:szCs w:val="32"/>
        </w:rPr>
        <w:t>枸杞子”</w:t>
      </w:r>
      <w:r>
        <w:rPr>
          <w:rFonts w:hint="eastAsia" w:eastAsia="仿宋_GB2312"/>
          <w:sz w:val="32"/>
          <w:szCs w:val="32"/>
          <w:lang w:eastAsia="zh-CN"/>
        </w:rPr>
        <w:t>）</w:t>
      </w:r>
      <w:r>
        <w:rPr>
          <w:rFonts w:hint="eastAsia" w:eastAsia="仿宋_GB2312"/>
          <w:sz w:val="32"/>
          <w:szCs w:val="32"/>
        </w:rPr>
        <w:t>。2023年12月4日被申请人作出的《常钟市监告〔2023〕J120410号》告知书。申请人不服，逐复议。申请人认为：依据《市场监督管理行政处罚程序规定》第十九条第一项规定有证据初步证明存在违反市场监督管理法律应予立案，申请人投诉举报材料中包含产品图片，涉案商品检测报告，购物信息等，申请人举报事项符合《市场监督管理行政处罚程序规定》第十九条第一项初步证明，倘若生产经营涉嫌违法的食品以现场未发现为由可以逃避责任这种说法显然是荒唐的。本案中被申请人现场未发现被举报人生产的涉案产品可以要求申请人提供所购商品实物协助调查但被申请人仅以现场未发现涉嫌违法食品和单方面采信被投诉举报人的检测报告为由不予立案，该不予立案理由认定事实不清，无法律依据支持，应予撤销。申请人认为《中华人民共和国食品安全法》第八十四条规定，符合本法规定的食品检验机构出具的检验报告具有同等效力，《市场监督管理行政处罚程序规定》第三十二条规定，为查明案情，需要对案件中专门事项进行检测、检验、检疫、鉴定的，市场监督管理部门应当委托具有法定资质的机构进行。本案中，申请人和被举报人双方提供的检测报告均为单方委托送检，在形式和内容上均符合规范，但检测结果相互矛盾，申请人提供的检测报告钠含量超过国家标准允许误差范围，被举报人提供的检测报告钠含量符合国家标准允许误差范围。在无充分证据否认一方检测报告结果的情况下，应由被申请人按照前述规定委托检验检测机构对涉案产品的钠含量进行检测。被申请人采信被举报人提供的检测报告以违法行为不成立为由作出不予立案的决定，属于认定事实不清，无法律依据支持，应予撤销。申请人举报的涉案产品是2023年3月6日所生产，请问被举报人提供的该报告产品生产日期是多少</w:t>
      </w:r>
      <w:r>
        <w:rPr>
          <w:rFonts w:hint="eastAsia" w:eastAsia="仿宋_GB2312"/>
          <w:sz w:val="32"/>
          <w:szCs w:val="32"/>
          <w:lang w:eastAsia="zh-CN"/>
        </w:rPr>
        <w:t>？</w:t>
      </w:r>
      <w:r>
        <w:rPr>
          <w:rFonts w:hint="eastAsia" w:eastAsia="仿宋_GB2312"/>
          <w:sz w:val="32"/>
          <w:szCs w:val="32"/>
        </w:rPr>
        <w:t>该检验报告不是被举报厂家全部产品营养成分钠含量合格的挡箭牌。依照《行政诉讼法》四十六条“公民、法人或者其他组织直接向人民法院提起诉讼的，应当自知道或者应当知道作出行政行为之日起六个月内提出。法律另有规定的除外。”等规定，根据“没有救济就没有权利”的原则，被申请人未告知申请人不服其作出的回复多少天内可向何机关复议，也未告知申请人多少天内可向何法院诉讼，严重剥夺了申请人的权利。综上，请求法制机关支持申请人的所诉所求。</w:t>
      </w:r>
    </w:p>
    <w:p w14:paraId="32E758AE">
      <w:pPr>
        <w:spacing w:line="560" w:lineRule="exact"/>
        <w:ind w:firstLine="640" w:firstLineChars="200"/>
        <w:rPr>
          <w:rFonts w:hint="default" w:eastAsia="仿宋_GB2312"/>
          <w:sz w:val="32"/>
          <w:szCs w:val="32"/>
          <w:lang w:val="en-US" w:eastAsia="zh-CN"/>
        </w:rPr>
      </w:pPr>
      <w:r>
        <w:rPr>
          <w:rFonts w:eastAsia="仿宋_GB2312"/>
          <w:sz w:val="32"/>
          <w:szCs w:val="32"/>
        </w:rPr>
        <w:t>申请人提交的主要证据材料有：</w:t>
      </w:r>
      <w:r>
        <w:rPr>
          <w:rFonts w:hint="eastAsia" w:eastAsia="仿宋_GB2312"/>
          <w:sz w:val="32"/>
          <w:szCs w:val="32"/>
          <w:lang w:val="en-US" w:eastAsia="zh-CN"/>
        </w:rPr>
        <w:t>1</w:t>
      </w:r>
      <w:r>
        <w:rPr>
          <w:rFonts w:hint="eastAsia" w:eastAsia="仿宋_GB2312"/>
          <w:sz w:val="32"/>
          <w:szCs w:val="32"/>
        </w:rPr>
        <w:t>.</w:t>
      </w:r>
      <w:r>
        <w:rPr>
          <w:rFonts w:hint="eastAsia" w:eastAsia="仿宋_GB2312"/>
          <w:sz w:val="32"/>
          <w:szCs w:val="32"/>
          <w:lang w:val="en-US" w:eastAsia="zh-CN"/>
        </w:rPr>
        <w:t>投诉举报书</w:t>
      </w:r>
      <w:r>
        <w:rPr>
          <w:rFonts w:hint="eastAsia" w:eastAsia="仿宋_GB2312"/>
          <w:sz w:val="32"/>
          <w:szCs w:val="32"/>
        </w:rPr>
        <w:t>；</w:t>
      </w:r>
      <w:r>
        <w:rPr>
          <w:rFonts w:hint="eastAsia" w:eastAsia="仿宋_GB2312"/>
          <w:sz w:val="32"/>
          <w:szCs w:val="32"/>
          <w:lang w:val="en-US" w:eastAsia="zh-CN"/>
        </w:rPr>
        <w:t>2</w:t>
      </w:r>
      <w:r>
        <w:rPr>
          <w:rFonts w:hint="eastAsia" w:eastAsia="仿宋_GB2312"/>
          <w:sz w:val="32"/>
          <w:szCs w:val="32"/>
        </w:rPr>
        <w:t>.消费记录截图；</w:t>
      </w:r>
      <w:r>
        <w:rPr>
          <w:rFonts w:hint="eastAsia" w:eastAsia="仿宋_GB2312"/>
          <w:sz w:val="32"/>
          <w:szCs w:val="32"/>
          <w:lang w:val="en-US" w:eastAsia="zh-CN"/>
        </w:rPr>
        <w:t>3</w:t>
      </w:r>
      <w:r>
        <w:rPr>
          <w:rFonts w:hint="eastAsia" w:eastAsia="仿宋_GB2312"/>
          <w:sz w:val="32"/>
          <w:szCs w:val="32"/>
        </w:rPr>
        <w:t>.购买照片</w:t>
      </w:r>
      <w:r>
        <w:rPr>
          <w:rFonts w:hint="eastAsia" w:eastAsia="仿宋_GB2312"/>
          <w:sz w:val="32"/>
          <w:szCs w:val="32"/>
          <w:lang w:eastAsia="zh-CN"/>
        </w:rPr>
        <w:t>；</w:t>
      </w:r>
      <w:r>
        <w:rPr>
          <w:rFonts w:hint="eastAsia" w:eastAsia="仿宋_GB2312"/>
          <w:sz w:val="32"/>
          <w:szCs w:val="32"/>
          <w:lang w:val="en-US" w:eastAsia="zh-CN"/>
        </w:rPr>
        <w:t>4.</w:t>
      </w:r>
      <w:r>
        <w:rPr>
          <w:rFonts w:hint="eastAsia" w:eastAsia="仿宋_GB2312"/>
          <w:sz w:val="32"/>
          <w:szCs w:val="32"/>
          <w:lang w:eastAsia="zh-CN"/>
        </w:rPr>
        <w:t>《</w:t>
      </w:r>
      <w:r>
        <w:rPr>
          <w:rFonts w:hint="eastAsia" w:eastAsia="仿宋_GB2312"/>
          <w:sz w:val="32"/>
          <w:szCs w:val="32"/>
          <w:lang w:val="en-US" w:eastAsia="zh-CN"/>
        </w:rPr>
        <w:t>信访事项回复意见</w:t>
      </w:r>
      <w:r>
        <w:rPr>
          <w:rFonts w:hint="eastAsia" w:eastAsia="仿宋_GB2312"/>
          <w:sz w:val="32"/>
          <w:szCs w:val="32"/>
          <w:lang w:eastAsia="zh-CN"/>
        </w:rPr>
        <w:t>》</w:t>
      </w:r>
      <w:r>
        <w:rPr>
          <w:rFonts w:hint="eastAsia" w:eastAsia="仿宋_GB2312"/>
          <w:sz w:val="32"/>
          <w:szCs w:val="32"/>
          <w:lang w:val="en-US" w:eastAsia="zh-CN"/>
        </w:rPr>
        <w:t>复印件；5.陕西亿德丰达检测技术服务有限公司检测报告。</w:t>
      </w:r>
    </w:p>
    <w:p w14:paraId="21A18A4C">
      <w:pPr>
        <w:spacing w:line="560" w:lineRule="exact"/>
        <w:ind w:firstLine="640" w:firstLineChars="200"/>
        <w:rPr>
          <w:rFonts w:hint="eastAsia" w:eastAsia="仿宋_GB2312"/>
          <w:sz w:val="32"/>
          <w:szCs w:val="32"/>
        </w:rPr>
      </w:pPr>
      <w:r>
        <w:rPr>
          <w:rFonts w:eastAsia="仿宋_GB2312"/>
          <w:sz w:val="32"/>
          <w:szCs w:val="32"/>
        </w:rPr>
        <w:t>被申请人称：</w:t>
      </w:r>
      <w:r>
        <w:rPr>
          <w:rFonts w:hint="eastAsia" w:eastAsia="仿宋_GB2312"/>
          <w:sz w:val="32"/>
          <w:szCs w:val="32"/>
        </w:rPr>
        <w:t>一、被申请人具有对申请人举报事项处理的法定职权。申请人投诉举报常州市</w:t>
      </w:r>
      <w:r>
        <w:rPr>
          <w:rFonts w:hint="eastAsia" w:eastAsia="仿宋_GB2312"/>
          <w:sz w:val="32"/>
          <w:szCs w:val="32"/>
          <w:lang w:eastAsia="zh-CN"/>
        </w:rPr>
        <w:t>某</w:t>
      </w:r>
      <w:r>
        <w:rPr>
          <w:rFonts w:hint="eastAsia" w:eastAsia="仿宋_GB2312"/>
          <w:sz w:val="32"/>
          <w:szCs w:val="32"/>
        </w:rPr>
        <w:t>有限公司涉嫌生产标签标注不符合法律规范的食品。因申请人投诉举报事项涉及的食品安全监管属于被申请人的法定职责，且被投诉举报人在被申请人管辖的行政区域内，根据《中华人民共和国食品安全法》第六条和第一百一十五条的规定，被申请人具有对申请人投诉举报事项处理的法定职权。二、被申请人对申请人投诉举报事项的处理合法，履行了法定职责。被申请人于2023年11月29日收到申请人的投诉材料，当日对申请人的投诉进行受理，因被投诉人常州市</w:t>
      </w:r>
      <w:r>
        <w:rPr>
          <w:rFonts w:hint="eastAsia" w:eastAsia="仿宋_GB2312"/>
          <w:sz w:val="32"/>
          <w:szCs w:val="32"/>
          <w:lang w:eastAsia="zh-CN"/>
        </w:rPr>
        <w:t>某</w:t>
      </w:r>
      <w:r>
        <w:rPr>
          <w:rFonts w:hint="eastAsia" w:eastAsia="仿宋_GB2312"/>
          <w:sz w:val="32"/>
          <w:szCs w:val="32"/>
        </w:rPr>
        <w:t>有限公司明确表示无法达成调解协议，被申请人决定终止调解，并于2023年11月29日将投诉受理决定书和投诉终止调解决定书通过挂号信方式告知申请人。同时被申请人对被投诉举报人经营场所进行检查，现场未发现举报单中的“</w:t>
      </w:r>
      <w:r>
        <w:rPr>
          <w:rFonts w:hint="eastAsia" w:eastAsia="仿宋_GB2312"/>
          <w:sz w:val="32"/>
          <w:szCs w:val="32"/>
          <w:lang w:eastAsia="zh-CN"/>
        </w:rPr>
        <w:t>某</w:t>
      </w:r>
      <w:r>
        <w:rPr>
          <w:rFonts w:hint="eastAsia" w:eastAsia="仿宋_GB2312"/>
          <w:sz w:val="32"/>
          <w:szCs w:val="32"/>
        </w:rPr>
        <w:t>枸杞子”，但是发现上述枸杞子的包装袋，该包装营养成分表中标注有“Na252毫克……”等内容。现场被投诉举报人提供了涉案枸杞子的营养成分表的《检验报告》，该检验报告上显示“Na”含量与涉案食品外包装营养成分表上标注的“Na”含量一致。因现场未发现涉案枸杞子，导致申请人无法对涉案枸杞子进行抽检，现收集调取的证据不能初步证明当事人违法事实成立，2023年11月29日被申请人决定不予立案，并将不予立案的情况通过挂号信的方式告知了申请人。被申请人的行政执法行为，是为了维护市场经济秩序，保护不特定公众的权利，被申请人的行政行为没有侵犯申请人的合法权益，因此申请人不具有申请复议的资格。综上，被申请人对其投诉举报事项的处理合法，履行法定职责，恳请复议机关依法驳回秦</w:t>
      </w:r>
      <w:r>
        <w:rPr>
          <w:rFonts w:hint="eastAsia" w:eastAsia="仿宋_GB2312"/>
          <w:sz w:val="32"/>
          <w:szCs w:val="32"/>
          <w:lang w:eastAsia="zh-CN"/>
        </w:rPr>
        <w:t>某</w:t>
      </w:r>
      <w:r>
        <w:rPr>
          <w:rFonts w:hint="eastAsia" w:eastAsia="仿宋_GB2312"/>
          <w:sz w:val="32"/>
          <w:szCs w:val="32"/>
        </w:rPr>
        <w:t>的行政复议申请。</w:t>
      </w:r>
    </w:p>
    <w:p w14:paraId="4580B833">
      <w:pPr>
        <w:spacing w:line="560" w:lineRule="exact"/>
        <w:ind w:firstLine="640" w:firstLineChars="200"/>
        <w:rPr>
          <w:rFonts w:hint="eastAsia" w:eastAsia="仿宋_GB2312"/>
          <w:sz w:val="32"/>
          <w:szCs w:val="32"/>
        </w:rPr>
      </w:pPr>
      <w:r>
        <w:rPr>
          <w:rFonts w:eastAsia="仿宋_GB2312"/>
          <w:sz w:val="32"/>
          <w:szCs w:val="32"/>
        </w:rPr>
        <w:t>被申请人提交的主要证据材料有：</w:t>
      </w:r>
      <w:r>
        <w:rPr>
          <w:rFonts w:hint="eastAsia" w:eastAsia="仿宋_GB2312"/>
          <w:sz w:val="32"/>
          <w:szCs w:val="32"/>
          <w:lang w:val="en-US" w:eastAsia="zh-CN"/>
        </w:rPr>
        <w:t>1.不予立案审批表；2</w:t>
      </w:r>
      <w:r>
        <w:rPr>
          <w:rFonts w:hint="eastAsia" w:eastAsia="仿宋_GB2312"/>
          <w:sz w:val="32"/>
          <w:szCs w:val="32"/>
        </w:rPr>
        <w:t>.不予立案告知书及回执和更正告知书及回执；</w:t>
      </w:r>
      <w:r>
        <w:rPr>
          <w:rFonts w:hint="eastAsia" w:eastAsia="仿宋_GB2312"/>
          <w:sz w:val="32"/>
          <w:szCs w:val="32"/>
          <w:lang w:val="en-US" w:eastAsia="zh-CN"/>
        </w:rPr>
        <w:t>3</w:t>
      </w:r>
      <w:r>
        <w:rPr>
          <w:rFonts w:hint="eastAsia" w:eastAsia="仿宋_GB2312"/>
          <w:sz w:val="32"/>
          <w:szCs w:val="32"/>
        </w:rPr>
        <w:t>.现场笔录1份；</w:t>
      </w:r>
      <w:r>
        <w:rPr>
          <w:rFonts w:hint="eastAsia" w:eastAsia="仿宋_GB2312"/>
          <w:sz w:val="32"/>
          <w:szCs w:val="32"/>
          <w:lang w:val="en-US" w:eastAsia="zh-CN"/>
        </w:rPr>
        <w:t>4</w:t>
      </w:r>
      <w:r>
        <w:rPr>
          <w:rFonts w:hint="eastAsia" w:eastAsia="仿宋_GB2312"/>
          <w:sz w:val="32"/>
          <w:szCs w:val="32"/>
        </w:rPr>
        <w:t>.涉案食品外包装照片、进货票据及购进原料的检验报告各1份；</w:t>
      </w:r>
      <w:r>
        <w:rPr>
          <w:rFonts w:hint="eastAsia" w:eastAsia="仿宋_GB2312"/>
          <w:sz w:val="32"/>
          <w:szCs w:val="32"/>
          <w:lang w:val="en-US" w:eastAsia="zh-CN"/>
        </w:rPr>
        <w:t>5</w:t>
      </w:r>
      <w:r>
        <w:rPr>
          <w:rFonts w:hint="eastAsia" w:eastAsia="仿宋_GB2312"/>
          <w:sz w:val="32"/>
          <w:szCs w:val="32"/>
        </w:rPr>
        <w:t>.举报材料；</w:t>
      </w:r>
      <w:r>
        <w:rPr>
          <w:rFonts w:hint="eastAsia" w:eastAsia="仿宋_GB2312"/>
          <w:sz w:val="32"/>
          <w:szCs w:val="32"/>
          <w:lang w:val="en-US" w:eastAsia="zh-CN"/>
        </w:rPr>
        <w:t>6</w:t>
      </w:r>
      <w:r>
        <w:rPr>
          <w:rFonts w:hint="eastAsia" w:eastAsia="仿宋_GB2312"/>
          <w:sz w:val="32"/>
          <w:szCs w:val="32"/>
        </w:rPr>
        <w:t>.投诉受理决定书、投诉终止调解决定书复印件。</w:t>
      </w:r>
    </w:p>
    <w:p w14:paraId="2C916402">
      <w:pPr>
        <w:spacing w:line="560" w:lineRule="exact"/>
        <w:ind w:firstLine="640" w:firstLineChars="200"/>
        <w:rPr>
          <w:rFonts w:hint="eastAsia" w:eastAsia="仿宋_GB2312"/>
          <w:sz w:val="32"/>
          <w:szCs w:val="32"/>
          <w:lang w:val="en-US" w:eastAsia="zh-CN"/>
        </w:rPr>
      </w:pPr>
      <w:r>
        <w:rPr>
          <w:rFonts w:eastAsia="仿宋_GB2312"/>
          <w:sz w:val="32"/>
          <w:szCs w:val="32"/>
        </w:rPr>
        <w:t>经审理查明：</w:t>
      </w:r>
      <w:r>
        <w:rPr>
          <w:rFonts w:hint="eastAsia" w:eastAsia="仿宋_GB2312"/>
          <w:sz w:val="32"/>
          <w:szCs w:val="32"/>
          <w:lang w:eastAsia="zh-CN"/>
        </w:rPr>
        <w:t>2023年</w:t>
      </w:r>
      <w:r>
        <w:rPr>
          <w:rFonts w:hint="eastAsia" w:eastAsia="仿宋_GB2312"/>
          <w:sz w:val="32"/>
          <w:szCs w:val="32"/>
          <w:lang w:val="en-US" w:eastAsia="zh-CN"/>
        </w:rPr>
        <w:t>11</w:t>
      </w:r>
      <w:r>
        <w:rPr>
          <w:rFonts w:hint="eastAsia" w:eastAsia="仿宋_GB2312"/>
          <w:sz w:val="32"/>
          <w:szCs w:val="32"/>
          <w:lang w:eastAsia="zh-CN"/>
        </w:rPr>
        <w:t>月</w:t>
      </w:r>
      <w:r>
        <w:rPr>
          <w:rFonts w:hint="eastAsia" w:eastAsia="仿宋_GB2312"/>
          <w:sz w:val="32"/>
          <w:szCs w:val="32"/>
          <w:lang w:val="en-US" w:eastAsia="zh-CN"/>
        </w:rPr>
        <w:t>29</w:t>
      </w:r>
      <w:r>
        <w:rPr>
          <w:rFonts w:hint="eastAsia" w:eastAsia="仿宋_GB2312"/>
          <w:sz w:val="32"/>
          <w:szCs w:val="32"/>
          <w:lang w:eastAsia="zh-CN"/>
        </w:rPr>
        <w:t>日，被申请人收到申请人提交的</w:t>
      </w:r>
      <w:r>
        <w:rPr>
          <w:rFonts w:hint="eastAsia" w:eastAsia="仿宋_GB2312"/>
          <w:sz w:val="32"/>
          <w:szCs w:val="32"/>
          <w:lang w:val="en-US" w:eastAsia="zh-CN"/>
        </w:rPr>
        <w:t>举报材料</w:t>
      </w:r>
      <w:r>
        <w:rPr>
          <w:rFonts w:hint="eastAsia" w:eastAsia="仿宋_GB2312"/>
          <w:sz w:val="32"/>
          <w:szCs w:val="32"/>
          <w:lang w:eastAsia="zh-CN"/>
        </w:rPr>
        <w:t>，</w:t>
      </w:r>
      <w:r>
        <w:rPr>
          <w:rFonts w:hint="eastAsia" w:eastAsia="仿宋_GB2312"/>
          <w:sz w:val="32"/>
          <w:szCs w:val="32"/>
          <w:lang w:val="en-US" w:eastAsia="zh-CN"/>
        </w:rPr>
        <w:t>反映被举报人常州市某有限公司涉嫌生产标签标注不符合法律规范的食品。被申请人到被举报人经营场所进行现场检查并制作现场笔录，未发现案涉商品，但是确认案涉商品包装袋是由被举报人生产，</w:t>
      </w:r>
      <w:r>
        <w:rPr>
          <w:rFonts w:hint="eastAsia" w:eastAsia="仿宋_GB2312"/>
          <w:sz w:val="32"/>
          <w:szCs w:val="32"/>
        </w:rPr>
        <w:t>该包装营养成分表中标注有“Na252毫克……”等内容</w:t>
      </w:r>
      <w:r>
        <w:rPr>
          <w:rFonts w:hint="eastAsia" w:eastAsia="仿宋_GB2312"/>
          <w:sz w:val="32"/>
          <w:szCs w:val="32"/>
          <w:lang w:eastAsia="zh-CN"/>
        </w:rPr>
        <w:t>。</w:t>
      </w:r>
      <w:r>
        <w:rPr>
          <w:rFonts w:hint="eastAsia" w:eastAsia="仿宋_GB2312"/>
          <w:sz w:val="32"/>
          <w:szCs w:val="32"/>
          <w:lang w:val="en-US" w:eastAsia="zh-CN"/>
        </w:rPr>
        <w:t>被举报人现场提供《进货凭证》和由</w:t>
      </w:r>
      <w:bookmarkStart w:id="0" w:name="_GoBack"/>
      <w:bookmarkEnd w:id="0"/>
      <w:r>
        <w:rPr>
          <w:rFonts w:hint="eastAsia" w:eastAsia="仿宋_GB2312"/>
          <w:sz w:val="32"/>
          <w:szCs w:val="32"/>
          <w:lang w:val="en-US" w:eastAsia="zh-CN"/>
        </w:rPr>
        <w:t>宁夏回族自治区食品质量监督检验二站作出的《检验报告》，</w:t>
      </w:r>
      <w:r>
        <w:rPr>
          <w:rFonts w:hint="default" w:eastAsia="仿宋_GB2312"/>
          <w:sz w:val="32"/>
          <w:szCs w:val="32"/>
          <w:lang w:val="en-US" w:eastAsia="zh-CN"/>
        </w:rPr>
        <w:t>该检验报告上显示“Na”含量与涉案食品外包装营养成分表上标注的“Na”含量一致。</w:t>
      </w:r>
      <w:r>
        <w:rPr>
          <w:rFonts w:hint="eastAsia" w:eastAsia="仿宋_GB2312"/>
          <w:sz w:val="32"/>
          <w:szCs w:val="32"/>
          <w:lang w:val="en-US" w:eastAsia="zh-CN"/>
        </w:rPr>
        <w:t>同日，被申请人决定不予立案，并通过挂号信方式告知申请人不予立案决定。</w:t>
      </w:r>
    </w:p>
    <w:p w14:paraId="74FABCD8">
      <w:pPr>
        <w:spacing w:line="560" w:lineRule="exact"/>
        <w:ind w:firstLine="640" w:firstLineChars="200"/>
        <w:rPr>
          <w:rFonts w:hint="eastAsia" w:eastAsia="仿宋_GB2312"/>
          <w:sz w:val="32"/>
          <w:szCs w:val="32"/>
          <w:lang w:val="en-US" w:eastAsia="zh-CN"/>
        </w:rPr>
      </w:pPr>
      <w:r>
        <w:rPr>
          <w:rFonts w:eastAsia="仿宋_GB2312"/>
          <w:sz w:val="32"/>
          <w:szCs w:val="32"/>
        </w:rPr>
        <w:t>上述事实有下列证据证明：</w:t>
      </w:r>
      <w:r>
        <w:rPr>
          <w:rFonts w:hint="eastAsia" w:eastAsia="仿宋_GB2312"/>
          <w:sz w:val="32"/>
          <w:szCs w:val="32"/>
        </w:rPr>
        <w:t>1.不予立案审批表；2.不予立案告知书及回执和更正告知书及回执；3.现场笔录1份；4.涉案食品外包装照片、进货票据及购进原料的检验报告各1份；5.举报材料；6.投诉受理决定书、投诉终止调解决定书复印件</w:t>
      </w:r>
      <w:r>
        <w:rPr>
          <w:rFonts w:hint="eastAsia" w:eastAsia="仿宋_GB2312"/>
          <w:sz w:val="32"/>
          <w:szCs w:val="32"/>
          <w:lang w:val="en-US" w:eastAsia="zh-CN"/>
        </w:rPr>
        <w:t>等。</w:t>
      </w:r>
    </w:p>
    <w:p w14:paraId="73972F7E">
      <w:pPr>
        <w:spacing w:line="560" w:lineRule="exact"/>
        <w:ind w:firstLine="640" w:firstLineChars="200"/>
        <w:rPr>
          <w:rFonts w:hint="eastAsia" w:eastAsia="仿宋_GB2312"/>
          <w:sz w:val="32"/>
          <w:szCs w:val="32"/>
          <w:lang w:eastAsia="zh-CN"/>
        </w:rPr>
      </w:pPr>
      <w:r>
        <w:rPr>
          <w:rFonts w:eastAsia="仿宋_GB2312"/>
          <w:sz w:val="32"/>
          <w:szCs w:val="32"/>
        </w:rPr>
        <w:t>本机关认为：</w:t>
      </w:r>
      <w:r>
        <w:rPr>
          <w:rFonts w:hint="eastAsia" w:eastAsia="仿宋_GB2312"/>
          <w:sz w:val="32"/>
          <w:szCs w:val="32"/>
        </w:rPr>
        <w:t>一、根据《中华人民共和国食品安全法》第六条第二款规定：“县级以上地方人民政府依照本法和国务院的规定，确定本级食品安全监督管理、卫生行政部门和其他有关部门的职责。有关部门在各自职责范围内负责本行政区域的食品安全监督管理工作。”《市场监督管理投诉举报处理暂行办法》第四条第二款规定：“县级以上地方市场监督管理部门负责本行政区域内的投诉举报处理工作。”被申请人具有对申请人举报</w:t>
      </w:r>
      <w:r>
        <w:rPr>
          <w:rFonts w:hint="eastAsia" w:eastAsia="仿宋_GB2312"/>
          <w:sz w:val="32"/>
          <w:szCs w:val="32"/>
          <w:lang w:val="en-US" w:eastAsia="zh-CN"/>
        </w:rPr>
        <w:t>投诉</w:t>
      </w:r>
      <w:r>
        <w:rPr>
          <w:rFonts w:hint="eastAsia" w:eastAsia="仿宋_GB2312"/>
          <w:sz w:val="32"/>
          <w:szCs w:val="32"/>
        </w:rPr>
        <w:t>事项处理的法定职权。二、根据《市场监督管理行政处罚程序规定》第十八条第一款规定：“市场监督管理部门对依据监督检查职权或者通过投诉、举报、其他部门移送、上级交办等途径发现的违法行为线索，应当自发现线索或者收到材料之日起十五个工作日内予以核查，由市场监督管理部门负责人决定是否立案；特殊情况下，经市场监督管理部门负责人批准，可以延长十五个工作日。法律、法规、规章另有规定的除外。”和《市场监督管理投诉举报处理暂行办法》第三十一条第二款规定：“举报人实名举报的，有处理权限的市场监督管理部门还应当自作出是否立案决定之日起五个工作日内告知举报人。”2023年</w:t>
      </w:r>
      <w:r>
        <w:rPr>
          <w:rFonts w:hint="eastAsia" w:eastAsia="仿宋_GB2312"/>
          <w:sz w:val="32"/>
          <w:szCs w:val="32"/>
          <w:lang w:val="en-US" w:eastAsia="zh-CN"/>
        </w:rPr>
        <w:t>11</w:t>
      </w:r>
      <w:r>
        <w:rPr>
          <w:rFonts w:hint="eastAsia" w:eastAsia="仿宋_GB2312"/>
          <w:sz w:val="32"/>
          <w:szCs w:val="32"/>
        </w:rPr>
        <w:t>月</w:t>
      </w:r>
      <w:r>
        <w:rPr>
          <w:rFonts w:hint="eastAsia" w:eastAsia="仿宋_GB2312"/>
          <w:sz w:val="32"/>
          <w:szCs w:val="32"/>
          <w:lang w:val="en-US" w:eastAsia="zh-CN"/>
        </w:rPr>
        <w:t>29</w:t>
      </w:r>
      <w:r>
        <w:rPr>
          <w:rFonts w:hint="eastAsia" w:eastAsia="仿宋_GB2312"/>
          <w:sz w:val="32"/>
          <w:szCs w:val="32"/>
        </w:rPr>
        <w:t>日，被申请人收到申请人的举报材料，依法核查，并在法定期限内告知申请人不予立案情况。被申请人对于举报线索的处理程序合法。三、根据《市场监督管理行政处罚程序规定》第二十条第一款第（四）项规定：“经核查，有下列情形之一的，可以不予立案：（一）违法行为轻微并及时改正，没有造成危害后果；（二）初次违法且危害后果轻微并及时改正；（三）当事人有证据足以证明没有主观过错，但法律、行政法规另有规定的除外；（四）依法可以不予立案的其他情形”，被申请人对被</w:t>
      </w:r>
      <w:r>
        <w:rPr>
          <w:rFonts w:hint="eastAsia" w:eastAsia="仿宋_GB2312"/>
          <w:sz w:val="32"/>
          <w:szCs w:val="32"/>
          <w:lang w:eastAsia="zh-CN"/>
        </w:rPr>
        <w:t>举报人</w:t>
      </w:r>
      <w:r>
        <w:rPr>
          <w:rFonts w:hint="eastAsia" w:eastAsia="仿宋_GB2312"/>
          <w:sz w:val="32"/>
          <w:szCs w:val="32"/>
        </w:rPr>
        <w:t>进行现场检查，未发现案涉商品，但是确认案涉商品包装袋是由被</w:t>
      </w:r>
      <w:r>
        <w:rPr>
          <w:rFonts w:hint="eastAsia" w:eastAsia="仿宋_GB2312"/>
          <w:sz w:val="32"/>
          <w:szCs w:val="32"/>
          <w:lang w:eastAsia="zh-CN"/>
        </w:rPr>
        <w:t>举报人</w:t>
      </w:r>
      <w:r>
        <w:rPr>
          <w:rFonts w:hint="eastAsia" w:eastAsia="仿宋_GB2312"/>
          <w:sz w:val="32"/>
          <w:szCs w:val="32"/>
        </w:rPr>
        <w:t>生产，该包装营养成分表中标注有“Na252毫克……”等内容。被</w:t>
      </w:r>
      <w:r>
        <w:rPr>
          <w:rFonts w:hint="eastAsia" w:eastAsia="仿宋_GB2312"/>
          <w:sz w:val="32"/>
          <w:szCs w:val="32"/>
          <w:lang w:eastAsia="zh-CN"/>
        </w:rPr>
        <w:t>举报人</w:t>
      </w:r>
      <w:r>
        <w:rPr>
          <w:rFonts w:hint="eastAsia" w:eastAsia="仿宋_GB2312"/>
          <w:sz w:val="32"/>
          <w:szCs w:val="32"/>
        </w:rPr>
        <w:t>现场提供进货凭证和由宁夏回族自治区食品质量监督检验二站作出的《检验报告》，该检验报告上显示“Na”含量与涉案食品外包装营养成分表上标注的“Na”含量一致</w:t>
      </w:r>
      <w:r>
        <w:rPr>
          <w:rFonts w:hint="eastAsia" w:eastAsia="仿宋_GB2312"/>
          <w:sz w:val="32"/>
          <w:szCs w:val="32"/>
          <w:lang w:eastAsia="zh-CN"/>
        </w:rPr>
        <w:t>。被申请人决定不予立案。被申请人作出不予立案决定事实清楚、证据充分。综上，被申请人已经履行了法定职责。</w:t>
      </w:r>
    </w:p>
    <w:p w14:paraId="120A5C43">
      <w:pPr>
        <w:spacing w:line="560" w:lineRule="exact"/>
        <w:ind w:firstLine="640" w:firstLineChars="200"/>
        <w:rPr>
          <w:rFonts w:eastAsia="仿宋_GB2312"/>
          <w:sz w:val="32"/>
          <w:szCs w:val="32"/>
        </w:rPr>
      </w:pPr>
      <w:r>
        <w:rPr>
          <w:rFonts w:eastAsia="仿宋_GB2312"/>
          <w:sz w:val="32"/>
          <w:szCs w:val="32"/>
        </w:rPr>
        <w:t>根据《中华人民共和国行政复议法》第</w:t>
      </w:r>
      <w:r>
        <w:rPr>
          <w:rFonts w:hint="eastAsia" w:eastAsia="仿宋_GB2312"/>
          <w:sz w:val="32"/>
          <w:szCs w:val="32"/>
          <w:lang w:val="en-US" w:eastAsia="zh-CN"/>
        </w:rPr>
        <w:t>六十九条</w:t>
      </w:r>
      <w:r>
        <w:rPr>
          <w:rFonts w:eastAsia="仿宋_GB2312"/>
          <w:sz w:val="32"/>
          <w:szCs w:val="32"/>
        </w:rPr>
        <w:t>的规定，本机关决定如下：</w:t>
      </w:r>
    </w:p>
    <w:p w14:paraId="68FA2E6D">
      <w:pPr>
        <w:spacing w:line="560" w:lineRule="exact"/>
        <w:ind w:firstLine="640" w:firstLineChars="200"/>
        <w:rPr>
          <w:rFonts w:eastAsia="仿宋_GB2312"/>
          <w:sz w:val="32"/>
          <w:szCs w:val="32"/>
        </w:rPr>
      </w:pPr>
      <w:r>
        <w:rPr>
          <w:rFonts w:hint="eastAsia" w:eastAsia="仿宋_GB2312"/>
          <w:sz w:val="32"/>
          <w:szCs w:val="32"/>
        </w:rPr>
        <w:t>驳回申请人</w:t>
      </w:r>
      <w:r>
        <w:rPr>
          <w:rFonts w:hint="eastAsia" w:eastAsia="仿宋_GB2312"/>
          <w:color w:val="000000"/>
          <w:sz w:val="32"/>
          <w:szCs w:val="32"/>
        </w:rPr>
        <w:t>秦</w:t>
      </w:r>
      <w:r>
        <w:rPr>
          <w:rFonts w:hint="eastAsia" w:eastAsia="仿宋_GB2312"/>
          <w:color w:val="000000"/>
          <w:sz w:val="32"/>
          <w:szCs w:val="32"/>
          <w:lang w:eastAsia="zh-CN"/>
        </w:rPr>
        <w:t>某</w:t>
      </w:r>
      <w:r>
        <w:rPr>
          <w:rFonts w:hint="eastAsia" w:eastAsia="仿宋_GB2312"/>
          <w:sz w:val="32"/>
          <w:szCs w:val="32"/>
        </w:rPr>
        <w:t>的行政复议</w:t>
      </w:r>
      <w:r>
        <w:rPr>
          <w:rFonts w:hint="eastAsia" w:eastAsia="仿宋_GB2312"/>
          <w:sz w:val="32"/>
          <w:szCs w:val="32"/>
          <w:lang w:val="en-US" w:eastAsia="zh-CN"/>
        </w:rPr>
        <w:t>请求</w:t>
      </w:r>
      <w:r>
        <w:rPr>
          <w:rFonts w:hint="eastAsia" w:eastAsia="仿宋_GB2312"/>
          <w:sz w:val="32"/>
          <w:szCs w:val="32"/>
        </w:rPr>
        <w:t>。</w:t>
      </w:r>
    </w:p>
    <w:p w14:paraId="631813F8">
      <w:pPr>
        <w:spacing w:line="560" w:lineRule="exact"/>
        <w:ind w:firstLine="640" w:firstLineChars="200"/>
        <w:rPr>
          <w:rFonts w:eastAsia="仿宋_GB2312"/>
          <w:sz w:val="32"/>
          <w:szCs w:val="32"/>
        </w:rPr>
      </w:pPr>
      <w:r>
        <w:rPr>
          <w:rFonts w:eastAsia="仿宋_GB2312"/>
          <w:sz w:val="32"/>
          <w:szCs w:val="32"/>
        </w:rPr>
        <w:t>申请人如对本决定不服，可以自接到本决定之日起十五日内，向常州市武进区人民法院提起行政诉讼。</w:t>
      </w:r>
    </w:p>
    <w:p w14:paraId="5B9C4E0B">
      <w:pPr>
        <w:jc w:val="right"/>
        <w:rPr>
          <w:rFonts w:eastAsia="仿宋_GB2312"/>
          <w:sz w:val="32"/>
          <w:szCs w:val="32"/>
        </w:rPr>
      </w:pPr>
    </w:p>
    <w:p w14:paraId="7736FE5C">
      <w:pPr>
        <w:jc w:val="right"/>
        <w:rPr>
          <w:rFonts w:eastAsia="仿宋_GB2312"/>
          <w:sz w:val="32"/>
          <w:szCs w:val="32"/>
        </w:rPr>
      </w:pPr>
      <w:r>
        <w:rPr>
          <w:rFonts w:hint="eastAsia" w:eastAsia="仿宋_GB2312"/>
          <w:sz w:val="32"/>
          <w:szCs w:val="32"/>
        </w:rPr>
        <w:t>202</w:t>
      </w:r>
      <w:r>
        <w:rPr>
          <w:rFonts w:hint="eastAsia" w:eastAsia="仿宋_GB2312"/>
          <w:sz w:val="32"/>
          <w:szCs w:val="32"/>
          <w:lang w:val="en-US" w:eastAsia="zh-CN"/>
        </w:rPr>
        <w:t>4</w:t>
      </w:r>
      <w:r>
        <w:rPr>
          <w:rFonts w:eastAsia="仿宋_GB2312"/>
          <w:sz w:val="32"/>
          <w:szCs w:val="32"/>
        </w:rPr>
        <w:t>年</w:t>
      </w:r>
      <w:r>
        <w:rPr>
          <w:rFonts w:hint="eastAsia" w:eastAsia="仿宋_GB2312"/>
          <w:sz w:val="32"/>
          <w:szCs w:val="32"/>
          <w:lang w:val="en-US" w:eastAsia="zh-CN"/>
        </w:rPr>
        <w:t>3月27</w:t>
      </w:r>
      <w:r>
        <w:rPr>
          <w:rFonts w:eastAsia="仿宋_GB2312"/>
          <w:sz w:val="32"/>
          <w:szCs w:val="32"/>
        </w:rPr>
        <w:t>日</w:t>
      </w:r>
    </w:p>
    <w:sectPr>
      <w:footerReference r:id="rId3" w:type="default"/>
      <w:pgSz w:w="11906" w:h="16838"/>
      <w:pgMar w:top="1814" w:right="1531" w:bottom="1984" w:left="1531" w:header="720"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37B794">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ECA0CF">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2ECA0CF">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kYjZjY2UyMjE5OTdmMmQ1OThlYTAyYmY4ZjczMTYifQ=="/>
    <w:docVar w:name="KSO_WPS_MARK_KEY" w:val="406a95b9-d7d2-4cdf-b893-28fda0bcb654"/>
  </w:docVars>
  <w:rsids>
    <w:rsidRoot w:val="004351CE"/>
    <w:rsid w:val="0001266A"/>
    <w:rsid w:val="00020484"/>
    <w:rsid w:val="00042A20"/>
    <w:rsid w:val="00052907"/>
    <w:rsid w:val="00053136"/>
    <w:rsid w:val="00060DAA"/>
    <w:rsid w:val="00063ADE"/>
    <w:rsid w:val="000A0C50"/>
    <w:rsid w:val="000B47D0"/>
    <w:rsid w:val="000C424E"/>
    <w:rsid w:val="000C54A9"/>
    <w:rsid w:val="000E0B86"/>
    <w:rsid w:val="000E4936"/>
    <w:rsid w:val="0010194C"/>
    <w:rsid w:val="00102A10"/>
    <w:rsid w:val="00110EDA"/>
    <w:rsid w:val="001357C7"/>
    <w:rsid w:val="0018756B"/>
    <w:rsid w:val="00187A57"/>
    <w:rsid w:val="001938C0"/>
    <w:rsid w:val="001D1B90"/>
    <w:rsid w:val="001D2B3A"/>
    <w:rsid w:val="001E7F2A"/>
    <w:rsid w:val="00235CC3"/>
    <w:rsid w:val="00243EEE"/>
    <w:rsid w:val="00247C4D"/>
    <w:rsid w:val="00250A6E"/>
    <w:rsid w:val="002550AD"/>
    <w:rsid w:val="00256438"/>
    <w:rsid w:val="00261DDA"/>
    <w:rsid w:val="00264CD1"/>
    <w:rsid w:val="002735E0"/>
    <w:rsid w:val="002838D3"/>
    <w:rsid w:val="00293A77"/>
    <w:rsid w:val="0029470C"/>
    <w:rsid w:val="002A4C2B"/>
    <w:rsid w:val="002C5659"/>
    <w:rsid w:val="002F4494"/>
    <w:rsid w:val="002F5EB5"/>
    <w:rsid w:val="003137D1"/>
    <w:rsid w:val="00315CE0"/>
    <w:rsid w:val="00321BF4"/>
    <w:rsid w:val="00371C16"/>
    <w:rsid w:val="00372FD1"/>
    <w:rsid w:val="003839B9"/>
    <w:rsid w:val="00392E97"/>
    <w:rsid w:val="003C1D77"/>
    <w:rsid w:val="003F19B7"/>
    <w:rsid w:val="00417B8E"/>
    <w:rsid w:val="004301A3"/>
    <w:rsid w:val="00434C07"/>
    <w:rsid w:val="004351CE"/>
    <w:rsid w:val="004652BB"/>
    <w:rsid w:val="004A143E"/>
    <w:rsid w:val="004A638A"/>
    <w:rsid w:val="004D1B1E"/>
    <w:rsid w:val="004D3ABC"/>
    <w:rsid w:val="004E3EAA"/>
    <w:rsid w:val="00502BAF"/>
    <w:rsid w:val="00504278"/>
    <w:rsid w:val="00540473"/>
    <w:rsid w:val="0055305E"/>
    <w:rsid w:val="00570ABE"/>
    <w:rsid w:val="005C2614"/>
    <w:rsid w:val="005F6716"/>
    <w:rsid w:val="006336D6"/>
    <w:rsid w:val="006407D7"/>
    <w:rsid w:val="00651E96"/>
    <w:rsid w:val="00652E23"/>
    <w:rsid w:val="00656676"/>
    <w:rsid w:val="006A0D55"/>
    <w:rsid w:val="006B221C"/>
    <w:rsid w:val="006B35D3"/>
    <w:rsid w:val="006B3CBA"/>
    <w:rsid w:val="006D7CCB"/>
    <w:rsid w:val="006F5467"/>
    <w:rsid w:val="00722F63"/>
    <w:rsid w:val="00731187"/>
    <w:rsid w:val="0073194F"/>
    <w:rsid w:val="0076107F"/>
    <w:rsid w:val="00790D7B"/>
    <w:rsid w:val="007D15C6"/>
    <w:rsid w:val="007E4E89"/>
    <w:rsid w:val="007F62B0"/>
    <w:rsid w:val="00801CE7"/>
    <w:rsid w:val="00807A3A"/>
    <w:rsid w:val="00810115"/>
    <w:rsid w:val="00822BA9"/>
    <w:rsid w:val="00826C96"/>
    <w:rsid w:val="00830FAB"/>
    <w:rsid w:val="00845C66"/>
    <w:rsid w:val="00850F75"/>
    <w:rsid w:val="008617F2"/>
    <w:rsid w:val="00867BDA"/>
    <w:rsid w:val="00870A6B"/>
    <w:rsid w:val="008D2498"/>
    <w:rsid w:val="008D7A4E"/>
    <w:rsid w:val="008F4E57"/>
    <w:rsid w:val="00903C47"/>
    <w:rsid w:val="00905DF3"/>
    <w:rsid w:val="009165A7"/>
    <w:rsid w:val="00931A1F"/>
    <w:rsid w:val="009448EA"/>
    <w:rsid w:val="00946667"/>
    <w:rsid w:val="00953E1B"/>
    <w:rsid w:val="00954F93"/>
    <w:rsid w:val="009745C5"/>
    <w:rsid w:val="009777DD"/>
    <w:rsid w:val="00986295"/>
    <w:rsid w:val="00992EB7"/>
    <w:rsid w:val="009A71F6"/>
    <w:rsid w:val="009F59F8"/>
    <w:rsid w:val="00A0657F"/>
    <w:rsid w:val="00A17E28"/>
    <w:rsid w:val="00A41031"/>
    <w:rsid w:val="00A5544E"/>
    <w:rsid w:val="00A6535F"/>
    <w:rsid w:val="00A71589"/>
    <w:rsid w:val="00A772AD"/>
    <w:rsid w:val="00A87033"/>
    <w:rsid w:val="00AB068E"/>
    <w:rsid w:val="00AC2B5E"/>
    <w:rsid w:val="00AD4836"/>
    <w:rsid w:val="00AF1D58"/>
    <w:rsid w:val="00AF3947"/>
    <w:rsid w:val="00B10D2D"/>
    <w:rsid w:val="00B16F30"/>
    <w:rsid w:val="00B2433F"/>
    <w:rsid w:val="00B50690"/>
    <w:rsid w:val="00B55BE3"/>
    <w:rsid w:val="00B6560C"/>
    <w:rsid w:val="00B80865"/>
    <w:rsid w:val="00BA4E55"/>
    <w:rsid w:val="00BB40F1"/>
    <w:rsid w:val="00BD47FC"/>
    <w:rsid w:val="00BE123B"/>
    <w:rsid w:val="00BE1F75"/>
    <w:rsid w:val="00C43239"/>
    <w:rsid w:val="00C5786E"/>
    <w:rsid w:val="00C5791A"/>
    <w:rsid w:val="00C64B88"/>
    <w:rsid w:val="00C832B6"/>
    <w:rsid w:val="00CA13B6"/>
    <w:rsid w:val="00CD5FBD"/>
    <w:rsid w:val="00CF4F8E"/>
    <w:rsid w:val="00D013A2"/>
    <w:rsid w:val="00D01667"/>
    <w:rsid w:val="00D16595"/>
    <w:rsid w:val="00D55A92"/>
    <w:rsid w:val="00D815F3"/>
    <w:rsid w:val="00DA2FEE"/>
    <w:rsid w:val="00DB450E"/>
    <w:rsid w:val="00DD08A9"/>
    <w:rsid w:val="00DE63A5"/>
    <w:rsid w:val="00DF2E96"/>
    <w:rsid w:val="00E13D16"/>
    <w:rsid w:val="00E46B5A"/>
    <w:rsid w:val="00E62E04"/>
    <w:rsid w:val="00E7295D"/>
    <w:rsid w:val="00E820D9"/>
    <w:rsid w:val="00F020B1"/>
    <w:rsid w:val="00F17694"/>
    <w:rsid w:val="00F4016E"/>
    <w:rsid w:val="00F805B6"/>
    <w:rsid w:val="00FA4D87"/>
    <w:rsid w:val="00FD13C1"/>
    <w:rsid w:val="00FF441A"/>
    <w:rsid w:val="00FF7CE9"/>
    <w:rsid w:val="013E4434"/>
    <w:rsid w:val="01410950"/>
    <w:rsid w:val="01A050EF"/>
    <w:rsid w:val="01C54B55"/>
    <w:rsid w:val="02C246B2"/>
    <w:rsid w:val="02DB4577"/>
    <w:rsid w:val="05664FA2"/>
    <w:rsid w:val="05D22568"/>
    <w:rsid w:val="05EF4C6B"/>
    <w:rsid w:val="075347B6"/>
    <w:rsid w:val="07E129C9"/>
    <w:rsid w:val="08747238"/>
    <w:rsid w:val="09CB2614"/>
    <w:rsid w:val="0A2F45E4"/>
    <w:rsid w:val="0AB467AA"/>
    <w:rsid w:val="0ABB6FAD"/>
    <w:rsid w:val="0BE726D0"/>
    <w:rsid w:val="0CEE7983"/>
    <w:rsid w:val="0D4A53DE"/>
    <w:rsid w:val="0D5263D1"/>
    <w:rsid w:val="0DC46A3F"/>
    <w:rsid w:val="0DF304E6"/>
    <w:rsid w:val="0DF46257"/>
    <w:rsid w:val="0F5F1445"/>
    <w:rsid w:val="0F636DD4"/>
    <w:rsid w:val="0F9C41F6"/>
    <w:rsid w:val="10342C9C"/>
    <w:rsid w:val="111D61CC"/>
    <w:rsid w:val="11AE5B1B"/>
    <w:rsid w:val="124E494F"/>
    <w:rsid w:val="12837116"/>
    <w:rsid w:val="13182493"/>
    <w:rsid w:val="13DF1999"/>
    <w:rsid w:val="144A4B91"/>
    <w:rsid w:val="15BD2D24"/>
    <w:rsid w:val="16185F0B"/>
    <w:rsid w:val="163601C7"/>
    <w:rsid w:val="167A791A"/>
    <w:rsid w:val="16805C6A"/>
    <w:rsid w:val="169833B1"/>
    <w:rsid w:val="16D23D7F"/>
    <w:rsid w:val="16F0323F"/>
    <w:rsid w:val="17C26031"/>
    <w:rsid w:val="198E2E15"/>
    <w:rsid w:val="19F375CB"/>
    <w:rsid w:val="1A6B0852"/>
    <w:rsid w:val="1A7750CB"/>
    <w:rsid w:val="1AE45BF4"/>
    <w:rsid w:val="1B5F2A3D"/>
    <w:rsid w:val="1B6F4B00"/>
    <w:rsid w:val="1B832BB9"/>
    <w:rsid w:val="1C631B69"/>
    <w:rsid w:val="1E4946EC"/>
    <w:rsid w:val="1E862824"/>
    <w:rsid w:val="1F2D62B8"/>
    <w:rsid w:val="1FFF13CC"/>
    <w:rsid w:val="20416CA0"/>
    <w:rsid w:val="20A752B0"/>
    <w:rsid w:val="215D3678"/>
    <w:rsid w:val="22134F86"/>
    <w:rsid w:val="22373840"/>
    <w:rsid w:val="226438BB"/>
    <w:rsid w:val="22813DB4"/>
    <w:rsid w:val="230B4359"/>
    <w:rsid w:val="23227358"/>
    <w:rsid w:val="233478BC"/>
    <w:rsid w:val="233C7869"/>
    <w:rsid w:val="23A6613D"/>
    <w:rsid w:val="24856B4C"/>
    <w:rsid w:val="251047F1"/>
    <w:rsid w:val="25BA7C5C"/>
    <w:rsid w:val="2616185B"/>
    <w:rsid w:val="261C4D09"/>
    <w:rsid w:val="26802AE7"/>
    <w:rsid w:val="26E966D9"/>
    <w:rsid w:val="274117E2"/>
    <w:rsid w:val="27BB4E1D"/>
    <w:rsid w:val="27FB7FC7"/>
    <w:rsid w:val="2802079B"/>
    <w:rsid w:val="280E46CB"/>
    <w:rsid w:val="28A505D0"/>
    <w:rsid w:val="2928137E"/>
    <w:rsid w:val="29374EAC"/>
    <w:rsid w:val="2AEE1614"/>
    <w:rsid w:val="2BA76BC1"/>
    <w:rsid w:val="2BD978CB"/>
    <w:rsid w:val="2C3D53D7"/>
    <w:rsid w:val="2C440167"/>
    <w:rsid w:val="2CCC78C1"/>
    <w:rsid w:val="2DA6290B"/>
    <w:rsid w:val="2ED3590C"/>
    <w:rsid w:val="2F2A203B"/>
    <w:rsid w:val="2F3557EE"/>
    <w:rsid w:val="31372A0E"/>
    <w:rsid w:val="313A464E"/>
    <w:rsid w:val="33296FFB"/>
    <w:rsid w:val="33916367"/>
    <w:rsid w:val="34654F7B"/>
    <w:rsid w:val="34861C54"/>
    <w:rsid w:val="34B9474B"/>
    <w:rsid w:val="34BB4521"/>
    <w:rsid w:val="34FC3CCF"/>
    <w:rsid w:val="355861A1"/>
    <w:rsid w:val="3580325D"/>
    <w:rsid w:val="358A0A53"/>
    <w:rsid w:val="35B05E86"/>
    <w:rsid w:val="368E3315"/>
    <w:rsid w:val="36AC3612"/>
    <w:rsid w:val="36FB4A87"/>
    <w:rsid w:val="371D7C65"/>
    <w:rsid w:val="3858267B"/>
    <w:rsid w:val="38D15043"/>
    <w:rsid w:val="38F4304F"/>
    <w:rsid w:val="3C186969"/>
    <w:rsid w:val="3CAA5C13"/>
    <w:rsid w:val="3D0D4834"/>
    <w:rsid w:val="3DC15BF5"/>
    <w:rsid w:val="3E48241C"/>
    <w:rsid w:val="3E731CF7"/>
    <w:rsid w:val="3EA6693C"/>
    <w:rsid w:val="3F28425F"/>
    <w:rsid w:val="3F354A61"/>
    <w:rsid w:val="3F5D4B7A"/>
    <w:rsid w:val="3F7E7A82"/>
    <w:rsid w:val="405D1A2A"/>
    <w:rsid w:val="40880AF5"/>
    <w:rsid w:val="41576697"/>
    <w:rsid w:val="41766222"/>
    <w:rsid w:val="41F871F4"/>
    <w:rsid w:val="421600BF"/>
    <w:rsid w:val="42E9262D"/>
    <w:rsid w:val="433640F4"/>
    <w:rsid w:val="43B41D58"/>
    <w:rsid w:val="43F67F1C"/>
    <w:rsid w:val="440B40E1"/>
    <w:rsid w:val="446A2417"/>
    <w:rsid w:val="45831915"/>
    <w:rsid w:val="45DA57F2"/>
    <w:rsid w:val="46D53D10"/>
    <w:rsid w:val="47504375"/>
    <w:rsid w:val="47D1108D"/>
    <w:rsid w:val="47ED69A2"/>
    <w:rsid w:val="482D5B0B"/>
    <w:rsid w:val="48A877D8"/>
    <w:rsid w:val="48EB2EC9"/>
    <w:rsid w:val="49030E9D"/>
    <w:rsid w:val="49317CA0"/>
    <w:rsid w:val="496073CA"/>
    <w:rsid w:val="49D62E2B"/>
    <w:rsid w:val="49DF2A77"/>
    <w:rsid w:val="49F62E2C"/>
    <w:rsid w:val="4A5E2A1E"/>
    <w:rsid w:val="4AAC19DB"/>
    <w:rsid w:val="4B5F5F86"/>
    <w:rsid w:val="4B63653E"/>
    <w:rsid w:val="4D14274B"/>
    <w:rsid w:val="4D2F6B04"/>
    <w:rsid w:val="4D611A03"/>
    <w:rsid w:val="4DA8648A"/>
    <w:rsid w:val="4E023A4E"/>
    <w:rsid w:val="4E15237D"/>
    <w:rsid w:val="4E7174A2"/>
    <w:rsid w:val="4ED561A6"/>
    <w:rsid w:val="4F455F5A"/>
    <w:rsid w:val="500876B4"/>
    <w:rsid w:val="500B0654"/>
    <w:rsid w:val="50516200"/>
    <w:rsid w:val="513719A2"/>
    <w:rsid w:val="51CE00DD"/>
    <w:rsid w:val="523D1450"/>
    <w:rsid w:val="529A65BD"/>
    <w:rsid w:val="53656A3D"/>
    <w:rsid w:val="536C48AE"/>
    <w:rsid w:val="53D8335D"/>
    <w:rsid w:val="53F43779"/>
    <w:rsid w:val="547F5CB0"/>
    <w:rsid w:val="55085A60"/>
    <w:rsid w:val="55565F7E"/>
    <w:rsid w:val="55F10BEA"/>
    <w:rsid w:val="564222AA"/>
    <w:rsid w:val="56525789"/>
    <w:rsid w:val="5759236E"/>
    <w:rsid w:val="58D47337"/>
    <w:rsid w:val="592E226E"/>
    <w:rsid w:val="594A2799"/>
    <w:rsid w:val="5A2852CA"/>
    <w:rsid w:val="5AED6742"/>
    <w:rsid w:val="5B056C58"/>
    <w:rsid w:val="5B1B414A"/>
    <w:rsid w:val="5B2C2259"/>
    <w:rsid w:val="5BD03CF4"/>
    <w:rsid w:val="5BED59B0"/>
    <w:rsid w:val="5C4E28F2"/>
    <w:rsid w:val="5D6E6C4A"/>
    <w:rsid w:val="5D8C10AD"/>
    <w:rsid w:val="5F606ACD"/>
    <w:rsid w:val="602C2F4B"/>
    <w:rsid w:val="604023D3"/>
    <w:rsid w:val="605D7A55"/>
    <w:rsid w:val="617C7487"/>
    <w:rsid w:val="62DE42A4"/>
    <w:rsid w:val="62E018F0"/>
    <w:rsid w:val="63131CC5"/>
    <w:rsid w:val="64D33629"/>
    <w:rsid w:val="65317E63"/>
    <w:rsid w:val="655621F8"/>
    <w:rsid w:val="65C0378C"/>
    <w:rsid w:val="666440B4"/>
    <w:rsid w:val="672956B8"/>
    <w:rsid w:val="67554762"/>
    <w:rsid w:val="682A1615"/>
    <w:rsid w:val="686B36F5"/>
    <w:rsid w:val="68BD5ADB"/>
    <w:rsid w:val="69C36A50"/>
    <w:rsid w:val="6A1F767C"/>
    <w:rsid w:val="6BB43CA6"/>
    <w:rsid w:val="6C186CC8"/>
    <w:rsid w:val="6C440AD6"/>
    <w:rsid w:val="6CC92692"/>
    <w:rsid w:val="6D1145B2"/>
    <w:rsid w:val="6DEC7F51"/>
    <w:rsid w:val="6E2E3D36"/>
    <w:rsid w:val="6E315495"/>
    <w:rsid w:val="6E7F36C9"/>
    <w:rsid w:val="6E994AD8"/>
    <w:rsid w:val="6EBB69AE"/>
    <w:rsid w:val="6F6D0E8A"/>
    <w:rsid w:val="70F42ADA"/>
    <w:rsid w:val="71353C29"/>
    <w:rsid w:val="72006856"/>
    <w:rsid w:val="725F4517"/>
    <w:rsid w:val="72EF2DCF"/>
    <w:rsid w:val="73D44FD3"/>
    <w:rsid w:val="74F87D45"/>
    <w:rsid w:val="75BE06D4"/>
    <w:rsid w:val="768E3FBD"/>
    <w:rsid w:val="76E9529A"/>
    <w:rsid w:val="77232F63"/>
    <w:rsid w:val="77682FDD"/>
    <w:rsid w:val="78045146"/>
    <w:rsid w:val="781F4CEB"/>
    <w:rsid w:val="7895335E"/>
    <w:rsid w:val="79617C03"/>
    <w:rsid w:val="7A4A5A54"/>
    <w:rsid w:val="7A9D241E"/>
    <w:rsid w:val="7AAF79AC"/>
    <w:rsid w:val="7AD43C48"/>
    <w:rsid w:val="7B1D5B01"/>
    <w:rsid w:val="7B5573A2"/>
    <w:rsid w:val="7B6018A2"/>
    <w:rsid w:val="7BB0099E"/>
    <w:rsid w:val="7BE0356B"/>
    <w:rsid w:val="7C436B20"/>
    <w:rsid w:val="7CC0084B"/>
    <w:rsid w:val="7D323E73"/>
    <w:rsid w:val="7D5D078F"/>
    <w:rsid w:val="7D9F2B56"/>
    <w:rsid w:val="7E1F0D55"/>
    <w:rsid w:val="7E3E236F"/>
    <w:rsid w:val="7EAF0255"/>
    <w:rsid w:val="7EC14D4E"/>
    <w:rsid w:val="7F1C7CB2"/>
    <w:rsid w:val="7F8F77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7">
    <w:name w:val="FollowedHyperlink"/>
    <w:basedOn w:val="6"/>
    <w:autoRedefine/>
    <w:qFormat/>
    <w:uiPriority w:val="0"/>
    <w:rPr>
      <w:color w:val="333333"/>
      <w:u w:val="none"/>
    </w:rPr>
  </w:style>
  <w:style w:type="character" w:styleId="8">
    <w:name w:val="HTML Definition"/>
    <w:basedOn w:val="6"/>
    <w:autoRedefine/>
    <w:qFormat/>
    <w:uiPriority w:val="0"/>
    <w:rPr>
      <w:rFonts w:ascii="Arial" w:hAnsi="Arial" w:cs="Arial"/>
    </w:rPr>
  </w:style>
  <w:style w:type="character" w:styleId="9">
    <w:name w:val="Hyperlink"/>
    <w:basedOn w:val="6"/>
    <w:autoRedefine/>
    <w:qFormat/>
    <w:uiPriority w:val="0"/>
    <w:rPr>
      <w:color w:val="333333"/>
      <w:u w:val="none"/>
    </w:rPr>
  </w:style>
  <w:style w:type="character" w:customStyle="1" w:styleId="10">
    <w:name w:val="hitclass"/>
    <w:basedOn w:val="6"/>
    <w:autoRedefine/>
    <w:qFormat/>
    <w:uiPriority w:val="0"/>
  </w:style>
  <w:style w:type="character" w:customStyle="1" w:styleId="11">
    <w:name w:val="currenthit1"/>
    <w:basedOn w:val="6"/>
    <w:autoRedefine/>
    <w:qFormat/>
    <w:uiPriority w:val="0"/>
  </w:style>
  <w:style w:type="character" w:customStyle="1" w:styleId="12">
    <w:name w:val="hitclass1"/>
    <w:basedOn w:val="6"/>
    <w:autoRedefine/>
    <w:qFormat/>
    <w:uiPriority w:val="0"/>
  </w:style>
  <w:style w:type="character" w:customStyle="1" w:styleId="13">
    <w:name w:val="Unresolved Mention"/>
    <w:basedOn w:val="6"/>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3507</Words>
  <Characters>3643</Characters>
  <Lines>34</Lines>
  <Paragraphs>9</Paragraphs>
  <TotalTime>8</TotalTime>
  <ScaleCrop>false</ScaleCrop>
  <LinksUpToDate>false</LinksUpToDate>
  <CharactersWithSpaces>3645</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2021-12-22T07:51:00Z</dcterms:created>
  <dc:creator>admin</dc:creator>
  <cp:lastModifiedBy>玉晚</cp:lastModifiedBy>
  <cp:lastPrinted>2023-08-02T05:49:00Z</cp:lastPrinted>
  <dcterms:modified xsi:type="dcterms:W3CDTF">2024-08-29T06:25:09Z</dcterms:modified>
  <cp:revision>126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B591648F634E4452A36B66B7171C21B5_13</vt:lpwstr>
  </property>
</Properties>
</file>