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8DBD9">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EC5497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7AE30072">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3D1BCA65">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14:paraId="5EB7F6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108BC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p>
    <w:p w14:paraId="1DA19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6CEECE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w:t>
      </w:r>
      <w:r>
        <w:rPr>
          <w:rFonts w:hint="eastAsia" w:eastAsia="仿宋_GB2312" w:cs="Times New Roman"/>
          <w:sz w:val="32"/>
          <w:szCs w:val="32"/>
          <w:lang w:val="en-US" w:eastAsia="zh-CN"/>
        </w:rPr>
        <w:t>于2024年1月24日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5DB681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撤销被申请人被申请人于2024年1月4日通过邮信作出的回复并责令其限期内重作。</w:t>
      </w:r>
    </w:p>
    <w:p w14:paraId="1A58C0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认为（江苏某有限公司勤业店）和（钟楼区某食品店）存在违反相关法律规定的情形。申请人为维护自身的权益，请求行政机关处置加害人法律责任，收集民事权益救济的证据。申请人于2023年12月15日通过邮寄信提出投诉举报，后收到被申请人于2024年1月4日通过邮信作出的回复，申请人不服，遂复议。被申请人答复的主要内容为：被申请人提供相关证据足以证明没有主观过错，不予立案。一、申请人在投诉举报材料中陈述购买到小尾羊羔羊肉片，并没有按照其执行标准规定标注即食或非即食，同时提供了小票照片和产品照片佐证可以形成完整的证据链。被申请人以这样的理由回复我这样包庇商家的错误是不对的。所以本案应当采纳申请人的证据，被申请人仅以没有主观过错涉案产品作出不予立案的决定是错误的。二、申请人称购买到未标注即食或非即食的小尾羊羔羊肉片，被申请人未调查到该事实，在双方意见存在冲突时，被申请人未进一步以法定的形式向申请人进行调查核实，仅以商家没有主观过错为由即认定违法事实不成立是错误的。三、（2017）浙行申1082号行政判决的案情与本案类似，申请人将该判决书作为本案的参考资料。四、依据《市场监督管理行政处罚程序规定》第二十一条、第二十九条的规定，被申请人应当全面、客观、公正、及时进行案件调查，收集、调取证据，同时应当对当事人进行询问，然被申请人未全面履行该法定职责，导致其未调查到案件事实。综上，被申请人认定事实错误、适用法律错误，望复议机关支持申请人的请求。</w:t>
      </w:r>
    </w:p>
    <w:p w14:paraId="317421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行政复议申请书；2.申请人身份证复印件；3.举报不予立案告知书；4.投诉举报书；5.购物小票；6.商品快照</w:t>
      </w:r>
      <w:r>
        <w:rPr>
          <w:rFonts w:hint="default" w:ascii="Times New Roman" w:hAnsi="Times New Roman" w:eastAsia="仿宋_GB2312" w:cs="Times New Roman"/>
          <w:sz w:val="32"/>
          <w:szCs w:val="32"/>
        </w:rPr>
        <w:t>。</w:t>
      </w:r>
    </w:p>
    <w:p w14:paraId="1754A3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举报事项的法定职权。根据《中华人民共和国食品安全法》第六条第二款的规定，被申请人具有本行政区域的食品安全监督管理的法定职权。二、被申请人依法办理投诉举报，履行了法定职权。被申请人2023年12月15日接申请人的投诉举报称，被举报人“江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有限公司勤业店”和“钟楼区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食品店”经营的“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嫩羔羊肉片”未标注“即食或非即食”，涉嫌违反《中华人民共和国食品安全法》。被申请人2023年12月19日对被举报人“钟楼区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店”经营场所现场检查，现场未发现投诉举报所涉产品，执法人员向被举报人出示了申请人提供的产品外包装照片打印件和购物票据。被举报人确认投诉举报所涉产品由其经营。被申请人2023年12月20日对“江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有限公司勤业店”经营场所现场检查，发现投诉举报所涉产品16袋。两个被举报人均向被申请人提供了供货单位“常州市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有限公司”的营业执照、食品经营许可证、销售单，以及食品标称的生产企业“</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食品有限公司”的营业执照、食品生产许可证、检测报告和出厂检验报告单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生产日期2023.8.20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及《情况说明》复印件各一份。经调查确认，被举报人履行了进货查验等法定义务，主观上没有过错。被申请人遂依据《市场监督管理行政处罚程序规定》第二十条第一款第三项规定，于2024年1月2日作出不予立案决定，并于2024年1月4日向申请人邮寄送达了常钟市监(2024)W010401号《不予立案告知书》。被申请人对申请人投诉举报事项处理的程序合法。三、申请人不具备申请复议的资格。被申请人作出的不予立案处理决定并未侵犯申请人的合法权益，因此与申请人不具有法律上的利害关系。根据《中华人民共和国行政复议法》第二条、第三十条第一款第二项之规定，申请人提出的复议申请不符合法定的受理条件。另外，根据申请人提供的购物票据，其分别于2024年12月5日09:24:05、09:35:45在“江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有限公司勤业店”和“钟楼区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食品店”各购买“小尾羊</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嫩羔羊肉片”1袋，可见其购物动机并非为生活所需，有违诚实信用原则。综上，申请人不具有申请复议的资格，被申请人办理举报事项的程序合法，履行了法定职责，恳请复议机关依法驳回其复议申请。</w:t>
      </w:r>
    </w:p>
    <w:p w14:paraId="0AB1A3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举报不予立案告知书及国内挂号信函收据；2.案件来源登记表；3.不予立案审批表；4.2023年12月19日现场笔录及被举报人提供的相关材料；5.2023年12月20日现场笔录及被举报人提供的相关材料；6.投诉举报材料；7.被举报人营业执照、食品经营许可证照片打印件；8.违法线索移送函及EMS回单。</w:t>
      </w:r>
    </w:p>
    <w:p w14:paraId="5943AE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收到申请人提交的投诉举报书，反映江苏某有限公司勤业店、钟楼区某食品店销售的食品标签违反食品安全法的规定。12月18日，被申请人分别作出投诉受理决定。12月19日，被申请人对被投诉举报人“钟楼区某食品店”经营场所现场检查，现场未发现投诉举报所涉产品，执法人员向被投诉举报人出示申请人提供的产品外包装照片打印件和购物票据。被投诉举报人确认投诉举报所涉产品由其经营，并向被申请人提供供货单位“常州市某有限公司”的营业执照、食品经营许可证、销售单，以及食品标称的生产企业“某食品有限公司”的营业执照、食品生产许可证、检测报告和出厂检验报告单（生产日期2023.8.20）以及《情况说明》复印件各一份。被投诉举报人明确拒绝调解。12月20日，被申请人对被投诉举报人“江苏某有限公司勤业店”经营场所现场检查，发现投诉举报所涉产品16袋，被投诉举报人向被申请人提供了供货单位“常州市某有限公司”的营业执照、食品经营许可证、销售单，以及食品标称的生产企业“某食品有限公司”的营业执照、食品生产许可证、检测报告和出厂检验报告单（生产日期2023.8.20）以及《情况说明》复印件各一份。12月29日，被投诉举报人“江苏某有限公司勤业店”向被申请人提供《情况说明》书面拒绝调解。2024年1月2日，被申请人分别作出不予立案决定。1月4日，被申请人作出投诉终止调解决定，并于1月5日通过邮政挂号信的方式告知申请人举报不予立案和投诉终止调解情况。</w:t>
      </w:r>
    </w:p>
    <w:p w14:paraId="421BD3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举报不予立案告知书及国内挂号信函收据；2.案件来源登记表；3.不予立案审批表；4.2023年12月19日现场笔录及被举报人提供的相关材料；5.2023年12月20日现场笔录及被举报人提供的相关材料；6.投诉举报材料；7.被举报人营业执照、食品经营许可证照片打印件；8.违法线索移送函及EMS回单等。</w:t>
      </w:r>
    </w:p>
    <w:p w14:paraId="2CB61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eastAsia" w:eastAsia="仿宋_GB2312" w:cs="Times New Roman"/>
          <w:sz w:val="32"/>
          <w:szCs w:val="32"/>
          <w:lang w:val="en-US" w:eastAsia="zh-CN"/>
        </w:rPr>
        <w:t>12</w:t>
      </w:r>
      <w:r>
        <w:rPr>
          <w:rFonts w:hint="eastAsia" w:eastAsia="仿宋_GB2312" w:cs="Times New Roman"/>
          <w:sz w:val="32"/>
          <w:szCs w:val="32"/>
          <w:lang w:eastAsia="zh-CN"/>
        </w:rPr>
        <w:t>月</w:t>
      </w:r>
      <w:r>
        <w:rPr>
          <w:rFonts w:hint="eastAsia" w:eastAsia="仿宋_GB2312" w:cs="Times New Roman"/>
          <w:sz w:val="32"/>
          <w:szCs w:val="32"/>
          <w:lang w:val="en-US" w:eastAsia="zh-CN"/>
        </w:rPr>
        <w:t>13</w:t>
      </w:r>
      <w:r>
        <w:rPr>
          <w:rFonts w:hint="eastAsia" w:eastAsia="仿宋_GB2312" w:cs="Times New Roman"/>
          <w:sz w:val="32"/>
          <w:szCs w:val="32"/>
          <w:lang w:eastAsia="zh-CN"/>
        </w:rPr>
        <w:t>日，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cs="Times New Roman"/>
          <w:sz w:val="32"/>
          <w:szCs w:val="32"/>
          <w:lang w:val="en-US" w:eastAsia="zh-CN"/>
        </w:rPr>
        <w:t>12</w:t>
      </w:r>
      <w:r>
        <w:rPr>
          <w:rFonts w:hint="eastAsia" w:eastAsia="仿宋_GB2312" w:cs="Times New Roman"/>
          <w:sz w:val="32"/>
          <w:szCs w:val="32"/>
          <w:lang w:eastAsia="zh-CN"/>
        </w:rPr>
        <w:t>月</w:t>
      </w:r>
      <w:r>
        <w:rPr>
          <w:rFonts w:hint="eastAsia" w:eastAsia="仿宋_GB2312" w:cs="Times New Roman"/>
          <w:sz w:val="32"/>
          <w:szCs w:val="32"/>
          <w:lang w:val="en-US" w:eastAsia="zh-CN"/>
        </w:rPr>
        <w:t>13</w:t>
      </w:r>
      <w:r>
        <w:rPr>
          <w:rFonts w:hint="eastAsia" w:eastAsia="仿宋_GB2312" w:cs="Times New Roman"/>
          <w:sz w:val="32"/>
          <w:szCs w:val="32"/>
          <w:lang w:eastAsia="zh-CN"/>
        </w:rPr>
        <w:t>日，被申请人收到申请人的举报材料，依法核查，并在法定期限内告知申请人不予立案情况。被申请人对于举报线索的处理程序合法。</w:t>
      </w:r>
      <w:r>
        <w:rPr>
          <w:rFonts w:hint="eastAsia" w:eastAsia="仿宋_GB2312" w:cs="Times New Roman"/>
          <w:sz w:val="32"/>
          <w:szCs w:val="32"/>
          <w:lang w:val="en-US" w:eastAsia="zh-CN"/>
        </w:rPr>
        <w:t>三、（一）根据《市场监督管理投诉举报处理暂行办法》第二十一条第一款第（三）项规定：“有下列情形之一的，终止调解：……（三）投诉人或者被投诉人无正当理由不参加调解，或者被投诉人明确拒绝调解的”，被申请人因江苏某有限公司勤业店、钟楼区某食品店明确表示拒绝调解，决定终止调解。被申请人作出终止调解决定事实清楚、证据充分。（二）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规定：“经核查，有下列情形之一的，可以不予立案：……（三）当事人有证据足以证明没有主观过错，但法律、行政法规另有规定的除外”本案中，被投诉举报人均向申请人提交供货单位“常州市某有限公司”的营业执照、食品经营许可证、销售单，以及食品标称的生产企业“某食品有限公司”的营业执照、食品生产许可证、检测报告</w:t>
      </w:r>
      <w:bookmarkStart w:id="0" w:name="_GoBack"/>
      <w:bookmarkEnd w:id="0"/>
      <w:r>
        <w:rPr>
          <w:rFonts w:hint="eastAsia" w:eastAsia="仿宋_GB2312" w:cs="Times New Roman"/>
          <w:sz w:val="32"/>
          <w:szCs w:val="32"/>
          <w:lang w:val="en-US" w:eastAsia="zh-CN"/>
        </w:rPr>
        <w:t>和出厂检验报告单（生产日期2023.8.20）以及《情况说明》复印件各一份，当事人有证据足以证明没有主观过错，故被申请人作出不予立案决定并无不当。综上，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14:paraId="101000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0ED88A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龙某</w:t>
      </w:r>
      <w:r>
        <w:rPr>
          <w:rFonts w:hint="default" w:ascii="Times New Roman" w:hAnsi="Times New Roman" w:eastAsia="仿宋_GB2312" w:cs="Times New Roman"/>
          <w:sz w:val="32"/>
          <w:szCs w:val="32"/>
          <w:lang w:val="en-US" w:eastAsia="zh-CN"/>
        </w:rPr>
        <w:t>的行政复议请求。</w:t>
      </w:r>
    </w:p>
    <w:p w14:paraId="7E2C1F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2D3051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s="Times New Roman"/>
          <w:sz w:val="32"/>
          <w:szCs w:val="32"/>
          <w:lang w:val="en-US" w:eastAsia="zh-CN"/>
        </w:rPr>
      </w:pPr>
    </w:p>
    <w:p w14:paraId="1BDDE1F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s="Times New Roman"/>
          <w:sz w:val="32"/>
          <w:szCs w:val="32"/>
          <w:lang w:val="en-US" w:eastAsia="zh-CN"/>
        </w:rPr>
      </w:pPr>
    </w:p>
    <w:p w14:paraId="258F23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s="Times New Roman"/>
          <w:sz w:val="32"/>
          <w:szCs w:val="32"/>
          <w:lang w:val="en-US" w:eastAsia="zh-CN"/>
        </w:rPr>
      </w:pPr>
    </w:p>
    <w:p w14:paraId="639708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eastAsia="仿宋_GB2312" w:cs="Times New Roman"/>
          <w:sz w:val="32"/>
          <w:szCs w:val="32"/>
          <w:lang w:val="en-US" w:eastAsia="zh-CN"/>
        </w:rPr>
      </w:pPr>
    </w:p>
    <w:p w14:paraId="02E9243B">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85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87B17">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B87B17">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574654"/>
    <w:rsid w:val="02841AE7"/>
    <w:rsid w:val="02C246B2"/>
    <w:rsid w:val="02DB4577"/>
    <w:rsid w:val="03436388"/>
    <w:rsid w:val="05664FA2"/>
    <w:rsid w:val="05CD68B4"/>
    <w:rsid w:val="05D22568"/>
    <w:rsid w:val="05EF4C6B"/>
    <w:rsid w:val="07E129C9"/>
    <w:rsid w:val="08637A3D"/>
    <w:rsid w:val="08747238"/>
    <w:rsid w:val="08C2566D"/>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956791"/>
    <w:rsid w:val="11AE5B1B"/>
    <w:rsid w:val="124E494F"/>
    <w:rsid w:val="12837116"/>
    <w:rsid w:val="130C29C4"/>
    <w:rsid w:val="13130D08"/>
    <w:rsid w:val="13DF1999"/>
    <w:rsid w:val="14200F92"/>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3D63257"/>
    <w:rsid w:val="24856B4C"/>
    <w:rsid w:val="251047F1"/>
    <w:rsid w:val="252320CD"/>
    <w:rsid w:val="2551524D"/>
    <w:rsid w:val="2616185B"/>
    <w:rsid w:val="261C4D09"/>
    <w:rsid w:val="262C5B2D"/>
    <w:rsid w:val="26802AE7"/>
    <w:rsid w:val="26BD4D34"/>
    <w:rsid w:val="26E966D9"/>
    <w:rsid w:val="274117E2"/>
    <w:rsid w:val="27694923"/>
    <w:rsid w:val="27BB4E1D"/>
    <w:rsid w:val="27FB7FC7"/>
    <w:rsid w:val="2802079B"/>
    <w:rsid w:val="28A505D0"/>
    <w:rsid w:val="2928137E"/>
    <w:rsid w:val="29374EAC"/>
    <w:rsid w:val="298869B1"/>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98E0DAD"/>
    <w:rsid w:val="3A6270D4"/>
    <w:rsid w:val="3BE949C1"/>
    <w:rsid w:val="3C186969"/>
    <w:rsid w:val="3CAA5C13"/>
    <w:rsid w:val="3D0D4834"/>
    <w:rsid w:val="3D874E3D"/>
    <w:rsid w:val="3DE86284"/>
    <w:rsid w:val="3E48241C"/>
    <w:rsid w:val="3E731CF7"/>
    <w:rsid w:val="3EF17E31"/>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504375"/>
    <w:rsid w:val="47D1108D"/>
    <w:rsid w:val="47ED69A2"/>
    <w:rsid w:val="482D5B0B"/>
    <w:rsid w:val="48A877D8"/>
    <w:rsid w:val="48EB2EC9"/>
    <w:rsid w:val="49030E9D"/>
    <w:rsid w:val="49317CA0"/>
    <w:rsid w:val="496073CA"/>
    <w:rsid w:val="499279B0"/>
    <w:rsid w:val="49A124E7"/>
    <w:rsid w:val="49DF2A77"/>
    <w:rsid w:val="49F62E2C"/>
    <w:rsid w:val="4A5E2A1E"/>
    <w:rsid w:val="4AAC19DB"/>
    <w:rsid w:val="4B441D3A"/>
    <w:rsid w:val="4B5F5F86"/>
    <w:rsid w:val="4B9472A7"/>
    <w:rsid w:val="4D14274B"/>
    <w:rsid w:val="4D2F6B04"/>
    <w:rsid w:val="4D374278"/>
    <w:rsid w:val="4D611A03"/>
    <w:rsid w:val="4DA8648A"/>
    <w:rsid w:val="4E023A4E"/>
    <w:rsid w:val="4E15237D"/>
    <w:rsid w:val="4E7174A2"/>
    <w:rsid w:val="4ED561A6"/>
    <w:rsid w:val="4F455F5A"/>
    <w:rsid w:val="500876B4"/>
    <w:rsid w:val="500B0654"/>
    <w:rsid w:val="50516200"/>
    <w:rsid w:val="513719A2"/>
    <w:rsid w:val="516F3273"/>
    <w:rsid w:val="51CE00DD"/>
    <w:rsid w:val="523D1450"/>
    <w:rsid w:val="529A65BD"/>
    <w:rsid w:val="53332C9A"/>
    <w:rsid w:val="53656A3D"/>
    <w:rsid w:val="536C48AE"/>
    <w:rsid w:val="53D8335D"/>
    <w:rsid w:val="53F43779"/>
    <w:rsid w:val="546F3B55"/>
    <w:rsid w:val="547F5CB0"/>
    <w:rsid w:val="55085A60"/>
    <w:rsid w:val="55565F7E"/>
    <w:rsid w:val="559A6B5E"/>
    <w:rsid w:val="55F10BEA"/>
    <w:rsid w:val="564222AA"/>
    <w:rsid w:val="56525789"/>
    <w:rsid w:val="56D05E78"/>
    <w:rsid w:val="57586CD1"/>
    <w:rsid w:val="5759236E"/>
    <w:rsid w:val="58D47337"/>
    <w:rsid w:val="592E226E"/>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82A1615"/>
    <w:rsid w:val="686B36F5"/>
    <w:rsid w:val="68BD5ADB"/>
    <w:rsid w:val="6A1F767C"/>
    <w:rsid w:val="6BB43CA6"/>
    <w:rsid w:val="6BDA14C4"/>
    <w:rsid w:val="6BF1638E"/>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700B24"/>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4114</Words>
  <Characters>4395</Characters>
  <Lines>0</Lines>
  <Paragraphs>0</Paragraphs>
  <TotalTime>5</TotalTime>
  <ScaleCrop>false</ScaleCrop>
  <LinksUpToDate>false</LinksUpToDate>
  <CharactersWithSpaces>4397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2023-08-22T02:17:00Z</cp:lastPrinted>
  <dcterms:modified xsi:type="dcterms:W3CDTF">2024-08-29T02:29:00Z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375C94CA0E7648D8A6B95F0BD5C56FD8_13</vt:lpwstr>
  </property>
</Properties>
</file>