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402C" w14:textId="77777777" w:rsidR="00EA2781" w:rsidRDefault="00000000">
      <w:pPr>
        <w:spacing w:line="570" w:lineRule="exac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年钟楼区技术攻关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揭榜挂帅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项目拟补助资金（二期）明细表。</w:t>
      </w:r>
    </w:p>
    <w:tbl>
      <w:tblPr>
        <w:tblStyle w:val="a3"/>
        <w:tblpPr w:leftFromText="180" w:rightFromText="180" w:vertAnchor="text" w:horzAnchor="margin" w:tblpXSpec="center" w:tblpY="414"/>
        <w:tblW w:w="8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2268"/>
        <w:gridCol w:w="1417"/>
        <w:gridCol w:w="1509"/>
        <w:gridCol w:w="1259"/>
      </w:tblGrid>
      <w:tr w:rsidR="00EA2781" w14:paraId="061D00C9" w14:textId="77777777">
        <w:trPr>
          <w:trHeight w:val="312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0E9162C7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694CF55A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企业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E49FA50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4ECB5AC0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榜额</w:t>
            </w:r>
          </w:p>
          <w:p w14:paraId="7E69F2DC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（万元）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1852BA7A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合作方</w:t>
            </w:r>
          </w:p>
        </w:tc>
        <w:tc>
          <w:tcPr>
            <w:tcW w:w="1259" w:type="dxa"/>
            <w:tcBorders>
              <w:tl2br w:val="nil"/>
              <w:tr2bl w:val="nil"/>
            </w:tcBorders>
          </w:tcPr>
          <w:p w14:paraId="6844B933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本次</w:t>
            </w:r>
          </w:p>
          <w:p w14:paraId="5281D319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拨款</w:t>
            </w:r>
          </w:p>
          <w:p w14:paraId="55FE94FE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（万元）</w:t>
            </w:r>
          </w:p>
        </w:tc>
      </w:tr>
      <w:tr w:rsidR="00EA2781" w14:paraId="3B1291B0" w14:textId="77777777">
        <w:trPr>
          <w:trHeight w:val="300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0F65B4F8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7C0A697C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常州昌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瑞汽车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部品制造有限公司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797E2C52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汽车侧气帘智能涂胶机器人研发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A7E3D56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250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63E5564B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广东粤铭智能装备股份有限公司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2712E9BF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45</w:t>
            </w:r>
          </w:p>
        </w:tc>
      </w:tr>
      <w:tr w:rsidR="00EA2781" w14:paraId="6A490D4F" w14:textId="77777777">
        <w:trPr>
          <w:trHeight w:val="312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066433D1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42C41F9D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中稀（常州）稀土新材料有限公司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16F4138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新型稀土抗菌材料关键技术研发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4E136794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122D8385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常州大学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5458D207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36</w:t>
            </w:r>
          </w:p>
        </w:tc>
      </w:tr>
      <w:tr w:rsidR="00EA2781" w14:paraId="6A3D5E50" w14:textId="77777777">
        <w:trPr>
          <w:trHeight w:val="312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03213642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74582858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酷网信息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科技（常州）有限公司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EAEBB5F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适于柔性电路板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蚀刻产线的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多因子模型数字化系统的研发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A473AF0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32E07105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中国机械总院集团江苏分院有限公司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73690EDB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36</w:t>
            </w:r>
          </w:p>
        </w:tc>
      </w:tr>
      <w:tr w:rsidR="00EA2781" w14:paraId="547E476B" w14:textId="77777777">
        <w:trPr>
          <w:trHeight w:val="1523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1A77AF4C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31E09983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江苏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昊邦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智能控制系统股份有限公司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A3BD28A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军用坦克车可定制高性能轻量化柔软耐久新型复合材料座椅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面套关键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技术研发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3DD705D5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250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19519BA8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拓特纺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（常州）纺织科技有限公司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6A78413D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45</w:t>
            </w:r>
          </w:p>
        </w:tc>
      </w:tr>
      <w:tr w:rsidR="00EA2781" w14:paraId="5352FED6" w14:textId="77777777">
        <w:trPr>
          <w:trHeight w:val="1020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43B81531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55A1A4E0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江苏立卓信息技术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7E8F147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基于</w:t>
            </w:r>
            <w:r>
              <w:rPr>
                <w:rFonts w:eastAsia="仿宋_GB2312"/>
                <w:color w:val="000000"/>
                <w:sz w:val="24"/>
              </w:rPr>
              <w:t>AI</w:t>
            </w:r>
            <w:r>
              <w:rPr>
                <w:rFonts w:eastAsia="仿宋_GB2312"/>
                <w:color w:val="000000"/>
                <w:sz w:val="24"/>
              </w:rPr>
              <w:t>和空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天技术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精准监测复合高温干旱预警及应对系统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14BACF3D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250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2424BF13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常州工学院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48F2BAC5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45</w:t>
            </w:r>
          </w:p>
        </w:tc>
      </w:tr>
      <w:tr w:rsidR="00EA2781" w14:paraId="1C3A600A" w14:textId="77777777">
        <w:trPr>
          <w:trHeight w:val="312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3A012F42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7EEF678E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江苏巨弘捆带制造有限公司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46D8536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高强度</w:t>
            </w:r>
            <w:r>
              <w:rPr>
                <w:rFonts w:eastAsia="仿宋_GB2312"/>
                <w:color w:val="000000"/>
                <w:sz w:val="24"/>
              </w:rPr>
              <w:t>PET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塑钢带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绿色生产工艺及其关键装备研发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56FD19C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0EB97215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南京聚力化工机械有限公司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3E5B30F3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54</w:t>
            </w:r>
          </w:p>
        </w:tc>
      </w:tr>
      <w:tr w:rsidR="00EA2781" w14:paraId="5026EFA9" w14:textId="77777777">
        <w:trPr>
          <w:trHeight w:val="324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02D2ED65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3E2602F0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常州鲤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跃农业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科技有限公司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5937AB1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水产养殖尾水资源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化关键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技术产业化应用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3D7810D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350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5525F3ED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江苏理工学院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6A50FBD9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58</w:t>
            </w:r>
          </w:p>
        </w:tc>
      </w:tr>
      <w:tr w:rsidR="00EA2781" w14:paraId="4BDA32E2" w14:textId="77777777">
        <w:trPr>
          <w:trHeight w:val="324"/>
        </w:trPr>
        <w:tc>
          <w:tcPr>
            <w:tcW w:w="392" w:type="dxa"/>
            <w:tcBorders>
              <w:tl2br w:val="nil"/>
              <w:tr2bl w:val="nil"/>
            </w:tcBorders>
            <w:vAlign w:val="center"/>
          </w:tcPr>
          <w:p w14:paraId="66F23F3C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14:paraId="2F934F54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常州电梯厂有限公司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817C587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智能电梯管理云平台系统的研发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324A284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5DD97091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常州工程职业技术学院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14:paraId="7A103F9C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54</w:t>
            </w:r>
          </w:p>
        </w:tc>
      </w:tr>
      <w:tr w:rsidR="00EA2781" w14:paraId="1E8E63A2" w14:textId="77777777">
        <w:trPr>
          <w:trHeight w:val="324"/>
        </w:trPr>
        <w:tc>
          <w:tcPr>
            <w:tcW w:w="7605" w:type="dxa"/>
            <w:gridSpan w:val="5"/>
            <w:vAlign w:val="center"/>
          </w:tcPr>
          <w:p w14:paraId="2D16C90C" w14:textId="77777777" w:rsidR="00EA278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259" w:type="dxa"/>
            <w:vAlign w:val="center"/>
          </w:tcPr>
          <w:p w14:paraId="61BC6A95" w14:textId="77777777" w:rsidR="00EA278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373</w:t>
            </w:r>
          </w:p>
        </w:tc>
      </w:tr>
    </w:tbl>
    <w:p w14:paraId="4E0A9FD5" w14:textId="77777777" w:rsidR="00EA2781" w:rsidRDefault="00EA2781">
      <w:pPr>
        <w:spacing w:line="20" w:lineRule="exact"/>
      </w:pPr>
    </w:p>
    <w:sectPr w:rsidR="00EA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2272" w14:textId="77777777" w:rsidR="00AF0298" w:rsidRDefault="00AF0298" w:rsidP="0048017C">
      <w:r>
        <w:separator/>
      </w:r>
    </w:p>
  </w:endnote>
  <w:endnote w:type="continuationSeparator" w:id="0">
    <w:p w14:paraId="5ECCFA5D" w14:textId="77777777" w:rsidR="00AF0298" w:rsidRDefault="00AF0298" w:rsidP="0048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ECDB" w14:textId="77777777" w:rsidR="00AF0298" w:rsidRDefault="00AF0298" w:rsidP="0048017C">
      <w:r>
        <w:separator/>
      </w:r>
    </w:p>
  </w:footnote>
  <w:footnote w:type="continuationSeparator" w:id="0">
    <w:p w14:paraId="46CEF7E3" w14:textId="77777777" w:rsidR="00AF0298" w:rsidRDefault="00AF0298" w:rsidP="0048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5ZmNkMjM3MjU0ZjQ4ZjVhYTI3YWFlYjU3MDg3NDcifQ=="/>
  </w:docVars>
  <w:rsids>
    <w:rsidRoot w:val="572A03AF"/>
    <w:rsid w:val="0048017C"/>
    <w:rsid w:val="00882BD8"/>
    <w:rsid w:val="00AF0298"/>
    <w:rsid w:val="00EA2781"/>
    <w:rsid w:val="13ED48C9"/>
    <w:rsid w:val="327B2096"/>
    <w:rsid w:val="572A03AF"/>
    <w:rsid w:val="7B4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9F2DF"/>
  <w15:docId w15:val="{AB95C3ED-73EA-4DF8-8762-CA8C7822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01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017C"/>
    <w:rPr>
      <w:kern w:val="2"/>
      <w:sz w:val="18"/>
      <w:szCs w:val="18"/>
    </w:rPr>
  </w:style>
  <w:style w:type="paragraph" w:styleId="a6">
    <w:name w:val="footer"/>
    <w:basedOn w:val="a"/>
    <w:link w:val="a7"/>
    <w:rsid w:val="0048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01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270</Characters>
  <Application>Microsoft Office Word</Application>
  <DocSecurity>0</DocSecurity>
  <Lines>7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弓宇默</dc:creator>
  <cp:lastModifiedBy>峰 郭</cp:lastModifiedBy>
  <cp:revision>2</cp:revision>
  <cp:lastPrinted>2025-01-15T07:28:00Z</cp:lastPrinted>
  <dcterms:created xsi:type="dcterms:W3CDTF">2023-11-16T06:17:00Z</dcterms:created>
  <dcterms:modified xsi:type="dcterms:W3CDTF">2025-01-15T07:45:00Z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4F45E141BD10495882472861BAD91A85_13</vt:lpwstr>
  </property>
  <property fmtid="{D5CDD505-2E9C-101B-9397-08002B2CF9AE}" pid="4" name="KSOTemplateDocerSaveRecord">
    <vt:lpwstr>eyJoZGlkIjoiMWI1M2RiNTAwMjUwZTJlNGUxYmE2ZTJjM2M0MTcyNTciLCJ1c2VySWQiOiI2NzM2Mjk5NDAifQ==</vt:lpwstr>
  </property>
</Properties>
</file>