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9B3BC">
      <w:pPr>
        <w:snapToGrid w:val="0"/>
        <w:spacing w:line="360" w:lineRule="auto"/>
        <w:jc w:val="center"/>
        <w:rPr>
          <w:rFonts w:ascii="黑体" w:hAnsi="黑体" w:eastAsia="黑体" w:cs="黑体"/>
          <w:b/>
          <w:spacing w:val="170"/>
          <w:kern w:val="0"/>
          <w:sz w:val="84"/>
          <w:szCs w:val="84"/>
        </w:rPr>
      </w:pPr>
    </w:p>
    <w:p w14:paraId="13BE57B0">
      <w:pPr>
        <w:snapToGrid w:val="0"/>
        <w:spacing w:line="360" w:lineRule="auto"/>
        <w:jc w:val="center"/>
        <w:rPr>
          <w:rFonts w:ascii="黑体" w:hAnsi="黑体" w:eastAsia="黑体" w:cs="黑体"/>
          <w:b/>
          <w:spacing w:val="170"/>
          <w:kern w:val="0"/>
          <w:sz w:val="84"/>
          <w:szCs w:val="84"/>
        </w:rPr>
      </w:pPr>
      <w:r>
        <w:rPr>
          <w:rFonts w:hint="eastAsia" w:ascii="黑体" w:hAnsi="黑体" w:eastAsia="黑体" w:cs="黑体"/>
          <w:b/>
          <w:spacing w:val="170"/>
          <w:kern w:val="0"/>
          <w:sz w:val="84"/>
          <w:szCs w:val="84"/>
        </w:rPr>
        <w:t>遴选</w:t>
      </w:r>
      <w:r>
        <w:rPr>
          <w:rFonts w:hint="eastAsia" w:ascii="黑体" w:hAnsi="黑体" w:eastAsia="黑体" w:cs="黑体"/>
          <w:b/>
          <w:spacing w:val="170"/>
          <w:sz w:val="84"/>
          <w:szCs w:val="84"/>
        </w:rPr>
        <w:t>文件</w:t>
      </w:r>
    </w:p>
    <w:p w14:paraId="3EA34355">
      <w:pPr>
        <w:jc w:val="center"/>
        <w:rPr>
          <w:b/>
          <w:bCs/>
          <w:sz w:val="60"/>
          <w:szCs w:val="60"/>
        </w:rPr>
      </w:pPr>
      <w:r>
        <w:rPr>
          <w:rFonts w:hint="eastAsia"/>
          <w:b/>
          <w:bCs/>
          <w:sz w:val="60"/>
          <w:szCs w:val="60"/>
        </w:rPr>
        <w:t>（服务类）</w:t>
      </w:r>
    </w:p>
    <w:p w14:paraId="185AE195">
      <w:pPr>
        <w:jc w:val="center"/>
        <w:rPr>
          <w:rFonts w:ascii="方正仿宋_GBK" w:hAnsi="方正仿宋_GBK" w:eastAsia="方正仿宋_GBK" w:cs="方正仿宋_GBK"/>
          <w:b/>
          <w:bCs/>
          <w:sz w:val="60"/>
          <w:szCs w:val="60"/>
        </w:rPr>
      </w:pPr>
    </w:p>
    <w:p w14:paraId="718CD277">
      <w:pPr>
        <w:jc w:val="center"/>
        <w:rPr>
          <w:b/>
          <w:bCs/>
          <w:sz w:val="60"/>
          <w:szCs w:val="60"/>
        </w:rPr>
      </w:pPr>
    </w:p>
    <w:p w14:paraId="4273080E">
      <w:pPr>
        <w:spacing w:line="360" w:lineRule="auto"/>
        <w:jc w:val="center"/>
        <w:rPr>
          <w:sz w:val="60"/>
          <w:szCs w:val="60"/>
        </w:rPr>
      </w:pPr>
    </w:p>
    <w:p w14:paraId="12A3C84D">
      <w:pPr>
        <w:tabs>
          <w:tab w:val="left" w:pos="3240"/>
          <w:tab w:val="left" w:pos="3420"/>
        </w:tabs>
        <w:spacing w:line="360" w:lineRule="auto"/>
        <w:ind w:left="2832" w:leftChars="444" w:hanging="1900" w:hangingChars="528"/>
        <w:jc w:val="left"/>
        <w:rPr>
          <w:bCs/>
          <w:sz w:val="36"/>
          <w:szCs w:val="36"/>
        </w:rPr>
      </w:pPr>
      <w:r>
        <w:rPr>
          <w:bCs/>
          <w:sz w:val="36"/>
          <w:szCs w:val="36"/>
        </w:rPr>
        <w:t>项目名称：</w:t>
      </w:r>
      <w:r>
        <w:rPr>
          <w:rFonts w:hint="eastAsia"/>
          <w:bCs/>
          <w:sz w:val="36"/>
          <w:szCs w:val="36"/>
        </w:rPr>
        <w:t>钟楼区财政局2025-2028年政策性</w:t>
      </w:r>
    </w:p>
    <w:p w14:paraId="5208DF6B">
      <w:pPr>
        <w:tabs>
          <w:tab w:val="left" w:pos="3240"/>
          <w:tab w:val="left" w:pos="3420"/>
        </w:tabs>
        <w:spacing w:line="360" w:lineRule="auto"/>
        <w:ind w:left="2818" w:leftChars="1299" w:hanging="90" w:hangingChars="25"/>
        <w:jc w:val="left"/>
        <w:rPr>
          <w:bCs/>
          <w:sz w:val="36"/>
          <w:szCs w:val="36"/>
        </w:rPr>
      </w:pPr>
      <w:r>
        <w:rPr>
          <w:rFonts w:hint="eastAsia"/>
          <w:bCs/>
          <w:sz w:val="36"/>
          <w:szCs w:val="36"/>
        </w:rPr>
        <w:t>农业保险承保机构遴选</w:t>
      </w:r>
    </w:p>
    <w:p w14:paraId="39700003">
      <w:pPr>
        <w:tabs>
          <w:tab w:val="left" w:pos="3240"/>
          <w:tab w:val="left" w:pos="3420"/>
        </w:tabs>
        <w:spacing w:line="360" w:lineRule="auto"/>
        <w:ind w:left="2832" w:leftChars="444" w:hanging="1900" w:hangingChars="528"/>
        <w:jc w:val="left"/>
        <w:rPr>
          <w:rFonts w:hint="default" w:eastAsiaTheme="minorEastAsia"/>
          <w:bCs/>
          <w:sz w:val="36"/>
          <w:szCs w:val="36"/>
          <w:lang w:val="en-US" w:eastAsia="zh-CN"/>
        </w:rPr>
      </w:pPr>
      <w:r>
        <w:rPr>
          <w:bCs/>
          <w:sz w:val="36"/>
          <w:szCs w:val="36"/>
        </w:rPr>
        <w:t>项目编号：</w:t>
      </w:r>
      <w:r>
        <w:rPr>
          <w:rStyle w:val="20"/>
          <w:rFonts w:hint="eastAsia"/>
          <w:sz w:val="36"/>
          <w:szCs w:val="36"/>
          <w:lang w:val="en-US" w:eastAsia="zh-CN"/>
        </w:rPr>
        <w:t>ZLQCZJ-2025-001</w:t>
      </w:r>
    </w:p>
    <w:p w14:paraId="18BD3B66">
      <w:pPr>
        <w:tabs>
          <w:tab w:val="left" w:pos="3240"/>
          <w:tab w:val="left" w:pos="3420"/>
        </w:tabs>
        <w:spacing w:line="360" w:lineRule="auto"/>
        <w:ind w:left="2832" w:leftChars="444" w:hanging="1900" w:hangingChars="528"/>
        <w:jc w:val="left"/>
        <w:rPr>
          <w:bCs/>
          <w:sz w:val="36"/>
          <w:szCs w:val="36"/>
        </w:rPr>
      </w:pPr>
      <w:r>
        <w:rPr>
          <w:rFonts w:hint="eastAsia"/>
          <w:bCs/>
          <w:sz w:val="36"/>
          <w:szCs w:val="36"/>
        </w:rPr>
        <w:t>遴选人</w:t>
      </w:r>
      <w:r>
        <w:rPr>
          <w:bCs/>
          <w:sz w:val="36"/>
          <w:szCs w:val="36"/>
        </w:rPr>
        <w:t>：</w:t>
      </w:r>
      <w:r>
        <w:rPr>
          <w:rFonts w:hint="eastAsia"/>
          <w:bCs/>
          <w:sz w:val="36"/>
          <w:szCs w:val="36"/>
        </w:rPr>
        <w:t>常州市钟楼区财政局</w:t>
      </w:r>
    </w:p>
    <w:p w14:paraId="4376DF53">
      <w:pPr>
        <w:snapToGrid w:val="0"/>
        <w:spacing w:line="360" w:lineRule="auto"/>
        <w:jc w:val="center"/>
        <w:rPr>
          <w:rFonts w:ascii="黑体" w:hAnsi="黑体" w:eastAsia="黑体" w:cs="黑体"/>
          <w:b/>
          <w:sz w:val="44"/>
          <w:szCs w:val="44"/>
        </w:rPr>
      </w:pPr>
    </w:p>
    <w:p w14:paraId="42625CCD">
      <w:pPr>
        <w:snapToGrid w:val="0"/>
        <w:spacing w:line="360" w:lineRule="auto"/>
        <w:jc w:val="center"/>
        <w:rPr>
          <w:rFonts w:ascii="黑体" w:hAnsi="黑体" w:eastAsia="黑体" w:cs="黑体"/>
          <w:b/>
          <w:sz w:val="44"/>
          <w:szCs w:val="44"/>
        </w:rPr>
      </w:pPr>
    </w:p>
    <w:p w14:paraId="528F02A8">
      <w:pPr>
        <w:snapToGrid w:val="0"/>
        <w:spacing w:line="360" w:lineRule="auto"/>
        <w:jc w:val="center"/>
        <w:rPr>
          <w:rFonts w:ascii="黑体" w:hAnsi="黑体" w:eastAsia="黑体" w:cs="黑体"/>
          <w:b/>
          <w:sz w:val="44"/>
          <w:szCs w:val="44"/>
        </w:rPr>
      </w:pPr>
    </w:p>
    <w:p w14:paraId="36C76D8E">
      <w:pPr>
        <w:snapToGrid w:val="0"/>
        <w:spacing w:line="360" w:lineRule="auto"/>
        <w:jc w:val="center"/>
        <w:rPr>
          <w:rFonts w:ascii="黑体" w:hAnsi="黑体" w:eastAsia="黑体" w:cs="黑体"/>
          <w:b/>
          <w:sz w:val="44"/>
          <w:szCs w:val="44"/>
        </w:rPr>
      </w:pPr>
    </w:p>
    <w:p w14:paraId="5365CD3C">
      <w:pPr>
        <w:snapToGrid w:val="0"/>
        <w:spacing w:line="360" w:lineRule="auto"/>
        <w:jc w:val="center"/>
        <w:rPr>
          <w:rFonts w:ascii="黑体" w:hAnsi="黑体" w:eastAsia="黑体" w:cs="黑体"/>
          <w:b/>
          <w:sz w:val="44"/>
          <w:szCs w:val="44"/>
        </w:rPr>
      </w:pPr>
    </w:p>
    <w:p w14:paraId="037F4759">
      <w:pPr>
        <w:snapToGrid w:val="0"/>
        <w:spacing w:line="360" w:lineRule="auto"/>
        <w:jc w:val="center"/>
        <w:rPr>
          <w:rFonts w:ascii="宋体" w:hAnsi="宋体" w:cs="宋体"/>
          <w:b/>
          <w:sz w:val="32"/>
          <w:szCs w:val="32"/>
        </w:rPr>
      </w:pPr>
      <w:r>
        <w:rPr>
          <w:rFonts w:hint="eastAsia" w:ascii="黑体" w:hAnsi="黑体" w:eastAsia="黑体" w:cs="黑体"/>
          <w:b/>
          <w:sz w:val="44"/>
          <w:szCs w:val="44"/>
        </w:rPr>
        <w:t>供应商须知</w:t>
      </w:r>
    </w:p>
    <w:tbl>
      <w:tblPr>
        <w:tblStyle w:val="16"/>
        <w:tblW w:w="83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733"/>
        <w:gridCol w:w="7582"/>
        <w:gridCol w:w="10"/>
      </w:tblGrid>
      <w:tr w14:paraId="600B4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475" w:hRule="exact"/>
          <w:jc w:val="center"/>
        </w:trPr>
        <w:tc>
          <w:tcPr>
            <w:tcW w:w="733" w:type="dxa"/>
            <w:tcBorders>
              <w:top w:val="single" w:color="auto" w:sz="4" w:space="0"/>
              <w:left w:val="single" w:color="auto" w:sz="4" w:space="0"/>
              <w:bottom w:val="single" w:color="auto" w:sz="4" w:space="0"/>
              <w:right w:val="single" w:color="auto" w:sz="4" w:space="0"/>
            </w:tcBorders>
            <w:vAlign w:val="bottom"/>
          </w:tcPr>
          <w:p w14:paraId="44E0DEEC">
            <w:pPr>
              <w:snapToGrid w:val="0"/>
              <w:spacing w:line="26" w:lineRule="atLeast"/>
              <w:jc w:val="center"/>
              <w:rPr>
                <w:rFonts w:ascii="宋体" w:hAnsi="宋体" w:cs="宋体"/>
                <w:spacing w:val="2"/>
                <w:sz w:val="24"/>
              </w:rPr>
            </w:pPr>
            <w:r>
              <w:rPr>
                <w:rFonts w:hint="eastAsia" w:ascii="宋体" w:hAnsi="宋体" w:cs="宋体"/>
                <w:spacing w:val="2"/>
                <w:sz w:val="24"/>
                <w:lang w:val="zh-CN"/>
              </w:rPr>
              <w:t>项号</w:t>
            </w:r>
          </w:p>
        </w:tc>
        <w:tc>
          <w:tcPr>
            <w:tcW w:w="7582" w:type="dxa"/>
            <w:tcBorders>
              <w:top w:val="single" w:color="auto" w:sz="4" w:space="0"/>
              <w:left w:val="single" w:color="auto" w:sz="4" w:space="0"/>
              <w:bottom w:val="single" w:color="auto" w:sz="4" w:space="0"/>
              <w:right w:val="single" w:color="auto" w:sz="4" w:space="0"/>
            </w:tcBorders>
            <w:vAlign w:val="bottom"/>
          </w:tcPr>
          <w:p w14:paraId="01D4E96B">
            <w:pPr>
              <w:snapToGrid w:val="0"/>
              <w:spacing w:line="26" w:lineRule="atLeast"/>
              <w:jc w:val="center"/>
              <w:rPr>
                <w:rFonts w:ascii="宋体" w:hAnsi="宋体" w:cs="宋体"/>
                <w:spacing w:val="2"/>
                <w:sz w:val="24"/>
              </w:rPr>
            </w:pPr>
            <w:r>
              <w:rPr>
                <w:rFonts w:hint="eastAsia" w:ascii="宋体" w:hAnsi="宋体" w:cs="宋体"/>
                <w:spacing w:val="2"/>
                <w:sz w:val="24"/>
                <w:lang w:val="zh-CN"/>
              </w:rPr>
              <w:t xml:space="preserve">内    容   </w:t>
            </w:r>
          </w:p>
        </w:tc>
      </w:tr>
      <w:tr w14:paraId="7A55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1072"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2CAE6705">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1</w:t>
            </w:r>
          </w:p>
        </w:tc>
        <w:tc>
          <w:tcPr>
            <w:tcW w:w="7582" w:type="dxa"/>
            <w:tcBorders>
              <w:top w:val="single" w:color="auto" w:sz="4" w:space="0"/>
              <w:left w:val="single" w:color="auto" w:sz="4" w:space="0"/>
              <w:bottom w:val="single" w:color="auto" w:sz="4" w:space="0"/>
              <w:right w:val="single" w:color="auto" w:sz="4" w:space="0"/>
            </w:tcBorders>
            <w:vAlign w:val="center"/>
          </w:tcPr>
          <w:p w14:paraId="39B2FE83">
            <w:pPr>
              <w:snapToGrid w:val="0"/>
              <w:spacing w:line="26" w:lineRule="atLeast"/>
              <w:rPr>
                <w:rFonts w:ascii="宋体" w:hAnsi="宋体" w:cs="宋体"/>
                <w:sz w:val="24"/>
              </w:rPr>
            </w:pPr>
            <w:r>
              <w:rPr>
                <w:rFonts w:hint="eastAsia" w:ascii="宋体" w:hAnsi="宋体" w:cs="宋体"/>
                <w:spacing w:val="2"/>
                <w:sz w:val="24"/>
              </w:rPr>
              <w:t xml:space="preserve"> </w:t>
            </w:r>
            <w:r>
              <w:rPr>
                <w:rFonts w:hint="eastAsia" w:ascii="宋体" w:hAnsi="宋体" w:cs="宋体"/>
                <w:spacing w:val="2"/>
                <w:sz w:val="24"/>
                <w:lang w:val="zh-CN"/>
              </w:rPr>
              <w:t>项目名称：钟楼区财政局2025-2028年政策性农业保险承保机构遴选</w:t>
            </w:r>
            <w:r>
              <w:rPr>
                <w:rFonts w:hint="eastAsia" w:ascii="宋体" w:hAnsi="宋体" w:cs="宋体"/>
                <w:sz w:val="24"/>
              </w:rPr>
              <w:t xml:space="preserve">  </w:t>
            </w:r>
          </w:p>
          <w:p w14:paraId="22DABD4F">
            <w:pPr>
              <w:snapToGrid w:val="0"/>
              <w:spacing w:line="26" w:lineRule="atLeast"/>
              <w:rPr>
                <w:rFonts w:ascii="宋体" w:hAnsi="宋体" w:cs="宋体"/>
                <w:b/>
                <w:bCs/>
                <w:spacing w:val="2"/>
                <w:sz w:val="24"/>
              </w:rPr>
            </w:pPr>
            <w:r>
              <w:rPr>
                <w:rFonts w:hint="eastAsia" w:ascii="宋体" w:hAnsi="宋体" w:cs="宋体"/>
                <w:spacing w:val="2"/>
                <w:sz w:val="24"/>
              </w:rPr>
              <w:t xml:space="preserve"> </w:t>
            </w:r>
            <w:r>
              <w:rPr>
                <w:rFonts w:hint="eastAsia" w:ascii="宋体" w:hAnsi="宋体" w:cs="宋体"/>
                <w:spacing w:val="2"/>
                <w:sz w:val="24"/>
                <w:lang w:val="zh-CN"/>
              </w:rPr>
              <w:t>遴选编号：ZLQCZJ-2025-001</w:t>
            </w:r>
          </w:p>
          <w:p w14:paraId="3C9D51BF">
            <w:pPr>
              <w:snapToGrid w:val="0"/>
              <w:spacing w:line="26" w:lineRule="atLeast"/>
              <w:ind w:firstLine="122" w:firstLineChars="50"/>
              <w:rPr>
                <w:rFonts w:ascii="宋体" w:hAnsi="宋体" w:cs="宋体"/>
                <w:color w:val="FF0000"/>
                <w:spacing w:val="2"/>
                <w:sz w:val="24"/>
              </w:rPr>
            </w:pPr>
            <w:r>
              <w:rPr>
                <w:rFonts w:hint="eastAsia" w:ascii="宋体" w:hAnsi="宋体" w:cs="宋体"/>
                <w:spacing w:val="2"/>
                <w:sz w:val="24"/>
                <w:lang w:val="zh-CN"/>
              </w:rPr>
              <w:t>服务限期：</w:t>
            </w:r>
            <w:r>
              <w:rPr>
                <w:rFonts w:hint="eastAsia" w:ascii="宋体" w:hAnsi="宋体" w:cs="宋体"/>
                <w:spacing w:val="2"/>
                <w:sz w:val="24"/>
              </w:rPr>
              <w:t>2025年6月17日-2028年6月16日</w:t>
            </w:r>
          </w:p>
        </w:tc>
      </w:tr>
      <w:tr w14:paraId="20BC4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570"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4BD5B799">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2</w:t>
            </w:r>
          </w:p>
        </w:tc>
        <w:tc>
          <w:tcPr>
            <w:tcW w:w="7582" w:type="dxa"/>
            <w:tcBorders>
              <w:top w:val="single" w:color="auto" w:sz="4" w:space="0"/>
              <w:left w:val="single" w:color="auto" w:sz="4" w:space="0"/>
              <w:bottom w:val="single" w:color="auto" w:sz="4" w:space="0"/>
              <w:right w:val="single" w:color="auto" w:sz="4" w:space="0"/>
            </w:tcBorders>
            <w:vAlign w:val="center"/>
          </w:tcPr>
          <w:p w14:paraId="60F13648">
            <w:pPr>
              <w:snapToGrid w:val="0"/>
              <w:spacing w:line="26" w:lineRule="atLeast"/>
              <w:ind w:firstLine="122" w:firstLineChars="50"/>
              <w:rPr>
                <w:rFonts w:ascii="宋体" w:hAnsi="宋体" w:cs="宋体"/>
                <w:spacing w:val="2"/>
                <w:sz w:val="24"/>
              </w:rPr>
            </w:pPr>
            <w:r>
              <w:rPr>
                <w:rFonts w:hint="eastAsia" w:ascii="宋体" w:hAnsi="宋体" w:cs="宋体"/>
                <w:spacing w:val="2"/>
                <w:sz w:val="24"/>
                <w:lang w:val="zh-CN"/>
              </w:rPr>
              <w:t>响应保证金：免收。</w:t>
            </w:r>
          </w:p>
        </w:tc>
      </w:tr>
      <w:tr w14:paraId="34E45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210"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73506D61">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3</w:t>
            </w:r>
          </w:p>
        </w:tc>
        <w:tc>
          <w:tcPr>
            <w:tcW w:w="7592" w:type="dxa"/>
            <w:gridSpan w:val="2"/>
            <w:tcBorders>
              <w:top w:val="single" w:color="auto" w:sz="4" w:space="0"/>
              <w:left w:val="single" w:color="auto" w:sz="4" w:space="0"/>
              <w:bottom w:val="single" w:color="auto" w:sz="4" w:space="0"/>
              <w:right w:val="single" w:color="auto" w:sz="4" w:space="0"/>
            </w:tcBorders>
            <w:vAlign w:val="center"/>
          </w:tcPr>
          <w:p w14:paraId="6F8126DC">
            <w:pPr>
              <w:snapToGrid w:val="0"/>
              <w:spacing w:line="26" w:lineRule="atLeast"/>
              <w:ind w:firstLine="122" w:firstLineChars="50"/>
              <w:rPr>
                <w:rFonts w:ascii="宋体" w:hAnsi="宋体" w:cs="宋体"/>
                <w:spacing w:val="2"/>
                <w:sz w:val="24"/>
                <w:lang w:val="zh-CN"/>
              </w:rPr>
            </w:pPr>
            <w:r>
              <w:rPr>
                <w:rFonts w:hint="eastAsia" w:ascii="宋体" w:hAnsi="宋体" w:cs="宋体"/>
                <w:spacing w:val="2"/>
                <w:sz w:val="24"/>
                <w:lang w:val="zh-CN"/>
              </w:rPr>
              <w:t>供应商如对遴选文件提出疑问的，可在提交响应文件截止时间15日前将书面答疑文件提交遴选联系人处。</w:t>
            </w:r>
          </w:p>
          <w:p w14:paraId="0A352BF7">
            <w:pPr>
              <w:snapToGrid w:val="0"/>
              <w:spacing w:line="26" w:lineRule="atLeast"/>
              <w:rPr>
                <w:rFonts w:ascii="宋体" w:hAnsi="宋体" w:cs="宋体"/>
                <w:spacing w:val="2"/>
                <w:sz w:val="24"/>
                <w:lang w:val="zh-CN"/>
              </w:rPr>
            </w:pPr>
            <w:r>
              <w:rPr>
                <w:rFonts w:hint="eastAsia" w:ascii="宋体" w:hAnsi="宋体" w:cs="宋体"/>
                <w:spacing w:val="2"/>
                <w:sz w:val="24"/>
              </w:rPr>
              <w:t xml:space="preserve"> </w:t>
            </w:r>
            <w:r>
              <w:rPr>
                <w:rFonts w:hint="eastAsia" w:ascii="宋体" w:hAnsi="宋体" w:cs="宋体"/>
                <w:spacing w:val="2"/>
                <w:sz w:val="24"/>
                <w:lang w:val="zh-CN"/>
              </w:rPr>
              <w:t>联系人、电话等</w:t>
            </w:r>
            <w:r>
              <w:rPr>
                <w:rFonts w:hint="eastAsia" w:ascii="宋体" w:hAnsi="宋体" w:cs="宋体"/>
                <w:spacing w:val="2"/>
                <w:kern w:val="0"/>
                <w:sz w:val="24"/>
                <w:lang w:val="zh-CN"/>
              </w:rPr>
              <w:t>详见遴选邀请</w:t>
            </w:r>
          </w:p>
        </w:tc>
      </w:tr>
      <w:tr w14:paraId="35D57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681"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382D9105">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4</w:t>
            </w:r>
          </w:p>
        </w:tc>
        <w:tc>
          <w:tcPr>
            <w:tcW w:w="7582" w:type="dxa"/>
            <w:tcBorders>
              <w:top w:val="single" w:color="auto" w:sz="4" w:space="0"/>
              <w:left w:val="single" w:color="auto" w:sz="4" w:space="0"/>
              <w:bottom w:val="single" w:color="auto" w:sz="4" w:space="0"/>
              <w:right w:val="single" w:color="auto" w:sz="4" w:space="0"/>
            </w:tcBorders>
            <w:vAlign w:val="center"/>
          </w:tcPr>
          <w:p w14:paraId="47213E0A">
            <w:pPr>
              <w:snapToGrid w:val="0"/>
              <w:spacing w:line="26" w:lineRule="atLeast"/>
              <w:rPr>
                <w:rFonts w:ascii="宋体" w:hAnsi="宋体" w:cs="宋体"/>
                <w:bCs/>
                <w:spacing w:val="2"/>
                <w:sz w:val="24"/>
                <w:lang w:val="zh-CN"/>
              </w:rPr>
            </w:pPr>
            <w:r>
              <w:rPr>
                <w:rFonts w:hint="eastAsia" w:ascii="宋体" w:hAnsi="宋体" w:cs="宋体"/>
                <w:spacing w:val="2"/>
                <w:sz w:val="24"/>
              </w:rPr>
              <w:t xml:space="preserve"> </w:t>
            </w:r>
            <w:r>
              <w:rPr>
                <w:rFonts w:hint="eastAsia" w:ascii="宋体" w:hAnsi="宋体" w:cs="宋体"/>
                <w:spacing w:val="2"/>
                <w:sz w:val="24"/>
                <w:lang w:val="zh-CN"/>
              </w:rPr>
              <w:t>响应文件份数：纸质响应文件</w:t>
            </w:r>
            <w:r>
              <w:rPr>
                <w:rFonts w:hint="eastAsia" w:ascii="宋体" w:hAnsi="宋体" w:cs="宋体"/>
                <w:bCs/>
                <w:spacing w:val="2"/>
                <w:sz w:val="24"/>
                <w:lang w:val="zh-CN"/>
              </w:rPr>
              <w:t>正本一份、副本</w:t>
            </w:r>
            <w:r>
              <w:rPr>
                <w:rFonts w:hint="eastAsia" w:ascii="宋体" w:hAnsi="宋体" w:cs="宋体"/>
                <w:bCs/>
                <w:spacing w:val="2"/>
                <w:sz w:val="24"/>
                <w:u w:val="single"/>
                <w:lang w:val="zh-CN"/>
              </w:rPr>
              <w:t>四</w:t>
            </w:r>
            <w:r>
              <w:rPr>
                <w:rFonts w:hint="eastAsia" w:ascii="宋体" w:hAnsi="宋体" w:cs="宋体"/>
                <w:bCs/>
                <w:spacing w:val="2"/>
                <w:sz w:val="24"/>
                <w:lang w:val="zh-CN"/>
              </w:rPr>
              <w:t>份，</w:t>
            </w:r>
          </w:p>
          <w:p w14:paraId="6155DB93">
            <w:pPr>
              <w:snapToGrid w:val="0"/>
              <w:spacing w:line="26" w:lineRule="atLeast"/>
              <w:ind w:firstLine="122" w:firstLineChars="50"/>
              <w:rPr>
                <w:rFonts w:ascii="宋体" w:hAnsi="宋体" w:cs="宋体"/>
                <w:bCs/>
                <w:spacing w:val="2"/>
                <w:sz w:val="24"/>
                <w:lang w:val="zh-CN"/>
              </w:rPr>
            </w:pPr>
            <w:r>
              <w:rPr>
                <w:rFonts w:hint="eastAsia" w:ascii="宋体" w:hAnsi="宋体" w:cs="宋体"/>
                <w:spacing w:val="2"/>
                <w:sz w:val="24"/>
                <w:lang w:val="zh-CN"/>
              </w:rPr>
              <w:t>纸质响应文件的密封、签署、盖章要求：见第三章</w:t>
            </w:r>
          </w:p>
        </w:tc>
      </w:tr>
      <w:tr w14:paraId="7ECF9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1027"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5A36D590">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5</w:t>
            </w:r>
          </w:p>
        </w:tc>
        <w:tc>
          <w:tcPr>
            <w:tcW w:w="7582" w:type="dxa"/>
            <w:tcBorders>
              <w:top w:val="single" w:color="auto" w:sz="4" w:space="0"/>
              <w:left w:val="single" w:color="auto" w:sz="4" w:space="0"/>
              <w:bottom w:val="single" w:color="auto" w:sz="4" w:space="0"/>
              <w:right w:val="single" w:color="auto" w:sz="4" w:space="0"/>
            </w:tcBorders>
            <w:vAlign w:val="center"/>
          </w:tcPr>
          <w:p w14:paraId="04ABD66C">
            <w:pPr>
              <w:snapToGrid w:val="0"/>
              <w:spacing w:line="26" w:lineRule="atLeast"/>
              <w:ind w:firstLine="122" w:firstLineChars="50"/>
              <w:rPr>
                <w:rFonts w:ascii="宋体" w:hAnsi="宋体" w:cs="宋体"/>
                <w:sz w:val="24"/>
                <w:lang w:val="zh-CN"/>
              </w:rPr>
            </w:pPr>
            <w:r>
              <w:rPr>
                <w:rFonts w:hint="eastAsia" w:ascii="宋体" w:hAnsi="宋体" w:cs="宋体"/>
                <w:spacing w:val="2"/>
                <w:sz w:val="24"/>
                <w:lang w:val="zh-CN"/>
              </w:rPr>
              <w:t>响应文件接收时间：</w:t>
            </w:r>
            <w:bookmarkStart w:id="0" w:name="OLE_LINK3"/>
            <w:r>
              <w:rPr>
                <w:rFonts w:hint="eastAsia" w:ascii="宋体" w:hAnsi="宋体" w:cs="宋体"/>
                <w:spacing w:val="2"/>
                <w:sz w:val="24"/>
                <w:lang w:val="zh-CN"/>
              </w:rPr>
              <w:t>详见遴选邀请</w:t>
            </w:r>
            <w:bookmarkEnd w:id="0"/>
          </w:p>
          <w:p w14:paraId="4F4DB04B">
            <w:pPr>
              <w:snapToGrid w:val="0"/>
              <w:spacing w:line="26" w:lineRule="atLeast"/>
              <w:ind w:firstLine="122" w:firstLineChars="50"/>
              <w:rPr>
                <w:rFonts w:ascii="宋体" w:hAnsi="宋体" w:cs="宋体"/>
                <w:spacing w:val="2"/>
                <w:sz w:val="24"/>
                <w:lang w:val="zh-CN"/>
              </w:rPr>
            </w:pPr>
            <w:r>
              <w:rPr>
                <w:rFonts w:hint="eastAsia" w:ascii="宋体" w:hAnsi="宋体" w:cs="宋体"/>
                <w:spacing w:val="2"/>
                <w:sz w:val="24"/>
                <w:lang w:val="zh-CN"/>
              </w:rPr>
              <w:t>响应文件提交截止时间：详见遴选邀请</w:t>
            </w:r>
          </w:p>
          <w:p w14:paraId="3442B968">
            <w:pPr>
              <w:snapToGrid w:val="0"/>
              <w:spacing w:line="26" w:lineRule="atLeast"/>
              <w:ind w:firstLine="122" w:firstLineChars="50"/>
              <w:rPr>
                <w:rFonts w:ascii="宋体" w:hAnsi="宋体" w:cs="宋体"/>
                <w:sz w:val="24"/>
                <w:lang w:val="zh-CN"/>
              </w:rPr>
            </w:pPr>
            <w:r>
              <w:rPr>
                <w:rFonts w:hint="eastAsia" w:ascii="宋体" w:hAnsi="宋体" w:cs="宋体"/>
                <w:spacing w:val="2"/>
                <w:sz w:val="24"/>
                <w:lang w:val="zh-CN"/>
              </w:rPr>
              <w:t>响应文件提交地点：详见遴选邀请</w:t>
            </w:r>
          </w:p>
        </w:tc>
      </w:tr>
      <w:tr w14:paraId="514117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7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7D530BCB">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6</w:t>
            </w:r>
          </w:p>
        </w:tc>
        <w:tc>
          <w:tcPr>
            <w:tcW w:w="7582" w:type="dxa"/>
            <w:tcBorders>
              <w:top w:val="single" w:color="auto" w:sz="4" w:space="0"/>
              <w:left w:val="single" w:color="auto" w:sz="4" w:space="0"/>
              <w:bottom w:val="single" w:color="auto" w:sz="4" w:space="0"/>
              <w:right w:val="single" w:color="auto" w:sz="4" w:space="0"/>
            </w:tcBorders>
            <w:vAlign w:val="center"/>
          </w:tcPr>
          <w:p w14:paraId="75F8743D">
            <w:pPr>
              <w:snapToGrid w:val="0"/>
              <w:spacing w:line="26" w:lineRule="atLeast"/>
              <w:ind w:firstLine="122" w:firstLineChars="50"/>
              <w:rPr>
                <w:rFonts w:ascii="宋体" w:hAnsi="宋体" w:cs="宋体"/>
                <w:spacing w:val="2"/>
                <w:sz w:val="24"/>
                <w:lang w:val="zh-CN"/>
              </w:rPr>
            </w:pPr>
            <w:r>
              <w:rPr>
                <w:rFonts w:hint="eastAsia" w:ascii="宋体" w:hAnsi="宋体" w:cs="宋体"/>
                <w:spacing w:val="2"/>
                <w:sz w:val="24"/>
                <w:lang w:val="zh-CN"/>
              </w:rPr>
              <w:t>开标时间：详见遴选邀请</w:t>
            </w:r>
          </w:p>
          <w:p w14:paraId="57902DFD">
            <w:pPr>
              <w:snapToGrid w:val="0"/>
              <w:spacing w:line="26" w:lineRule="atLeast"/>
              <w:ind w:firstLine="122" w:firstLineChars="50"/>
              <w:rPr>
                <w:rFonts w:ascii="宋体" w:hAnsi="宋体" w:cs="宋体"/>
                <w:spacing w:val="2"/>
                <w:sz w:val="24"/>
              </w:rPr>
            </w:pPr>
            <w:r>
              <w:rPr>
                <w:rFonts w:hint="eastAsia" w:ascii="宋体" w:hAnsi="宋体" w:cs="宋体"/>
                <w:spacing w:val="2"/>
                <w:sz w:val="24"/>
                <w:lang w:val="zh-CN"/>
              </w:rPr>
              <w:t>地　　点：详见遴选邀请</w:t>
            </w:r>
          </w:p>
        </w:tc>
      </w:tr>
      <w:tr w14:paraId="0280F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486"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491E4D40">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7</w:t>
            </w:r>
          </w:p>
        </w:tc>
        <w:tc>
          <w:tcPr>
            <w:tcW w:w="7582" w:type="dxa"/>
            <w:tcBorders>
              <w:top w:val="single" w:color="auto" w:sz="4" w:space="0"/>
              <w:left w:val="single" w:color="auto" w:sz="4" w:space="0"/>
              <w:bottom w:val="single" w:color="auto" w:sz="4" w:space="0"/>
              <w:right w:val="single" w:color="auto" w:sz="4" w:space="0"/>
            </w:tcBorders>
            <w:vAlign w:val="center"/>
          </w:tcPr>
          <w:p w14:paraId="2A866FEF">
            <w:pPr>
              <w:snapToGrid w:val="0"/>
              <w:spacing w:line="26" w:lineRule="atLeast"/>
              <w:rPr>
                <w:rFonts w:ascii="宋体" w:hAnsi="宋体" w:cs="宋体"/>
                <w:spacing w:val="2"/>
                <w:sz w:val="24"/>
              </w:rPr>
            </w:pPr>
            <w:r>
              <w:rPr>
                <w:rFonts w:hint="eastAsia" w:ascii="宋体" w:hAnsi="宋体" w:cs="宋体"/>
                <w:spacing w:val="2"/>
                <w:sz w:val="24"/>
              </w:rPr>
              <w:t xml:space="preserve"> </w:t>
            </w:r>
            <w:r>
              <w:rPr>
                <w:rFonts w:hint="eastAsia" w:ascii="宋体" w:hAnsi="宋体" w:cs="宋体"/>
                <w:spacing w:val="2"/>
                <w:sz w:val="24"/>
                <w:lang w:val="zh-CN"/>
              </w:rPr>
              <w:t>评标办法：综合评分法</w:t>
            </w:r>
          </w:p>
        </w:tc>
      </w:tr>
      <w:tr w14:paraId="6821E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486"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294E1768">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8</w:t>
            </w:r>
          </w:p>
        </w:tc>
        <w:tc>
          <w:tcPr>
            <w:tcW w:w="7582" w:type="dxa"/>
            <w:tcBorders>
              <w:top w:val="single" w:color="auto" w:sz="4" w:space="0"/>
              <w:left w:val="single" w:color="auto" w:sz="4" w:space="0"/>
              <w:bottom w:val="single" w:color="auto" w:sz="4" w:space="0"/>
              <w:right w:val="single" w:color="auto" w:sz="4" w:space="0"/>
            </w:tcBorders>
            <w:vAlign w:val="center"/>
          </w:tcPr>
          <w:p w14:paraId="33E4B5DE">
            <w:pPr>
              <w:snapToGrid w:val="0"/>
              <w:spacing w:line="26" w:lineRule="atLeast"/>
              <w:rPr>
                <w:rFonts w:ascii="宋体" w:hAnsi="宋体" w:cs="宋体"/>
                <w:b/>
                <w:bCs/>
                <w:sz w:val="24"/>
              </w:rPr>
            </w:pPr>
            <w:r>
              <w:rPr>
                <w:rFonts w:hint="eastAsia" w:ascii="宋体" w:hAnsi="宋体" w:cs="宋体"/>
                <w:spacing w:val="2"/>
                <w:sz w:val="24"/>
              </w:rPr>
              <w:t xml:space="preserve"> </w:t>
            </w:r>
            <w:r>
              <w:rPr>
                <w:rFonts w:hint="eastAsia" w:ascii="宋体" w:hAnsi="宋体" w:cs="宋体"/>
                <w:spacing w:val="2"/>
                <w:sz w:val="24"/>
                <w:lang w:val="zh-CN"/>
              </w:rPr>
              <w:t>履约保证金：合同价的</w:t>
            </w:r>
            <w:r>
              <w:rPr>
                <w:rFonts w:hint="eastAsia" w:ascii="宋体" w:hAnsi="宋体" w:cs="宋体"/>
                <w:spacing w:val="2"/>
                <w:sz w:val="24"/>
                <w:u w:val="single"/>
                <w:lang w:val="zh-CN"/>
              </w:rPr>
              <w:t xml:space="preserve"> </w:t>
            </w:r>
            <w:r>
              <w:rPr>
                <w:rFonts w:hint="eastAsia" w:ascii="宋体" w:hAnsi="宋体" w:cs="宋体"/>
                <w:spacing w:val="2"/>
                <w:sz w:val="24"/>
                <w:u w:val="single"/>
              </w:rPr>
              <w:t>0</w:t>
            </w:r>
            <w:r>
              <w:rPr>
                <w:rFonts w:hint="eastAsia" w:ascii="宋体" w:hAnsi="宋体" w:cs="宋体"/>
                <w:spacing w:val="2"/>
                <w:sz w:val="24"/>
                <w:u w:val="single"/>
                <w:lang w:val="zh-CN"/>
              </w:rPr>
              <w:t xml:space="preserve"> </w:t>
            </w:r>
            <w:r>
              <w:rPr>
                <w:rFonts w:hint="eastAsia" w:ascii="宋体" w:hAnsi="宋体" w:cs="宋体"/>
                <w:spacing w:val="2"/>
                <w:sz w:val="24"/>
                <w:lang w:val="zh-CN"/>
              </w:rPr>
              <w:t>%，由遴选人自行收取</w:t>
            </w:r>
          </w:p>
        </w:tc>
      </w:tr>
      <w:tr w14:paraId="5F7ED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486"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76F1EB4B">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9</w:t>
            </w:r>
          </w:p>
        </w:tc>
        <w:tc>
          <w:tcPr>
            <w:tcW w:w="7582" w:type="dxa"/>
            <w:tcBorders>
              <w:top w:val="single" w:color="auto" w:sz="4" w:space="0"/>
              <w:left w:val="single" w:color="auto" w:sz="4" w:space="0"/>
              <w:bottom w:val="single" w:color="auto" w:sz="4" w:space="0"/>
              <w:right w:val="single" w:color="auto" w:sz="4" w:space="0"/>
            </w:tcBorders>
            <w:vAlign w:val="center"/>
          </w:tcPr>
          <w:p w14:paraId="39DC9CF9">
            <w:pPr>
              <w:snapToGrid w:val="0"/>
              <w:spacing w:line="26" w:lineRule="atLeast"/>
              <w:ind w:firstLine="122" w:firstLineChars="50"/>
              <w:rPr>
                <w:rFonts w:ascii="宋体" w:hAnsi="宋体" w:cs="宋体"/>
                <w:spacing w:val="2"/>
                <w:sz w:val="24"/>
              </w:rPr>
            </w:pPr>
            <w:r>
              <w:rPr>
                <w:rFonts w:hint="eastAsia" w:ascii="宋体" w:hAnsi="宋体" w:cs="宋体"/>
                <w:spacing w:val="2"/>
                <w:sz w:val="24"/>
              </w:rPr>
              <w:t>响应有效期：</w:t>
            </w:r>
            <w:r>
              <w:rPr>
                <w:rFonts w:hint="eastAsia" w:ascii="宋体" w:hAnsi="宋体" w:cs="宋体"/>
                <w:sz w:val="24"/>
                <w:shd w:val="clear" w:color="auto" w:fill="FFFFFF"/>
              </w:rPr>
              <w:t>从提交响应文件的截止之日起</w:t>
            </w:r>
            <w:r>
              <w:rPr>
                <w:rFonts w:hint="eastAsia" w:ascii="宋体" w:hAnsi="宋体" w:cs="宋体"/>
                <w:sz w:val="24"/>
                <w:u w:val="single"/>
                <w:shd w:val="clear" w:color="auto" w:fill="FFFFFF"/>
              </w:rPr>
              <w:t>60</w:t>
            </w:r>
            <w:r>
              <w:rPr>
                <w:rFonts w:hint="eastAsia" w:ascii="宋体" w:hAnsi="宋体" w:cs="宋体"/>
                <w:sz w:val="24"/>
                <w:shd w:val="clear" w:color="auto" w:fill="FFFFFF"/>
              </w:rPr>
              <w:t>日</w:t>
            </w:r>
          </w:p>
        </w:tc>
      </w:tr>
    </w:tbl>
    <w:p w14:paraId="204BEF25">
      <w:pPr>
        <w:snapToGrid w:val="0"/>
        <w:spacing w:line="360" w:lineRule="auto"/>
        <w:jc w:val="center"/>
      </w:pPr>
    </w:p>
    <w:p w14:paraId="1C22270D"/>
    <w:p w14:paraId="6540D192">
      <w:pPr>
        <w:pageBreakBefore/>
        <w:snapToGrid w:val="0"/>
        <w:spacing w:line="360" w:lineRule="auto"/>
        <w:ind w:firstLine="397"/>
        <w:jc w:val="center"/>
        <w:rPr>
          <w:rFonts w:ascii="黑体" w:hAnsi="黑体" w:eastAsia="黑体" w:cs="黑体"/>
          <w:b/>
          <w:sz w:val="44"/>
          <w:szCs w:val="44"/>
        </w:rPr>
      </w:pPr>
      <w:r>
        <w:rPr>
          <w:rFonts w:hint="eastAsia" w:ascii="黑体" w:hAnsi="黑体" w:eastAsia="黑体" w:cs="黑体"/>
          <w:b/>
          <w:sz w:val="44"/>
          <w:szCs w:val="44"/>
        </w:rPr>
        <w:t>目    录</w:t>
      </w:r>
    </w:p>
    <w:p w14:paraId="02B4C28E">
      <w:pPr>
        <w:pStyle w:val="12"/>
        <w:tabs>
          <w:tab w:val="right" w:leader="dot" w:pos="8296"/>
        </w:tabs>
        <w:rPr>
          <w:rFonts w:asciiTheme="minorEastAsia" w:hAnsiTheme="minorEastAsia" w:eastAsiaTheme="minorEastAsia" w:cstheme="minorBidi"/>
          <w:b w:val="0"/>
          <w:bCs w:val="0"/>
          <w:caps w:val="0"/>
          <w:sz w:val="28"/>
          <w:szCs w:val="28"/>
        </w:rPr>
      </w:pPr>
      <w:r>
        <w:rPr>
          <w:rFonts w:asciiTheme="minorEastAsia" w:hAnsiTheme="minorEastAsia" w:eastAsiaTheme="minorEastAsia"/>
          <w:sz w:val="28"/>
          <w:szCs w:val="28"/>
        </w:rPr>
        <w:fldChar w:fldCharType="begin"/>
      </w:r>
      <w:r>
        <w:rPr>
          <w:rFonts w:hint="eastAsia" w:cs="黑体" w:asciiTheme="minorEastAsia" w:hAnsiTheme="minorEastAsia" w:eastAsiaTheme="minorEastAsia"/>
          <w:b w:val="0"/>
          <w:sz w:val="28"/>
          <w:szCs w:val="28"/>
        </w:rPr>
        <w:instrText xml:space="preserve"> TOC \o "1-1" \h \z \u </w:instrText>
      </w:r>
      <w:r>
        <w:rPr>
          <w:rFonts w:asciiTheme="minorEastAsia" w:hAnsiTheme="minorEastAsia" w:eastAsiaTheme="minorEastAsia"/>
          <w:sz w:val="28"/>
          <w:szCs w:val="28"/>
        </w:rPr>
        <w:fldChar w:fldCharType="separate"/>
      </w:r>
      <w:r>
        <w:fldChar w:fldCharType="begin"/>
      </w:r>
      <w:r>
        <w:instrText xml:space="preserve"> HYPERLINK \l "_Toc179815305" </w:instrText>
      </w:r>
      <w:r>
        <w:fldChar w:fldCharType="separate"/>
      </w:r>
      <w:r>
        <w:rPr>
          <w:rStyle w:val="19"/>
          <w:rFonts w:hint="eastAsia" w:asciiTheme="minorEastAsia" w:hAnsiTheme="minorEastAsia" w:eastAsiaTheme="minorEastAsia"/>
          <w:sz w:val="28"/>
          <w:szCs w:val="28"/>
        </w:rPr>
        <w:t>遴选邀请</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_Toc179815305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6B98865E">
      <w:pPr>
        <w:pStyle w:val="12"/>
        <w:tabs>
          <w:tab w:val="right" w:leader="dot" w:pos="8296"/>
        </w:tabs>
        <w:rPr>
          <w:rFonts w:asciiTheme="minorEastAsia" w:hAnsiTheme="minorEastAsia" w:eastAsiaTheme="minorEastAsia" w:cstheme="minorBidi"/>
          <w:b w:val="0"/>
          <w:bCs w:val="0"/>
          <w:caps w:val="0"/>
          <w:sz w:val="28"/>
          <w:szCs w:val="28"/>
        </w:rPr>
      </w:pPr>
      <w:r>
        <w:fldChar w:fldCharType="begin"/>
      </w:r>
      <w:r>
        <w:instrText xml:space="preserve"> HYPERLINK \l "_Toc179815307" </w:instrText>
      </w:r>
      <w:r>
        <w:fldChar w:fldCharType="separate"/>
      </w:r>
      <w:r>
        <w:rPr>
          <w:rStyle w:val="19"/>
          <w:rFonts w:hint="eastAsia" w:cs="黑体" w:asciiTheme="minorEastAsia" w:hAnsiTheme="minorEastAsia" w:eastAsiaTheme="minorEastAsia"/>
          <w:sz w:val="28"/>
          <w:szCs w:val="28"/>
        </w:rPr>
        <w:t>第一章</w:t>
      </w:r>
      <w:r>
        <w:rPr>
          <w:rStyle w:val="19"/>
          <w:rFonts w:cs="黑体" w:asciiTheme="minorEastAsia" w:hAnsiTheme="minorEastAsia" w:eastAsiaTheme="minorEastAsia"/>
          <w:sz w:val="28"/>
          <w:szCs w:val="28"/>
        </w:rPr>
        <w:t xml:space="preserve"> </w:t>
      </w:r>
      <w:r>
        <w:rPr>
          <w:rStyle w:val="19"/>
          <w:rFonts w:hint="eastAsia" w:cs="黑体" w:asciiTheme="minorEastAsia" w:hAnsiTheme="minorEastAsia" w:eastAsiaTheme="minorEastAsia"/>
          <w:sz w:val="28"/>
          <w:szCs w:val="28"/>
        </w:rPr>
        <w:t>总</w:t>
      </w:r>
      <w:r>
        <w:rPr>
          <w:rStyle w:val="19"/>
          <w:rFonts w:cs="黑体" w:asciiTheme="minorEastAsia" w:hAnsiTheme="minorEastAsia" w:eastAsiaTheme="minorEastAsia"/>
          <w:sz w:val="28"/>
          <w:szCs w:val="28"/>
        </w:rPr>
        <w:t xml:space="preserve">  </w:t>
      </w:r>
      <w:r>
        <w:rPr>
          <w:rStyle w:val="19"/>
          <w:rFonts w:hint="eastAsia" w:cs="黑体" w:asciiTheme="minorEastAsia" w:hAnsiTheme="minorEastAsia" w:eastAsiaTheme="minorEastAsia"/>
          <w:sz w:val="28"/>
          <w:szCs w:val="28"/>
        </w:rPr>
        <w:t>则</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_Toc179815307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5567BA9D">
      <w:pPr>
        <w:pStyle w:val="12"/>
        <w:tabs>
          <w:tab w:val="right" w:leader="dot" w:pos="8296"/>
        </w:tabs>
        <w:rPr>
          <w:rFonts w:asciiTheme="minorEastAsia" w:hAnsiTheme="minorEastAsia" w:eastAsiaTheme="minorEastAsia" w:cstheme="minorBidi"/>
          <w:b w:val="0"/>
          <w:bCs w:val="0"/>
          <w:caps w:val="0"/>
          <w:sz w:val="28"/>
          <w:szCs w:val="28"/>
        </w:rPr>
      </w:pPr>
      <w:r>
        <w:fldChar w:fldCharType="begin"/>
      </w:r>
      <w:r>
        <w:instrText xml:space="preserve"> HYPERLINK \l "_Toc179815308" </w:instrText>
      </w:r>
      <w:r>
        <w:fldChar w:fldCharType="separate"/>
      </w:r>
      <w:r>
        <w:rPr>
          <w:rStyle w:val="19"/>
          <w:rFonts w:hint="eastAsia" w:cs="黑体" w:asciiTheme="minorEastAsia" w:hAnsiTheme="minorEastAsia" w:eastAsiaTheme="minorEastAsia"/>
          <w:snapToGrid w:val="0"/>
          <w:spacing w:val="-6"/>
          <w:sz w:val="28"/>
          <w:szCs w:val="28"/>
        </w:rPr>
        <w:t>第二章</w:t>
      </w:r>
      <w:r>
        <w:rPr>
          <w:rStyle w:val="19"/>
          <w:rFonts w:cs="黑体" w:asciiTheme="minorEastAsia" w:hAnsiTheme="minorEastAsia" w:eastAsiaTheme="minorEastAsia"/>
          <w:snapToGrid w:val="0"/>
          <w:spacing w:val="-6"/>
          <w:sz w:val="28"/>
          <w:szCs w:val="28"/>
        </w:rPr>
        <w:t xml:space="preserve"> </w:t>
      </w:r>
      <w:r>
        <w:rPr>
          <w:rStyle w:val="19"/>
          <w:rFonts w:hint="eastAsia" w:cs="黑体" w:asciiTheme="minorEastAsia" w:hAnsiTheme="minorEastAsia" w:eastAsiaTheme="minorEastAsia"/>
          <w:snapToGrid w:val="0"/>
          <w:spacing w:val="-6"/>
          <w:sz w:val="28"/>
          <w:szCs w:val="28"/>
        </w:rPr>
        <w:t>响应文件</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_Toc179815308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9</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076EEA30">
      <w:pPr>
        <w:pStyle w:val="12"/>
        <w:tabs>
          <w:tab w:val="right" w:leader="dot" w:pos="8296"/>
        </w:tabs>
        <w:rPr>
          <w:rFonts w:asciiTheme="minorEastAsia" w:hAnsiTheme="minorEastAsia" w:eastAsiaTheme="minorEastAsia" w:cstheme="minorBidi"/>
          <w:b w:val="0"/>
          <w:bCs w:val="0"/>
          <w:caps w:val="0"/>
          <w:sz w:val="28"/>
          <w:szCs w:val="28"/>
        </w:rPr>
      </w:pPr>
      <w:r>
        <w:fldChar w:fldCharType="begin"/>
      </w:r>
      <w:r>
        <w:instrText xml:space="preserve"> HYPERLINK \l "_Toc179815309" </w:instrText>
      </w:r>
      <w:r>
        <w:fldChar w:fldCharType="separate"/>
      </w:r>
      <w:r>
        <w:rPr>
          <w:rStyle w:val="19"/>
          <w:rFonts w:hint="eastAsia" w:cs="黑体" w:asciiTheme="minorEastAsia" w:hAnsiTheme="minorEastAsia" w:eastAsiaTheme="minorEastAsia"/>
          <w:snapToGrid w:val="0"/>
          <w:spacing w:val="-6"/>
          <w:sz w:val="28"/>
          <w:szCs w:val="28"/>
        </w:rPr>
        <w:t>第三章</w:t>
      </w:r>
      <w:r>
        <w:rPr>
          <w:rStyle w:val="19"/>
          <w:rFonts w:cs="黑体" w:asciiTheme="minorEastAsia" w:hAnsiTheme="minorEastAsia" w:eastAsiaTheme="minorEastAsia"/>
          <w:snapToGrid w:val="0"/>
          <w:spacing w:val="-6"/>
          <w:sz w:val="28"/>
          <w:szCs w:val="28"/>
        </w:rPr>
        <w:t xml:space="preserve"> </w:t>
      </w:r>
      <w:r>
        <w:rPr>
          <w:rStyle w:val="19"/>
          <w:rFonts w:hint="eastAsia" w:cs="黑体" w:asciiTheme="minorEastAsia" w:hAnsiTheme="minorEastAsia" w:eastAsiaTheme="minorEastAsia"/>
          <w:snapToGrid w:val="0"/>
          <w:spacing w:val="-6"/>
          <w:sz w:val="28"/>
          <w:szCs w:val="28"/>
        </w:rPr>
        <w:t>响应文件密封和提交</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_Toc179815309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451ADC0C">
      <w:pPr>
        <w:pStyle w:val="12"/>
        <w:tabs>
          <w:tab w:val="right" w:leader="dot" w:pos="8296"/>
        </w:tabs>
        <w:rPr>
          <w:rFonts w:asciiTheme="minorEastAsia" w:hAnsiTheme="minorEastAsia" w:eastAsiaTheme="minorEastAsia" w:cstheme="minorBidi"/>
          <w:b w:val="0"/>
          <w:bCs w:val="0"/>
          <w:caps w:val="0"/>
          <w:sz w:val="28"/>
          <w:szCs w:val="28"/>
        </w:rPr>
      </w:pPr>
      <w:r>
        <w:fldChar w:fldCharType="begin"/>
      </w:r>
      <w:r>
        <w:instrText xml:space="preserve"> HYPERLINK \l "_Toc179815310" </w:instrText>
      </w:r>
      <w:r>
        <w:fldChar w:fldCharType="separate"/>
      </w:r>
      <w:r>
        <w:rPr>
          <w:rStyle w:val="19"/>
          <w:rFonts w:hint="eastAsia" w:cs="黑体" w:asciiTheme="minorEastAsia" w:hAnsiTheme="minorEastAsia" w:eastAsiaTheme="minorEastAsia"/>
          <w:sz w:val="28"/>
          <w:szCs w:val="28"/>
        </w:rPr>
        <w:t>第四章</w:t>
      </w:r>
      <w:r>
        <w:rPr>
          <w:rStyle w:val="19"/>
          <w:rFonts w:cs="黑体" w:asciiTheme="minorEastAsia" w:hAnsiTheme="minorEastAsia" w:eastAsiaTheme="minorEastAsia"/>
          <w:sz w:val="28"/>
          <w:szCs w:val="28"/>
        </w:rPr>
        <w:t xml:space="preserve"> </w:t>
      </w:r>
      <w:r>
        <w:rPr>
          <w:rStyle w:val="19"/>
          <w:rFonts w:hint="eastAsia" w:cs="黑体" w:asciiTheme="minorEastAsia" w:hAnsiTheme="minorEastAsia" w:eastAsiaTheme="minorEastAsia"/>
          <w:sz w:val="28"/>
          <w:szCs w:val="28"/>
        </w:rPr>
        <w:t>响应报价</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_Toc179815310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3278A36F">
      <w:pPr>
        <w:pStyle w:val="12"/>
        <w:tabs>
          <w:tab w:val="right" w:leader="dot" w:pos="8296"/>
        </w:tabs>
        <w:rPr>
          <w:rFonts w:asciiTheme="minorEastAsia" w:hAnsiTheme="minorEastAsia" w:eastAsiaTheme="minorEastAsia" w:cstheme="minorBidi"/>
          <w:b w:val="0"/>
          <w:bCs w:val="0"/>
          <w:caps w:val="0"/>
          <w:sz w:val="28"/>
          <w:szCs w:val="28"/>
        </w:rPr>
      </w:pPr>
      <w:r>
        <w:fldChar w:fldCharType="begin"/>
      </w:r>
      <w:r>
        <w:instrText xml:space="preserve"> HYPERLINK \l "_Toc179815311" </w:instrText>
      </w:r>
      <w:r>
        <w:fldChar w:fldCharType="separate"/>
      </w:r>
      <w:r>
        <w:rPr>
          <w:rStyle w:val="19"/>
          <w:rFonts w:hint="eastAsia" w:cs="黑体" w:asciiTheme="minorEastAsia" w:hAnsiTheme="minorEastAsia" w:eastAsiaTheme="minorEastAsia"/>
          <w:sz w:val="28"/>
          <w:szCs w:val="28"/>
        </w:rPr>
        <w:t>第五章</w:t>
      </w:r>
      <w:r>
        <w:rPr>
          <w:rStyle w:val="19"/>
          <w:rFonts w:cs="黑体" w:asciiTheme="minorEastAsia" w:hAnsiTheme="minorEastAsia" w:eastAsiaTheme="minorEastAsia"/>
          <w:sz w:val="28"/>
          <w:szCs w:val="28"/>
        </w:rPr>
        <w:t xml:space="preserve"> </w:t>
      </w:r>
      <w:r>
        <w:rPr>
          <w:rStyle w:val="19"/>
          <w:rFonts w:hint="eastAsia" w:cs="黑体" w:asciiTheme="minorEastAsia" w:hAnsiTheme="minorEastAsia" w:eastAsiaTheme="minorEastAsia"/>
          <w:sz w:val="28"/>
          <w:szCs w:val="28"/>
        </w:rPr>
        <w:t>开标、评审、确定成交人</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_Toc179815311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5922A274">
      <w:pPr>
        <w:pStyle w:val="12"/>
        <w:tabs>
          <w:tab w:val="right" w:leader="dot" w:pos="8296"/>
        </w:tabs>
        <w:rPr>
          <w:rFonts w:asciiTheme="minorEastAsia" w:hAnsiTheme="minorEastAsia" w:eastAsiaTheme="minorEastAsia" w:cstheme="minorBidi"/>
          <w:b w:val="0"/>
          <w:bCs w:val="0"/>
          <w:caps w:val="0"/>
          <w:sz w:val="28"/>
          <w:szCs w:val="28"/>
        </w:rPr>
      </w:pPr>
      <w:r>
        <w:fldChar w:fldCharType="begin"/>
      </w:r>
      <w:r>
        <w:instrText xml:space="preserve"> HYPERLINK \l "_Toc179815312" </w:instrText>
      </w:r>
      <w:r>
        <w:fldChar w:fldCharType="separate"/>
      </w:r>
      <w:r>
        <w:rPr>
          <w:rStyle w:val="19"/>
          <w:rFonts w:hint="eastAsia" w:cs="黑体" w:asciiTheme="minorEastAsia" w:hAnsiTheme="minorEastAsia" w:eastAsiaTheme="minorEastAsia"/>
          <w:sz w:val="28"/>
          <w:szCs w:val="28"/>
        </w:rPr>
        <w:t>第六章</w:t>
      </w:r>
      <w:r>
        <w:rPr>
          <w:rStyle w:val="19"/>
          <w:rFonts w:cs="黑体" w:asciiTheme="minorEastAsia" w:hAnsiTheme="minorEastAsia" w:eastAsiaTheme="minorEastAsia"/>
          <w:sz w:val="28"/>
          <w:szCs w:val="28"/>
        </w:rPr>
        <w:t xml:space="preserve"> </w:t>
      </w:r>
      <w:r>
        <w:rPr>
          <w:rStyle w:val="19"/>
          <w:rFonts w:hint="eastAsia" w:cs="黑体" w:asciiTheme="minorEastAsia" w:hAnsiTheme="minorEastAsia" w:eastAsiaTheme="minorEastAsia"/>
          <w:sz w:val="28"/>
          <w:szCs w:val="28"/>
        </w:rPr>
        <w:t>响应文件格式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_Toc179815312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20BF20C6">
      <w:pPr>
        <w:pStyle w:val="12"/>
        <w:tabs>
          <w:tab w:val="right" w:leader="dot" w:pos="8296"/>
        </w:tabs>
        <w:rPr>
          <w:rFonts w:asciiTheme="minorEastAsia" w:hAnsiTheme="minorEastAsia" w:eastAsiaTheme="minorEastAsia" w:cstheme="minorBidi"/>
          <w:b w:val="0"/>
          <w:bCs w:val="0"/>
          <w:caps w:val="0"/>
          <w:sz w:val="28"/>
          <w:szCs w:val="28"/>
        </w:rPr>
      </w:pPr>
      <w:r>
        <w:fldChar w:fldCharType="begin"/>
      </w:r>
      <w:r>
        <w:instrText xml:space="preserve"> HYPERLINK \l "_Toc179815313" </w:instrText>
      </w:r>
      <w:r>
        <w:fldChar w:fldCharType="separate"/>
      </w:r>
      <w:r>
        <w:rPr>
          <w:rStyle w:val="19"/>
          <w:rFonts w:hint="eastAsia" w:cs="黑体" w:asciiTheme="minorEastAsia" w:hAnsiTheme="minorEastAsia" w:eastAsiaTheme="minorEastAsia"/>
          <w:sz w:val="28"/>
          <w:szCs w:val="28"/>
        </w:rPr>
        <w:t>第七章</w:t>
      </w:r>
      <w:r>
        <w:rPr>
          <w:rStyle w:val="19"/>
          <w:rFonts w:cs="黑体" w:asciiTheme="minorEastAsia" w:hAnsiTheme="minorEastAsia" w:eastAsiaTheme="minorEastAsia"/>
          <w:sz w:val="28"/>
          <w:szCs w:val="28"/>
        </w:rPr>
        <w:t xml:space="preserve"> </w:t>
      </w:r>
      <w:r>
        <w:rPr>
          <w:rStyle w:val="19"/>
          <w:rFonts w:hint="eastAsia" w:cs="黑体" w:asciiTheme="minorEastAsia" w:hAnsiTheme="minorEastAsia" w:eastAsiaTheme="minorEastAsia"/>
          <w:sz w:val="28"/>
          <w:szCs w:val="28"/>
        </w:rPr>
        <w:t>遴选需求</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_Toc179815313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5F58FD3B">
      <w:pPr>
        <w:pStyle w:val="12"/>
        <w:tabs>
          <w:tab w:val="right" w:leader="dot" w:pos="8296"/>
        </w:tabs>
        <w:rPr>
          <w:rFonts w:asciiTheme="minorEastAsia" w:hAnsiTheme="minorEastAsia" w:eastAsiaTheme="minorEastAsia" w:cstheme="minorBidi"/>
          <w:b w:val="0"/>
          <w:bCs w:val="0"/>
          <w:caps w:val="0"/>
          <w:sz w:val="28"/>
          <w:szCs w:val="28"/>
        </w:rPr>
      </w:pPr>
      <w:r>
        <w:fldChar w:fldCharType="begin"/>
      </w:r>
      <w:r>
        <w:instrText xml:space="preserve"> HYPERLINK \l "_Toc179815314" </w:instrText>
      </w:r>
      <w:r>
        <w:fldChar w:fldCharType="separate"/>
      </w:r>
      <w:r>
        <w:rPr>
          <w:rStyle w:val="19"/>
          <w:rFonts w:hint="eastAsia" w:cs="黑体" w:asciiTheme="minorEastAsia" w:hAnsiTheme="minorEastAsia" w:eastAsiaTheme="minorEastAsia"/>
          <w:sz w:val="28"/>
          <w:szCs w:val="28"/>
        </w:rPr>
        <w:t>第八章</w:t>
      </w:r>
      <w:r>
        <w:rPr>
          <w:rStyle w:val="19"/>
          <w:rFonts w:cs="黑体" w:asciiTheme="minorEastAsia" w:hAnsiTheme="minorEastAsia" w:eastAsiaTheme="minorEastAsia"/>
          <w:sz w:val="28"/>
          <w:szCs w:val="28"/>
        </w:rPr>
        <w:t xml:space="preserve"> </w:t>
      </w:r>
      <w:r>
        <w:rPr>
          <w:rStyle w:val="19"/>
          <w:rFonts w:hint="eastAsia" w:cs="黑体" w:asciiTheme="minorEastAsia" w:hAnsiTheme="minorEastAsia" w:eastAsiaTheme="minorEastAsia"/>
          <w:sz w:val="28"/>
          <w:szCs w:val="28"/>
        </w:rPr>
        <w:t>评标办法</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_Toc179815314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39</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73F7AE33">
      <w:pPr>
        <w:pStyle w:val="12"/>
        <w:tabs>
          <w:tab w:val="right" w:leader="dot" w:pos="8296"/>
        </w:tabs>
        <w:rPr>
          <w:rFonts w:asciiTheme="minorEastAsia" w:hAnsiTheme="minorEastAsia" w:eastAsiaTheme="minorEastAsia" w:cstheme="minorBidi"/>
          <w:b w:val="0"/>
          <w:bCs w:val="0"/>
          <w:caps w:val="0"/>
          <w:sz w:val="28"/>
          <w:szCs w:val="28"/>
        </w:rPr>
      </w:pPr>
      <w:r>
        <w:fldChar w:fldCharType="begin"/>
      </w:r>
      <w:r>
        <w:instrText xml:space="preserve"> HYPERLINK \l "_Toc179815315" </w:instrText>
      </w:r>
      <w:r>
        <w:fldChar w:fldCharType="separate"/>
      </w:r>
      <w:r>
        <w:rPr>
          <w:rStyle w:val="19"/>
          <w:rFonts w:hint="eastAsia" w:cs="黑体" w:asciiTheme="minorEastAsia" w:hAnsiTheme="minorEastAsia" w:eastAsiaTheme="minorEastAsia"/>
          <w:sz w:val="28"/>
          <w:szCs w:val="28"/>
        </w:rPr>
        <w:t>第九章</w:t>
      </w:r>
      <w:r>
        <w:rPr>
          <w:rStyle w:val="19"/>
          <w:rFonts w:cs="黑体" w:asciiTheme="minorEastAsia" w:hAnsiTheme="minorEastAsia" w:eastAsiaTheme="minorEastAsia"/>
          <w:sz w:val="28"/>
          <w:szCs w:val="28"/>
        </w:rPr>
        <w:t xml:space="preserve"> </w:t>
      </w:r>
      <w:r>
        <w:rPr>
          <w:rStyle w:val="19"/>
          <w:rFonts w:hint="eastAsia" w:cs="黑体" w:asciiTheme="minorEastAsia" w:hAnsiTheme="minorEastAsia" w:eastAsiaTheme="minorEastAsia"/>
          <w:sz w:val="28"/>
          <w:szCs w:val="28"/>
        </w:rPr>
        <w:t>合同文本</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_Toc179815315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39</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7FE2DEB3">
      <w:r>
        <w:rPr>
          <w:rFonts w:asciiTheme="minorEastAsia" w:hAnsiTheme="minorEastAsia"/>
          <w:sz w:val="28"/>
          <w:szCs w:val="28"/>
        </w:rPr>
        <w:fldChar w:fldCharType="end"/>
      </w:r>
    </w:p>
    <w:p w14:paraId="3D8662C0"/>
    <w:p w14:paraId="678744FA"/>
    <w:p w14:paraId="4B6E13DF"/>
    <w:p w14:paraId="58FD1ED0"/>
    <w:p w14:paraId="0193F260"/>
    <w:p w14:paraId="23C5F411"/>
    <w:p w14:paraId="7C30E393"/>
    <w:p w14:paraId="7A977AF8"/>
    <w:p w14:paraId="2055685E"/>
    <w:p w14:paraId="0791A3C3"/>
    <w:p w14:paraId="7944197F"/>
    <w:p w14:paraId="44931D0A"/>
    <w:p w14:paraId="5ACDE4DE"/>
    <w:p w14:paraId="27D2097E"/>
    <w:p w14:paraId="3FC2EF61"/>
    <w:p w14:paraId="34663674"/>
    <w:p w14:paraId="5043CE4A">
      <w:pPr>
        <w:spacing w:line="360" w:lineRule="auto"/>
        <w:jc w:val="center"/>
        <w:outlineLvl w:val="0"/>
        <w:rPr>
          <w:b/>
          <w:sz w:val="36"/>
          <w:szCs w:val="36"/>
        </w:rPr>
      </w:pPr>
      <w:bookmarkStart w:id="1" w:name="_Toc99301419"/>
      <w:bookmarkStart w:id="2" w:name="_Toc179815305"/>
      <w:r>
        <w:rPr>
          <w:rFonts w:hint="eastAsia"/>
          <w:b/>
          <w:sz w:val="36"/>
          <w:szCs w:val="36"/>
        </w:rPr>
        <w:t>遴选</w:t>
      </w:r>
      <w:r>
        <w:rPr>
          <w:b/>
          <w:sz w:val="36"/>
          <w:szCs w:val="36"/>
        </w:rPr>
        <w:t>邀请</w:t>
      </w:r>
      <w:bookmarkEnd w:id="1"/>
      <w:bookmarkEnd w:id="2"/>
    </w:p>
    <w:p w14:paraId="544DD808">
      <w:pPr>
        <w:spacing w:line="360" w:lineRule="auto"/>
        <w:ind w:firstLine="640" w:firstLineChars="200"/>
        <w:rPr>
          <w:sz w:val="32"/>
          <w:szCs w:val="32"/>
        </w:rPr>
      </w:pPr>
    </w:p>
    <w:p w14:paraId="49657B01">
      <w:pPr>
        <w:pStyle w:val="4"/>
        <w:snapToGrid w:val="0"/>
        <w:spacing w:before="0" w:line="360" w:lineRule="auto"/>
        <w:ind w:firstLine="482" w:firstLineChars="200"/>
        <w:rPr>
          <w:rFonts w:ascii="Times New Roman" w:hAnsi="Times New Roman" w:eastAsia="宋体"/>
          <w:b/>
          <w:bCs/>
          <w:sz w:val="24"/>
          <w:szCs w:val="24"/>
        </w:rPr>
      </w:pPr>
      <w:r>
        <w:rPr>
          <w:rFonts w:ascii="Times New Roman" w:hAnsi="Times New Roman" w:eastAsia="宋体"/>
          <w:b/>
          <w:bCs/>
          <w:sz w:val="24"/>
          <w:szCs w:val="24"/>
        </w:rPr>
        <w:t>一、项目基本情况</w:t>
      </w:r>
    </w:p>
    <w:p w14:paraId="552CB5DF">
      <w:pPr>
        <w:snapToGrid w:val="0"/>
        <w:spacing w:line="360" w:lineRule="auto"/>
        <w:ind w:firstLine="480" w:firstLineChars="200"/>
        <w:rPr>
          <w:sz w:val="24"/>
        </w:rPr>
      </w:pPr>
      <w:r>
        <w:rPr>
          <w:sz w:val="24"/>
        </w:rPr>
        <w:t>1.项目编号：</w:t>
      </w:r>
      <w:r>
        <w:rPr>
          <w:rFonts w:hint="eastAsia"/>
          <w:sz w:val="24"/>
        </w:rPr>
        <w:t>ZLQCZJ-2025-001</w:t>
      </w:r>
    </w:p>
    <w:p w14:paraId="2F4A040E">
      <w:pPr>
        <w:snapToGrid w:val="0"/>
        <w:spacing w:line="360" w:lineRule="auto"/>
        <w:ind w:firstLine="480" w:firstLineChars="200"/>
        <w:rPr>
          <w:sz w:val="24"/>
        </w:rPr>
      </w:pPr>
      <w:r>
        <w:rPr>
          <w:sz w:val="24"/>
        </w:rPr>
        <w:t>2.项目名称：</w:t>
      </w:r>
      <w:r>
        <w:rPr>
          <w:rFonts w:hint="eastAsia" w:ascii="宋体" w:hAnsi="宋体" w:cs="宋体"/>
          <w:spacing w:val="2"/>
          <w:sz w:val="24"/>
          <w:u w:val="single"/>
          <w:lang w:val="zh-CN"/>
        </w:rPr>
        <w:t>钟楼区财政局2025-2028年政策性农业保险承保机构遴选</w:t>
      </w:r>
    </w:p>
    <w:p w14:paraId="458A50F9">
      <w:pPr>
        <w:snapToGrid w:val="0"/>
        <w:spacing w:line="360" w:lineRule="auto"/>
        <w:ind w:firstLine="480" w:firstLineChars="200"/>
        <w:rPr>
          <w:sz w:val="24"/>
        </w:rPr>
      </w:pPr>
      <w:r>
        <w:rPr>
          <w:sz w:val="24"/>
        </w:rPr>
        <w:t>3.项目预算金额：</w:t>
      </w:r>
      <w:r>
        <w:rPr>
          <w:rFonts w:hint="eastAsia"/>
          <w:sz w:val="24"/>
          <w:u w:val="single"/>
        </w:rPr>
        <w:t xml:space="preserve"> 450</w:t>
      </w:r>
      <w:r>
        <w:rPr>
          <w:sz w:val="24"/>
        </w:rPr>
        <w:t>万元</w:t>
      </w:r>
      <w:r>
        <w:rPr>
          <w:rStyle w:val="20"/>
          <w:rFonts w:hint="eastAsia"/>
          <w:lang w:val="en-US" w:eastAsia="zh-CN"/>
        </w:rPr>
        <w:t>/</w:t>
      </w:r>
      <w:r>
        <w:rPr>
          <w:rFonts w:hint="eastAsia"/>
          <w:sz w:val="24"/>
          <w:lang w:eastAsia="zh-CN"/>
        </w:rPr>
        <w:t>年</w:t>
      </w:r>
      <w:r>
        <w:rPr>
          <w:rFonts w:hint="eastAsia"/>
          <w:sz w:val="24"/>
        </w:rPr>
        <w:t>，具体金额以实际发生额为准。</w:t>
      </w:r>
    </w:p>
    <w:p w14:paraId="665129A9">
      <w:pPr>
        <w:snapToGrid w:val="0"/>
        <w:spacing w:line="360" w:lineRule="auto"/>
        <w:ind w:firstLine="480" w:firstLineChars="200"/>
        <w:rPr>
          <w:sz w:val="24"/>
        </w:rPr>
      </w:pPr>
      <w:r>
        <w:rPr>
          <w:sz w:val="24"/>
        </w:rPr>
        <w:t>4.遴选需求：</w:t>
      </w:r>
    </w:p>
    <w:tbl>
      <w:tblPr>
        <w:tblStyle w:val="16"/>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2039"/>
        <w:gridCol w:w="1212"/>
        <w:gridCol w:w="959"/>
        <w:gridCol w:w="3619"/>
      </w:tblGrid>
      <w:tr w14:paraId="356E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52B823FE">
            <w:pPr>
              <w:jc w:val="center"/>
              <w:rPr>
                <w:bCs/>
                <w:szCs w:val="21"/>
              </w:rPr>
            </w:pPr>
            <w:r>
              <w:rPr>
                <w:bCs/>
                <w:szCs w:val="21"/>
              </w:rPr>
              <w:t>包号</w:t>
            </w:r>
          </w:p>
        </w:tc>
        <w:tc>
          <w:tcPr>
            <w:tcW w:w="1203" w:type="pct"/>
            <w:vAlign w:val="center"/>
          </w:tcPr>
          <w:p w14:paraId="7D499AD1">
            <w:pPr>
              <w:jc w:val="center"/>
              <w:rPr>
                <w:bCs/>
                <w:szCs w:val="21"/>
              </w:rPr>
            </w:pPr>
            <w:r>
              <w:rPr>
                <w:bCs/>
                <w:szCs w:val="21"/>
              </w:rPr>
              <w:t>标的名称</w:t>
            </w:r>
          </w:p>
        </w:tc>
        <w:tc>
          <w:tcPr>
            <w:tcW w:w="715" w:type="pct"/>
            <w:vAlign w:val="center"/>
          </w:tcPr>
          <w:p w14:paraId="0BC53213">
            <w:pPr>
              <w:jc w:val="center"/>
              <w:rPr>
                <w:bCs/>
                <w:szCs w:val="21"/>
              </w:rPr>
            </w:pPr>
            <w:r>
              <w:rPr>
                <w:bCs/>
                <w:szCs w:val="21"/>
              </w:rPr>
              <w:t>采购包</w:t>
            </w:r>
          </w:p>
          <w:p w14:paraId="271EB6FB">
            <w:pPr>
              <w:jc w:val="center"/>
              <w:rPr>
                <w:bCs/>
                <w:szCs w:val="21"/>
              </w:rPr>
            </w:pPr>
            <w:r>
              <w:rPr>
                <w:bCs/>
                <w:szCs w:val="21"/>
              </w:rPr>
              <w:t>预算金额</w:t>
            </w:r>
          </w:p>
          <w:p w14:paraId="605E77E0">
            <w:pPr>
              <w:jc w:val="center"/>
              <w:rPr>
                <w:bCs/>
                <w:szCs w:val="21"/>
              </w:rPr>
            </w:pPr>
            <w:r>
              <w:rPr>
                <w:bCs/>
                <w:szCs w:val="21"/>
              </w:rPr>
              <w:t>（万元）</w:t>
            </w:r>
          </w:p>
        </w:tc>
        <w:tc>
          <w:tcPr>
            <w:tcW w:w="566" w:type="pct"/>
            <w:vAlign w:val="center"/>
          </w:tcPr>
          <w:p w14:paraId="2329AB29">
            <w:pPr>
              <w:jc w:val="center"/>
              <w:rPr>
                <w:bCs/>
                <w:szCs w:val="21"/>
              </w:rPr>
            </w:pPr>
            <w:r>
              <w:rPr>
                <w:bCs/>
                <w:szCs w:val="21"/>
              </w:rPr>
              <w:t>数量</w:t>
            </w:r>
          </w:p>
        </w:tc>
        <w:tc>
          <w:tcPr>
            <w:tcW w:w="2135" w:type="pct"/>
            <w:vAlign w:val="center"/>
          </w:tcPr>
          <w:p w14:paraId="1098151F">
            <w:pPr>
              <w:jc w:val="center"/>
              <w:rPr>
                <w:szCs w:val="21"/>
              </w:rPr>
            </w:pPr>
            <w:r>
              <w:rPr>
                <w:szCs w:val="21"/>
              </w:rPr>
              <w:t>简要技术需求或服务要求</w:t>
            </w:r>
          </w:p>
        </w:tc>
      </w:tr>
      <w:tr w14:paraId="6CD9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7CDA200E">
            <w:pPr>
              <w:jc w:val="center"/>
              <w:rPr>
                <w:bCs/>
                <w:szCs w:val="21"/>
              </w:rPr>
            </w:pPr>
            <w:r>
              <w:rPr>
                <w:bCs/>
                <w:szCs w:val="21"/>
              </w:rPr>
              <w:t>01</w:t>
            </w:r>
          </w:p>
        </w:tc>
        <w:tc>
          <w:tcPr>
            <w:tcW w:w="1203" w:type="pct"/>
            <w:vAlign w:val="center"/>
          </w:tcPr>
          <w:p w14:paraId="570CA8F4">
            <w:pPr>
              <w:jc w:val="center"/>
              <w:rPr>
                <w:bCs/>
                <w:szCs w:val="21"/>
              </w:rPr>
            </w:pPr>
            <w:r>
              <w:rPr>
                <w:rFonts w:hint="eastAsia" w:ascii="宋体" w:hAnsi="宋体" w:cs="宋体"/>
                <w:spacing w:val="2"/>
                <w:sz w:val="24"/>
                <w:u w:val="single"/>
                <w:lang w:val="zh-CN"/>
              </w:rPr>
              <w:t>钟楼区财政局2025-2028年政策性农业保险承保机构遴选</w:t>
            </w:r>
          </w:p>
        </w:tc>
        <w:tc>
          <w:tcPr>
            <w:tcW w:w="715" w:type="pct"/>
            <w:vAlign w:val="center"/>
          </w:tcPr>
          <w:p w14:paraId="1BBA79D3">
            <w:pPr>
              <w:jc w:val="center"/>
              <w:rPr>
                <w:bCs/>
                <w:szCs w:val="21"/>
              </w:rPr>
            </w:pPr>
            <w:r>
              <w:rPr>
                <w:rFonts w:hint="eastAsia"/>
                <w:bCs/>
                <w:szCs w:val="21"/>
              </w:rPr>
              <w:t>450</w:t>
            </w:r>
          </w:p>
        </w:tc>
        <w:tc>
          <w:tcPr>
            <w:tcW w:w="566" w:type="pct"/>
            <w:vAlign w:val="center"/>
          </w:tcPr>
          <w:p w14:paraId="5BE05DAE">
            <w:pPr>
              <w:jc w:val="center"/>
              <w:rPr>
                <w:bCs/>
                <w:szCs w:val="21"/>
              </w:rPr>
            </w:pPr>
            <w:r>
              <w:rPr>
                <w:rFonts w:hint="eastAsia"/>
                <w:bCs/>
                <w:szCs w:val="21"/>
              </w:rPr>
              <w:t>1</w:t>
            </w:r>
          </w:p>
        </w:tc>
        <w:tc>
          <w:tcPr>
            <w:tcW w:w="2135" w:type="pct"/>
            <w:vAlign w:val="center"/>
          </w:tcPr>
          <w:p w14:paraId="4976C7BC">
            <w:pPr>
              <w:jc w:val="center"/>
              <w:rPr>
                <w:kern w:val="0"/>
                <w:szCs w:val="21"/>
              </w:rPr>
            </w:pPr>
          </w:p>
        </w:tc>
      </w:tr>
      <w:tr w14:paraId="5772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660DB446">
            <w:pPr>
              <w:jc w:val="center"/>
              <w:rPr>
                <w:bCs/>
                <w:szCs w:val="21"/>
              </w:rPr>
            </w:pPr>
            <w:r>
              <w:rPr>
                <w:bCs/>
                <w:szCs w:val="21"/>
              </w:rPr>
              <w:t>02</w:t>
            </w:r>
          </w:p>
        </w:tc>
        <w:tc>
          <w:tcPr>
            <w:tcW w:w="1203" w:type="pct"/>
            <w:vAlign w:val="center"/>
          </w:tcPr>
          <w:p w14:paraId="36C9E1C8">
            <w:pPr>
              <w:jc w:val="center"/>
              <w:rPr>
                <w:bCs/>
                <w:szCs w:val="21"/>
              </w:rPr>
            </w:pPr>
          </w:p>
        </w:tc>
        <w:tc>
          <w:tcPr>
            <w:tcW w:w="715" w:type="pct"/>
            <w:vAlign w:val="center"/>
          </w:tcPr>
          <w:p w14:paraId="79E79543">
            <w:pPr>
              <w:jc w:val="center"/>
              <w:rPr>
                <w:bCs/>
                <w:szCs w:val="21"/>
              </w:rPr>
            </w:pPr>
          </w:p>
        </w:tc>
        <w:tc>
          <w:tcPr>
            <w:tcW w:w="566" w:type="pct"/>
            <w:vAlign w:val="center"/>
          </w:tcPr>
          <w:p w14:paraId="445622DA">
            <w:pPr>
              <w:jc w:val="center"/>
              <w:rPr>
                <w:bCs/>
                <w:szCs w:val="21"/>
              </w:rPr>
            </w:pPr>
          </w:p>
        </w:tc>
        <w:tc>
          <w:tcPr>
            <w:tcW w:w="2135" w:type="pct"/>
            <w:vAlign w:val="center"/>
          </w:tcPr>
          <w:p w14:paraId="3783D43F">
            <w:pPr>
              <w:jc w:val="center"/>
              <w:rPr>
                <w:kern w:val="0"/>
                <w:szCs w:val="21"/>
              </w:rPr>
            </w:pPr>
          </w:p>
        </w:tc>
      </w:tr>
      <w:tr w14:paraId="5643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5523BFAF">
            <w:pPr>
              <w:jc w:val="center"/>
              <w:rPr>
                <w:bCs/>
                <w:szCs w:val="21"/>
              </w:rPr>
            </w:pPr>
            <w:r>
              <w:rPr>
                <w:bCs/>
                <w:szCs w:val="21"/>
              </w:rPr>
              <w:t>…</w:t>
            </w:r>
          </w:p>
        </w:tc>
        <w:tc>
          <w:tcPr>
            <w:tcW w:w="1203" w:type="pct"/>
            <w:vAlign w:val="center"/>
          </w:tcPr>
          <w:p w14:paraId="577D8194">
            <w:pPr>
              <w:jc w:val="center"/>
              <w:rPr>
                <w:bCs/>
                <w:szCs w:val="21"/>
              </w:rPr>
            </w:pPr>
          </w:p>
        </w:tc>
        <w:tc>
          <w:tcPr>
            <w:tcW w:w="715" w:type="pct"/>
            <w:vAlign w:val="center"/>
          </w:tcPr>
          <w:p w14:paraId="04E0DEEA">
            <w:pPr>
              <w:jc w:val="center"/>
              <w:rPr>
                <w:bCs/>
                <w:szCs w:val="21"/>
              </w:rPr>
            </w:pPr>
          </w:p>
        </w:tc>
        <w:tc>
          <w:tcPr>
            <w:tcW w:w="566" w:type="pct"/>
            <w:vAlign w:val="center"/>
          </w:tcPr>
          <w:p w14:paraId="41D469CF">
            <w:pPr>
              <w:jc w:val="center"/>
              <w:rPr>
                <w:bCs/>
                <w:szCs w:val="21"/>
              </w:rPr>
            </w:pPr>
          </w:p>
        </w:tc>
        <w:tc>
          <w:tcPr>
            <w:tcW w:w="2135" w:type="pct"/>
            <w:vAlign w:val="center"/>
          </w:tcPr>
          <w:p w14:paraId="0CEC09E3">
            <w:pPr>
              <w:jc w:val="center"/>
              <w:rPr>
                <w:szCs w:val="21"/>
              </w:rPr>
            </w:pPr>
          </w:p>
        </w:tc>
      </w:tr>
    </w:tbl>
    <w:p w14:paraId="09095E33">
      <w:pPr>
        <w:snapToGrid w:val="0"/>
        <w:spacing w:line="360" w:lineRule="auto"/>
        <w:ind w:firstLine="480" w:firstLineChars="200"/>
        <w:rPr>
          <w:sz w:val="24"/>
          <w:u w:val="single"/>
        </w:rPr>
      </w:pPr>
      <w:r>
        <w:rPr>
          <w:sz w:val="24"/>
        </w:rPr>
        <w:t>5.合同履行期限：</w:t>
      </w:r>
      <w:r>
        <w:rPr>
          <w:rFonts w:hint="eastAsia" w:ascii="宋体" w:hAnsi="宋体" w:cs="宋体"/>
          <w:spacing w:val="2"/>
          <w:sz w:val="24"/>
          <w:u w:val="single"/>
        </w:rPr>
        <w:t>2025年6月17日-2028年6月16日</w:t>
      </w:r>
    </w:p>
    <w:p w14:paraId="476F8F9C">
      <w:pPr>
        <w:snapToGrid w:val="0"/>
        <w:spacing w:line="360" w:lineRule="auto"/>
        <w:ind w:firstLine="480" w:firstLineChars="200"/>
        <w:rPr>
          <w:sz w:val="24"/>
        </w:rPr>
      </w:pPr>
      <w:r>
        <w:rPr>
          <w:sz w:val="24"/>
        </w:rPr>
        <w:t>6.本项目是否接受联合体响应：否。</w:t>
      </w:r>
    </w:p>
    <w:p w14:paraId="1DE53FA5">
      <w:pPr>
        <w:snapToGrid w:val="0"/>
        <w:spacing w:line="360" w:lineRule="auto"/>
        <w:ind w:firstLine="480" w:firstLineChars="200"/>
        <w:rPr>
          <w:sz w:val="24"/>
        </w:rPr>
      </w:pPr>
      <w:r>
        <w:rPr>
          <w:rFonts w:hint="eastAsia"/>
          <w:sz w:val="24"/>
        </w:rPr>
        <w:t>7.</w:t>
      </w:r>
      <w:r>
        <w:rPr>
          <w:sz w:val="24"/>
        </w:rPr>
        <w:t>本项目是否接受</w:t>
      </w:r>
      <w:r>
        <w:rPr>
          <w:rFonts w:hint="eastAsia"/>
          <w:sz w:val="24"/>
        </w:rPr>
        <w:t>进口产品</w:t>
      </w:r>
      <w:r>
        <w:rPr>
          <w:sz w:val="24"/>
        </w:rPr>
        <w:t>响应：否。</w:t>
      </w:r>
    </w:p>
    <w:p w14:paraId="43AC1945">
      <w:pPr>
        <w:snapToGrid w:val="0"/>
        <w:spacing w:line="360" w:lineRule="auto"/>
        <w:ind w:firstLine="482" w:firstLineChars="200"/>
        <w:rPr>
          <w:rFonts w:ascii="宋体" w:hAnsi="宋体"/>
          <w:b/>
          <w:sz w:val="24"/>
        </w:rPr>
      </w:pPr>
    </w:p>
    <w:p w14:paraId="3C52484E">
      <w:pPr>
        <w:pStyle w:val="4"/>
        <w:snapToGrid w:val="0"/>
        <w:spacing w:before="0" w:line="360" w:lineRule="auto"/>
        <w:ind w:firstLine="482" w:firstLineChars="200"/>
        <w:rPr>
          <w:rFonts w:ascii="Times New Roman" w:hAnsi="Times New Roman" w:eastAsia="宋体"/>
          <w:b/>
          <w:bCs/>
          <w:sz w:val="24"/>
          <w:szCs w:val="24"/>
        </w:rPr>
      </w:pPr>
      <w:r>
        <w:rPr>
          <w:rFonts w:ascii="Times New Roman" w:hAnsi="Times New Roman" w:eastAsia="宋体"/>
          <w:b/>
          <w:bCs/>
          <w:sz w:val="24"/>
          <w:szCs w:val="24"/>
        </w:rPr>
        <w:t>二、</w:t>
      </w:r>
      <w:r>
        <w:rPr>
          <w:rFonts w:hint="eastAsia" w:ascii="Times New Roman" w:hAnsi="Times New Roman" w:eastAsia="宋体"/>
          <w:b/>
          <w:bCs/>
          <w:sz w:val="24"/>
          <w:szCs w:val="24"/>
        </w:rPr>
        <w:t>供应商</w:t>
      </w:r>
      <w:r>
        <w:rPr>
          <w:rFonts w:ascii="Times New Roman" w:hAnsi="Times New Roman" w:eastAsia="宋体"/>
          <w:b/>
          <w:bCs/>
          <w:sz w:val="24"/>
          <w:szCs w:val="24"/>
        </w:rPr>
        <w:t>的资格要求（须同时满足）</w:t>
      </w:r>
    </w:p>
    <w:p w14:paraId="3BACA2D1">
      <w:pPr>
        <w:snapToGrid w:val="0"/>
        <w:spacing w:line="360" w:lineRule="auto"/>
        <w:ind w:firstLine="480" w:firstLineChars="200"/>
        <w:rPr>
          <w:sz w:val="24"/>
        </w:rPr>
      </w:pPr>
      <w:r>
        <w:rPr>
          <w:sz w:val="24"/>
        </w:rPr>
        <w:t>1.满足</w:t>
      </w:r>
      <w:r>
        <w:rPr>
          <w:rFonts w:hint="eastAsia"/>
          <w:sz w:val="24"/>
        </w:rPr>
        <w:t>下列情形：</w:t>
      </w:r>
    </w:p>
    <w:p w14:paraId="68EEF487">
      <w:pPr>
        <w:snapToGrid w:val="0"/>
        <w:spacing w:line="360" w:lineRule="auto"/>
        <w:ind w:firstLine="480" w:firstLineChars="200"/>
        <w:rPr>
          <w:sz w:val="24"/>
        </w:rPr>
      </w:pPr>
      <w:r>
        <w:rPr>
          <w:rFonts w:hint="eastAsia"/>
          <w:sz w:val="24"/>
        </w:rPr>
        <w:t>1.1</w:t>
      </w:r>
      <w:r>
        <w:rPr>
          <w:sz w:val="24"/>
        </w:rPr>
        <w:t>具有独立承担民事责任的能力；</w:t>
      </w:r>
    </w:p>
    <w:p w14:paraId="3227DF9F">
      <w:pPr>
        <w:snapToGrid w:val="0"/>
        <w:spacing w:line="360" w:lineRule="auto"/>
        <w:ind w:firstLine="480" w:firstLineChars="200"/>
        <w:rPr>
          <w:sz w:val="24"/>
        </w:rPr>
      </w:pPr>
      <w:r>
        <w:rPr>
          <w:rFonts w:hint="eastAsia"/>
          <w:sz w:val="24"/>
        </w:rPr>
        <w:t>1.2</w:t>
      </w:r>
      <w:r>
        <w:rPr>
          <w:sz w:val="24"/>
        </w:rPr>
        <w:t>具有良好的商业信誉和健全的财务会计制度；</w:t>
      </w:r>
    </w:p>
    <w:p w14:paraId="3EBAA4EA">
      <w:pPr>
        <w:snapToGrid w:val="0"/>
        <w:spacing w:line="360" w:lineRule="auto"/>
        <w:ind w:firstLine="480" w:firstLineChars="200"/>
        <w:rPr>
          <w:sz w:val="24"/>
        </w:rPr>
      </w:pPr>
      <w:r>
        <w:rPr>
          <w:rFonts w:hint="eastAsia"/>
          <w:sz w:val="24"/>
        </w:rPr>
        <w:t>1.3</w:t>
      </w:r>
      <w:r>
        <w:rPr>
          <w:sz w:val="24"/>
        </w:rPr>
        <w:t>具有履行合同所必需的设备和专业技术能力；</w:t>
      </w:r>
    </w:p>
    <w:p w14:paraId="195569CB">
      <w:pPr>
        <w:snapToGrid w:val="0"/>
        <w:spacing w:line="360" w:lineRule="auto"/>
        <w:ind w:firstLine="480" w:firstLineChars="200"/>
        <w:rPr>
          <w:sz w:val="24"/>
        </w:rPr>
      </w:pPr>
      <w:r>
        <w:rPr>
          <w:rFonts w:hint="eastAsia"/>
          <w:sz w:val="24"/>
        </w:rPr>
        <w:t>1.4</w:t>
      </w:r>
      <w:r>
        <w:rPr>
          <w:sz w:val="24"/>
        </w:rPr>
        <w:t>有依法缴纳税收和社会保障资金的良好记录；</w:t>
      </w:r>
    </w:p>
    <w:p w14:paraId="7CC860D7">
      <w:pPr>
        <w:snapToGrid w:val="0"/>
        <w:spacing w:line="360" w:lineRule="auto"/>
        <w:ind w:firstLine="480" w:firstLineChars="200"/>
        <w:rPr>
          <w:sz w:val="24"/>
        </w:rPr>
      </w:pPr>
      <w:r>
        <w:rPr>
          <w:rFonts w:hint="eastAsia"/>
          <w:sz w:val="24"/>
        </w:rPr>
        <w:t>1.5参加遴选前3年内存在重大违法记录的保险机构不得参加遴选（时间自参加遴选之日起向前推算。重大违法记录是指保险机构因违法经营受到刑事处罚或者责令停产停业、吊销许可证或者执照、较大数额罚款等行政处罚）。此外，存在其他严重违法违规行为的保险机构也不得参加遴选</w:t>
      </w:r>
      <w:r>
        <w:rPr>
          <w:sz w:val="24"/>
        </w:rPr>
        <w:t>；</w:t>
      </w:r>
    </w:p>
    <w:p w14:paraId="14514A2E">
      <w:pPr>
        <w:snapToGrid w:val="0"/>
        <w:spacing w:line="360" w:lineRule="auto"/>
        <w:ind w:firstLine="480" w:firstLineChars="200"/>
        <w:rPr>
          <w:sz w:val="24"/>
        </w:rPr>
      </w:pPr>
      <w:r>
        <w:rPr>
          <w:rFonts w:hint="eastAsia"/>
          <w:sz w:val="24"/>
        </w:rPr>
        <w:t>1.6单位负责人为同一人或者存在直接控股、管理关系的不同供应商（包含法定代表人为同一个人的两个及两个以上法人，母公司、全资子公司及其控股公司），不得参加同一合同项下的遴选活动。</w:t>
      </w:r>
    </w:p>
    <w:p w14:paraId="3A0934DD">
      <w:pPr>
        <w:snapToGrid w:val="0"/>
        <w:spacing w:line="360" w:lineRule="auto"/>
        <w:ind w:firstLine="480" w:firstLineChars="200"/>
        <w:rPr>
          <w:i/>
          <w:iCs/>
          <w:sz w:val="24"/>
          <w:u w:val="single"/>
        </w:rPr>
      </w:pPr>
      <w:r>
        <w:rPr>
          <w:rFonts w:hint="eastAsia"/>
          <w:sz w:val="24"/>
        </w:rPr>
        <w:t>2</w:t>
      </w:r>
      <w:r>
        <w:rPr>
          <w:sz w:val="24"/>
        </w:rPr>
        <w:t>.本项目的特定资格要求：</w:t>
      </w:r>
    </w:p>
    <w:p w14:paraId="0E3DC62C">
      <w:pPr>
        <w:tabs>
          <w:tab w:val="left" w:pos="900"/>
          <w:tab w:val="left" w:pos="1134"/>
          <w:tab w:val="left" w:pos="1589"/>
          <w:tab w:val="left" w:pos="5521"/>
        </w:tabs>
        <w:snapToGrid w:val="0"/>
        <w:spacing w:line="360" w:lineRule="auto"/>
        <w:ind w:firstLine="480" w:firstLineChars="200"/>
        <w:rPr>
          <w:i/>
          <w:color w:val="FF0000"/>
          <w:sz w:val="24"/>
        </w:rPr>
      </w:pPr>
      <w:r>
        <w:rPr>
          <w:rFonts w:hint="eastAsia"/>
          <w:sz w:val="24"/>
        </w:rPr>
        <w:t>2</w:t>
      </w:r>
      <w:r>
        <w:rPr>
          <w:sz w:val="24"/>
        </w:rPr>
        <w:t>.1本项目是否接受分支机构参与响应：</w:t>
      </w:r>
      <w:r>
        <w:rPr>
          <w:sz w:val="24"/>
          <w:u w:val="single"/>
        </w:rPr>
        <w:t>是</w:t>
      </w:r>
      <w:r>
        <w:rPr>
          <w:sz w:val="24"/>
        </w:rPr>
        <w:t>；</w:t>
      </w:r>
    </w:p>
    <w:p w14:paraId="44206E69">
      <w:pPr>
        <w:tabs>
          <w:tab w:val="left" w:pos="900"/>
          <w:tab w:val="left" w:pos="1134"/>
          <w:tab w:val="left" w:pos="1589"/>
          <w:tab w:val="left" w:pos="5521"/>
        </w:tabs>
        <w:snapToGrid w:val="0"/>
        <w:spacing w:line="360" w:lineRule="auto"/>
        <w:ind w:firstLine="480" w:firstLineChars="200"/>
        <w:rPr>
          <w:sz w:val="24"/>
        </w:rPr>
      </w:pPr>
      <w:r>
        <w:rPr>
          <w:rFonts w:hint="eastAsia"/>
          <w:sz w:val="24"/>
        </w:rPr>
        <w:t>2</w:t>
      </w:r>
      <w:r>
        <w:rPr>
          <w:sz w:val="24"/>
        </w:rPr>
        <w:t>.</w:t>
      </w:r>
      <w:r>
        <w:rPr>
          <w:rFonts w:hint="eastAsia"/>
          <w:sz w:val="24"/>
        </w:rPr>
        <w:t>2</w:t>
      </w:r>
      <w:r>
        <w:rPr>
          <w:sz w:val="24"/>
        </w:rPr>
        <w:t>本项目是否接受</w:t>
      </w:r>
      <w:r>
        <w:rPr>
          <w:rFonts w:hint="eastAsia"/>
          <w:sz w:val="24"/>
        </w:rPr>
        <w:t>进口产品</w:t>
      </w:r>
      <w:r>
        <w:rPr>
          <w:sz w:val="24"/>
        </w:rPr>
        <w:t>参与响应：</w:t>
      </w:r>
      <w:r>
        <w:rPr>
          <w:sz w:val="24"/>
          <w:u w:val="single"/>
        </w:rPr>
        <w:t>否</w:t>
      </w:r>
      <w:r>
        <w:rPr>
          <w:sz w:val="24"/>
        </w:rPr>
        <w:t>；</w:t>
      </w:r>
    </w:p>
    <w:p w14:paraId="7250A489">
      <w:pPr>
        <w:tabs>
          <w:tab w:val="left" w:pos="900"/>
          <w:tab w:val="left" w:pos="1134"/>
          <w:tab w:val="left" w:pos="1589"/>
          <w:tab w:val="left" w:pos="5521"/>
        </w:tabs>
        <w:snapToGrid w:val="0"/>
        <w:spacing w:line="360" w:lineRule="auto"/>
        <w:ind w:firstLine="480" w:firstLineChars="200"/>
        <w:rPr>
          <w:sz w:val="24"/>
        </w:rPr>
      </w:pPr>
      <w:r>
        <w:rPr>
          <w:rFonts w:hint="eastAsia"/>
          <w:sz w:val="24"/>
        </w:rPr>
        <w:t>2</w:t>
      </w:r>
      <w:r>
        <w:rPr>
          <w:sz w:val="24"/>
        </w:rPr>
        <w:t>.</w:t>
      </w:r>
      <w:r>
        <w:rPr>
          <w:rFonts w:hint="eastAsia"/>
          <w:sz w:val="24"/>
        </w:rPr>
        <w:t>3</w:t>
      </w:r>
      <w:r>
        <w:rPr>
          <w:sz w:val="24"/>
        </w:rPr>
        <w:t>本项目是否接受</w:t>
      </w:r>
      <w:r>
        <w:rPr>
          <w:rFonts w:hint="eastAsia"/>
          <w:sz w:val="24"/>
        </w:rPr>
        <w:t>联合体</w:t>
      </w:r>
      <w:r>
        <w:rPr>
          <w:sz w:val="24"/>
        </w:rPr>
        <w:t>参与响应：</w:t>
      </w:r>
      <w:r>
        <w:rPr>
          <w:sz w:val="24"/>
          <w:u w:val="single"/>
        </w:rPr>
        <w:t>否</w:t>
      </w:r>
      <w:r>
        <w:rPr>
          <w:sz w:val="24"/>
        </w:rPr>
        <w:t>；</w:t>
      </w:r>
    </w:p>
    <w:p w14:paraId="1963BCD1">
      <w:pPr>
        <w:tabs>
          <w:tab w:val="left" w:pos="900"/>
          <w:tab w:val="left" w:pos="1134"/>
          <w:tab w:val="left" w:pos="1589"/>
          <w:tab w:val="left" w:pos="5521"/>
        </w:tabs>
        <w:snapToGrid w:val="0"/>
        <w:spacing w:line="360" w:lineRule="auto"/>
        <w:ind w:firstLine="480" w:firstLineChars="200"/>
        <w:rPr>
          <w:sz w:val="24"/>
        </w:rPr>
      </w:pPr>
      <w:r>
        <w:rPr>
          <w:rFonts w:hint="eastAsia"/>
          <w:sz w:val="24"/>
        </w:rPr>
        <w:t>2</w:t>
      </w:r>
      <w:r>
        <w:rPr>
          <w:sz w:val="24"/>
        </w:rPr>
        <w:t>.</w:t>
      </w:r>
      <w:r>
        <w:rPr>
          <w:rFonts w:hint="eastAsia"/>
          <w:sz w:val="24"/>
        </w:rPr>
        <w:t>4</w:t>
      </w:r>
      <w:r>
        <w:rPr>
          <w:sz w:val="24"/>
        </w:rPr>
        <w:t>其他特定资格要求：</w:t>
      </w:r>
    </w:p>
    <w:p w14:paraId="1AC7313F">
      <w:pPr>
        <w:tabs>
          <w:tab w:val="left" w:pos="900"/>
          <w:tab w:val="left" w:pos="1134"/>
          <w:tab w:val="left" w:pos="1589"/>
          <w:tab w:val="left" w:pos="5521"/>
        </w:tabs>
        <w:snapToGrid w:val="0"/>
        <w:spacing w:line="360" w:lineRule="auto"/>
        <w:ind w:firstLine="480" w:firstLineChars="200"/>
        <w:rPr>
          <w:sz w:val="24"/>
        </w:rPr>
      </w:pPr>
      <w:r>
        <w:rPr>
          <w:rFonts w:hint="eastAsia"/>
          <w:sz w:val="24"/>
          <w:lang w:val="en-US" w:eastAsia="zh-CN"/>
        </w:rPr>
        <w:t>2.4.</w:t>
      </w:r>
      <w:r>
        <w:rPr>
          <w:rFonts w:hint="eastAsia"/>
          <w:sz w:val="24"/>
        </w:rPr>
        <w:t>1</w:t>
      </w:r>
      <w:r>
        <w:rPr>
          <w:rFonts w:hint="eastAsia"/>
          <w:sz w:val="24"/>
          <w:lang w:val="en-US" w:eastAsia="zh-CN"/>
        </w:rPr>
        <w:t xml:space="preserve"> </w:t>
      </w:r>
      <w:r>
        <w:rPr>
          <w:rFonts w:hint="eastAsia"/>
          <w:sz w:val="24"/>
        </w:rPr>
        <w:t>供应商需为经国家保险监督管理机构批准设立且持有《中华人民共和国经营保险业务许可证》的保险公司，总公司已与中国农再签署当期有效的《政策性农业保险再保险标准协议》</w:t>
      </w:r>
      <w:r>
        <w:rPr>
          <w:rStyle w:val="20"/>
          <w:rFonts w:hint="eastAsia"/>
          <w:lang w:eastAsia="zh-CN"/>
        </w:rPr>
        <w:t>；</w:t>
      </w:r>
    </w:p>
    <w:p w14:paraId="1CDC8A9E">
      <w:pPr>
        <w:tabs>
          <w:tab w:val="left" w:pos="900"/>
          <w:tab w:val="left" w:pos="1134"/>
          <w:tab w:val="left" w:pos="1589"/>
          <w:tab w:val="left" w:pos="5521"/>
        </w:tabs>
        <w:snapToGrid w:val="0"/>
        <w:spacing w:line="360" w:lineRule="auto"/>
        <w:ind w:firstLine="480" w:firstLineChars="200"/>
        <w:rPr>
          <w:rFonts w:hint="eastAsia" w:eastAsiaTheme="minorEastAsia"/>
          <w:sz w:val="24"/>
          <w:lang w:eastAsia="zh-CN"/>
        </w:rPr>
      </w:pPr>
      <w:r>
        <w:rPr>
          <w:rFonts w:hint="eastAsia"/>
          <w:sz w:val="24"/>
          <w:lang w:val="en-US" w:eastAsia="zh-CN"/>
        </w:rPr>
        <w:t>2.4.</w:t>
      </w:r>
      <w:r>
        <w:rPr>
          <w:rFonts w:hint="eastAsia"/>
          <w:sz w:val="24"/>
        </w:rPr>
        <w:t>2</w:t>
      </w:r>
      <w:r>
        <w:rPr>
          <w:rFonts w:hint="eastAsia"/>
          <w:sz w:val="24"/>
          <w:lang w:val="en-US" w:eastAsia="zh-CN"/>
        </w:rPr>
        <w:t xml:space="preserve"> </w:t>
      </w:r>
      <w:r>
        <w:rPr>
          <w:rFonts w:hint="eastAsia"/>
          <w:sz w:val="24"/>
        </w:rPr>
        <w:t>供应商省公司</w:t>
      </w:r>
      <w:r>
        <w:rPr>
          <w:rFonts w:hint="eastAsia"/>
          <w:sz w:val="24"/>
          <w:lang w:eastAsia="zh-CN"/>
        </w:rPr>
        <w:t>为</w:t>
      </w:r>
      <w:r>
        <w:rPr>
          <w:rFonts w:hint="eastAsia"/>
          <w:sz w:val="24"/>
        </w:rPr>
        <w:t>符合江苏省农业保险业务经营条件的保险公司（《中国银保监会江苏监管局办公室关于公布江苏省符合农业保险业务经营条件保险公司省级分公司有关事项的通知》（苏银保监办〔2021〕28号））</w:t>
      </w:r>
      <w:r>
        <w:rPr>
          <w:rFonts w:hint="eastAsia"/>
          <w:sz w:val="24"/>
          <w:lang w:eastAsia="zh-CN"/>
        </w:rPr>
        <w:t>；</w:t>
      </w:r>
    </w:p>
    <w:p w14:paraId="4FAA9609">
      <w:pPr>
        <w:tabs>
          <w:tab w:val="left" w:pos="900"/>
          <w:tab w:val="left" w:pos="1134"/>
          <w:tab w:val="left" w:pos="1589"/>
          <w:tab w:val="left" w:pos="5521"/>
        </w:tabs>
        <w:snapToGrid w:val="0"/>
        <w:spacing w:line="360" w:lineRule="auto"/>
        <w:ind w:firstLine="480" w:firstLineChars="200"/>
        <w:rPr>
          <w:rFonts w:hint="eastAsia"/>
          <w:sz w:val="24"/>
        </w:rPr>
      </w:pPr>
      <w:r>
        <w:rPr>
          <w:rFonts w:hint="eastAsia"/>
          <w:sz w:val="24"/>
          <w:lang w:val="en-US" w:eastAsia="zh-CN"/>
        </w:rPr>
        <w:t xml:space="preserve">2.4.3 </w:t>
      </w:r>
      <w:r>
        <w:rPr>
          <w:rFonts w:hint="eastAsia"/>
          <w:sz w:val="24"/>
        </w:rPr>
        <w:t>供应商如为分支机构参加本次保险投标的，需提供总公司的法人企业授权书（格式自拟）；同一保险总公司仅能授权其一家分支机构参与本项目投标。同一保险机构的不同分（支）公司，不得同时参加同一辖市（区）遴选；</w:t>
      </w:r>
    </w:p>
    <w:p w14:paraId="64ADB94D">
      <w:pPr>
        <w:tabs>
          <w:tab w:val="left" w:pos="900"/>
          <w:tab w:val="left" w:pos="1134"/>
          <w:tab w:val="left" w:pos="1589"/>
          <w:tab w:val="left" w:pos="5521"/>
        </w:tabs>
        <w:snapToGrid w:val="0"/>
        <w:spacing w:line="360" w:lineRule="auto"/>
        <w:ind w:firstLine="480" w:firstLineChars="200"/>
        <w:rPr>
          <w:sz w:val="24"/>
        </w:rPr>
      </w:pPr>
      <w:r>
        <w:rPr>
          <w:rFonts w:hint="eastAsia"/>
          <w:sz w:val="24"/>
          <w:lang w:val="en-US" w:eastAsia="zh-CN"/>
        </w:rPr>
        <w:t xml:space="preserve">2.4.4 </w:t>
      </w:r>
      <w:r>
        <w:rPr>
          <w:rFonts w:hint="eastAsia"/>
          <w:sz w:val="24"/>
        </w:rPr>
        <w:t>供应商符合苏财金〔2024〕144号、常财农〔2025〕7号文件</w:t>
      </w:r>
      <w:r>
        <w:rPr>
          <w:rFonts w:hint="eastAsia"/>
          <w:sz w:val="24"/>
          <w:lang w:eastAsia="zh-CN"/>
        </w:rPr>
        <w:t>相关</w:t>
      </w:r>
      <w:r>
        <w:rPr>
          <w:rFonts w:hint="eastAsia"/>
          <w:sz w:val="24"/>
        </w:rPr>
        <w:t>规定</w:t>
      </w:r>
      <w:r>
        <w:rPr>
          <w:rFonts w:hint="eastAsia"/>
          <w:sz w:val="24"/>
          <w:lang w:eastAsia="zh-CN"/>
        </w:rPr>
        <w:t>。</w:t>
      </w:r>
    </w:p>
    <w:p w14:paraId="224F65B6">
      <w:pPr>
        <w:snapToGrid w:val="0"/>
        <w:spacing w:line="360" w:lineRule="auto"/>
        <w:rPr>
          <w:i/>
          <w:iCs/>
          <w:sz w:val="24"/>
          <w:u w:val="single"/>
        </w:rPr>
      </w:pPr>
    </w:p>
    <w:p w14:paraId="5AFDAB0B">
      <w:pPr>
        <w:pStyle w:val="4"/>
        <w:snapToGrid w:val="0"/>
        <w:spacing w:before="0" w:line="360" w:lineRule="auto"/>
        <w:ind w:firstLine="482" w:firstLineChars="200"/>
        <w:rPr>
          <w:rFonts w:ascii="Times New Roman" w:hAnsi="Times New Roman" w:eastAsia="宋体"/>
          <w:b/>
          <w:bCs/>
          <w:sz w:val="24"/>
          <w:szCs w:val="24"/>
          <w:highlight w:val="none"/>
        </w:rPr>
      </w:pPr>
      <w:r>
        <w:rPr>
          <w:rFonts w:ascii="Times New Roman" w:hAnsi="Times New Roman" w:eastAsia="宋体"/>
          <w:b/>
          <w:bCs/>
          <w:sz w:val="24"/>
          <w:szCs w:val="24"/>
          <w:highlight w:val="none"/>
        </w:rPr>
        <w:t>三、获取遴选文件</w:t>
      </w:r>
    </w:p>
    <w:p w14:paraId="50979A1D">
      <w:pPr>
        <w:tabs>
          <w:tab w:val="left" w:pos="900"/>
          <w:tab w:val="left" w:pos="1134"/>
          <w:tab w:val="left" w:pos="1589"/>
          <w:tab w:val="left" w:pos="5521"/>
        </w:tabs>
        <w:snapToGrid w:val="0"/>
        <w:spacing w:line="360" w:lineRule="auto"/>
        <w:ind w:firstLine="480" w:firstLineChars="200"/>
        <w:rPr>
          <w:rFonts w:hint="eastAsia"/>
          <w:sz w:val="24"/>
        </w:rPr>
      </w:pPr>
      <w:r>
        <w:rPr>
          <w:rFonts w:hint="eastAsia"/>
          <w:sz w:val="24"/>
        </w:rPr>
        <w:t>1.时间：</w:t>
      </w:r>
      <w:r>
        <w:rPr>
          <w:rFonts w:hint="eastAsia"/>
          <w:sz w:val="24"/>
          <w:lang w:val="en-US" w:eastAsia="zh-CN"/>
        </w:rPr>
        <w:t>2</w:t>
      </w:r>
      <w:r>
        <w:rPr>
          <w:rFonts w:hint="eastAsia"/>
          <w:sz w:val="24"/>
          <w:lang w:eastAsia="zh-CN"/>
        </w:rPr>
        <w:t>0</w:t>
      </w:r>
      <w:r>
        <w:rPr>
          <w:rFonts w:hint="eastAsia"/>
          <w:sz w:val="24"/>
          <w:lang w:val="en-US" w:eastAsia="zh-CN"/>
        </w:rPr>
        <w:t>25</w:t>
      </w:r>
      <w:r>
        <w:rPr>
          <w:rFonts w:hint="eastAsia"/>
          <w:sz w:val="24"/>
        </w:rPr>
        <w:t>年</w:t>
      </w:r>
      <w:r>
        <w:rPr>
          <w:rFonts w:hint="eastAsia"/>
          <w:sz w:val="24"/>
          <w:lang w:eastAsia="zh-CN"/>
        </w:rPr>
        <w:t>4</w:t>
      </w:r>
      <w:r>
        <w:rPr>
          <w:rFonts w:hint="eastAsia"/>
          <w:sz w:val="24"/>
        </w:rPr>
        <w:t>月</w:t>
      </w:r>
      <w:r>
        <w:rPr>
          <w:rFonts w:hint="eastAsia"/>
          <w:sz w:val="24"/>
          <w:lang w:val="en-US" w:eastAsia="zh-CN"/>
        </w:rPr>
        <w:t>8</w:t>
      </w:r>
      <w:r>
        <w:rPr>
          <w:rFonts w:hint="eastAsia"/>
          <w:sz w:val="24"/>
        </w:rPr>
        <w:t>日至</w:t>
      </w:r>
      <w:r>
        <w:rPr>
          <w:rFonts w:hint="eastAsia"/>
          <w:sz w:val="24"/>
          <w:lang w:eastAsia="zh-CN"/>
        </w:rPr>
        <w:t>2</w:t>
      </w:r>
      <w:r>
        <w:rPr>
          <w:rFonts w:hint="eastAsia"/>
          <w:sz w:val="24"/>
          <w:lang w:val="en-US" w:eastAsia="zh-CN"/>
        </w:rPr>
        <w:t>025</w:t>
      </w:r>
      <w:r>
        <w:rPr>
          <w:rFonts w:hint="eastAsia"/>
          <w:sz w:val="24"/>
        </w:rPr>
        <w:t>年</w:t>
      </w:r>
      <w:r>
        <w:rPr>
          <w:rFonts w:hint="eastAsia"/>
          <w:sz w:val="24"/>
          <w:lang w:eastAsia="zh-CN"/>
        </w:rPr>
        <w:t>4</w:t>
      </w:r>
      <w:r>
        <w:rPr>
          <w:rFonts w:hint="eastAsia"/>
          <w:sz w:val="24"/>
        </w:rPr>
        <w:t>月</w:t>
      </w:r>
      <w:r>
        <w:rPr>
          <w:rFonts w:hint="eastAsia"/>
          <w:sz w:val="24"/>
          <w:lang w:eastAsia="zh-CN"/>
        </w:rPr>
        <w:t>1</w:t>
      </w:r>
      <w:r>
        <w:rPr>
          <w:rFonts w:hint="eastAsia"/>
          <w:sz w:val="24"/>
          <w:lang w:val="en-US" w:eastAsia="zh-CN"/>
        </w:rPr>
        <w:t>6</w:t>
      </w:r>
      <w:r>
        <w:rPr>
          <w:rFonts w:hint="eastAsia"/>
          <w:sz w:val="24"/>
        </w:rPr>
        <w:t>日，每天9:00至11:30，13:30至17:00（北京时间，法定节假日除外）。</w:t>
      </w:r>
    </w:p>
    <w:p w14:paraId="6300318F">
      <w:pPr>
        <w:tabs>
          <w:tab w:val="left" w:pos="900"/>
          <w:tab w:val="left" w:pos="1134"/>
          <w:tab w:val="left" w:pos="1589"/>
          <w:tab w:val="left" w:pos="5521"/>
        </w:tabs>
        <w:snapToGrid w:val="0"/>
        <w:spacing w:line="360" w:lineRule="auto"/>
        <w:ind w:firstLine="480" w:firstLineChars="200"/>
        <w:rPr>
          <w:rFonts w:hint="eastAsia"/>
          <w:sz w:val="24"/>
        </w:rPr>
      </w:pPr>
      <w:r>
        <w:rPr>
          <w:rFonts w:hint="eastAsia"/>
          <w:sz w:val="24"/>
        </w:rPr>
        <w:t>2.地点：</w:t>
      </w:r>
      <w:r>
        <w:rPr>
          <w:rFonts w:hint="eastAsia"/>
          <w:sz w:val="24"/>
          <w:lang w:eastAsia="zh-CN"/>
        </w:rPr>
        <w:t>常州市钟楼区财政局（常州市钟楼区星港路</w:t>
      </w:r>
      <w:r>
        <w:rPr>
          <w:rFonts w:hint="eastAsia"/>
          <w:sz w:val="24"/>
          <w:lang w:val="en-US" w:eastAsia="zh-CN"/>
        </w:rPr>
        <w:t>88号610室</w:t>
      </w:r>
      <w:r>
        <w:rPr>
          <w:rFonts w:hint="eastAsia"/>
          <w:sz w:val="24"/>
          <w:lang w:eastAsia="zh-CN"/>
        </w:rPr>
        <w:t>）。</w:t>
      </w:r>
      <w:r>
        <w:rPr>
          <w:rFonts w:hint="eastAsia"/>
          <w:sz w:val="24"/>
        </w:rPr>
        <w:t xml:space="preserve">      </w:t>
      </w:r>
    </w:p>
    <w:p w14:paraId="197A31CA">
      <w:pPr>
        <w:tabs>
          <w:tab w:val="left" w:pos="900"/>
          <w:tab w:val="left" w:pos="1134"/>
          <w:tab w:val="left" w:pos="1589"/>
          <w:tab w:val="left" w:pos="5521"/>
        </w:tabs>
        <w:snapToGrid w:val="0"/>
        <w:spacing w:line="360" w:lineRule="auto"/>
        <w:ind w:firstLine="480" w:firstLineChars="200"/>
        <w:rPr>
          <w:rFonts w:hint="eastAsia"/>
          <w:sz w:val="24"/>
        </w:rPr>
      </w:pPr>
      <w:r>
        <w:rPr>
          <w:rFonts w:hint="eastAsia"/>
          <w:sz w:val="24"/>
        </w:rPr>
        <w:t>3.方式：提供以下资料后领取：</w:t>
      </w:r>
    </w:p>
    <w:p w14:paraId="7FD4C901">
      <w:pPr>
        <w:tabs>
          <w:tab w:val="left" w:pos="900"/>
          <w:tab w:val="left" w:pos="1134"/>
          <w:tab w:val="left" w:pos="1589"/>
          <w:tab w:val="left" w:pos="5521"/>
        </w:tabs>
        <w:snapToGrid w:val="0"/>
        <w:spacing w:line="360" w:lineRule="auto"/>
        <w:ind w:firstLine="480" w:firstLineChars="200"/>
        <w:rPr>
          <w:rFonts w:hint="eastAsia"/>
          <w:sz w:val="24"/>
        </w:rPr>
      </w:pPr>
      <w:r>
        <w:rPr>
          <w:rFonts w:hint="eastAsia"/>
          <w:sz w:val="24"/>
        </w:rPr>
        <w:t>1）营业执照副本复印件加盖公章；</w:t>
      </w:r>
    </w:p>
    <w:p w14:paraId="2130152A">
      <w:pPr>
        <w:tabs>
          <w:tab w:val="left" w:pos="900"/>
          <w:tab w:val="left" w:pos="1134"/>
          <w:tab w:val="left" w:pos="1589"/>
          <w:tab w:val="left" w:pos="5521"/>
        </w:tabs>
        <w:snapToGrid w:val="0"/>
        <w:spacing w:line="360" w:lineRule="auto"/>
        <w:ind w:firstLine="480" w:firstLineChars="200"/>
        <w:rPr>
          <w:rFonts w:hint="eastAsia" w:eastAsiaTheme="minorEastAsia"/>
          <w:sz w:val="24"/>
          <w:lang w:eastAsia="zh-CN"/>
        </w:rPr>
      </w:pPr>
      <w:r>
        <w:rPr>
          <w:rFonts w:hint="eastAsia"/>
          <w:sz w:val="24"/>
        </w:rPr>
        <w:t>2）领取人身份证原件，非法定代表人（或负责人）的还需提供分支机构授权委托书，受托人必须为本单位职工</w:t>
      </w:r>
      <w:r>
        <w:rPr>
          <w:rFonts w:hint="eastAsia"/>
          <w:sz w:val="24"/>
          <w:lang w:eastAsia="zh-CN"/>
        </w:rPr>
        <w:t>。</w:t>
      </w:r>
    </w:p>
    <w:p w14:paraId="4CA8B204">
      <w:pPr>
        <w:tabs>
          <w:tab w:val="left" w:pos="900"/>
          <w:tab w:val="left" w:pos="1980"/>
        </w:tabs>
        <w:snapToGrid w:val="0"/>
        <w:spacing w:line="360" w:lineRule="auto"/>
        <w:rPr>
          <w:sz w:val="24"/>
          <w:highlight w:val="none"/>
        </w:rPr>
      </w:pPr>
    </w:p>
    <w:p w14:paraId="7EC22169">
      <w:pPr>
        <w:pStyle w:val="4"/>
        <w:snapToGrid w:val="0"/>
        <w:spacing w:before="0" w:line="360" w:lineRule="auto"/>
        <w:ind w:firstLine="482" w:firstLineChars="200"/>
        <w:rPr>
          <w:rFonts w:ascii="Times New Roman" w:hAnsi="Times New Roman" w:eastAsia="宋体"/>
          <w:b/>
          <w:bCs/>
          <w:sz w:val="24"/>
          <w:szCs w:val="24"/>
          <w:highlight w:val="none"/>
        </w:rPr>
      </w:pPr>
      <w:r>
        <w:rPr>
          <w:rFonts w:ascii="Times New Roman" w:hAnsi="Times New Roman" w:eastAsia="宋体"/>
          <w:b/>
          <w:bCs/>
          <w:sz w:val="24"/>
          <w:szCs w:val="24"/>
          <w:highlight w:val="none"/>
        </w:rPr>
        <w:t>四、提交响应文件截止时间、开标时间和地点</w:t>
      </w:r>
    </w:p>
    <w:p w14:paraId="04ED2C0A">
      <w:pPr>
        <w:tabs>
          <w:tab w:val="left" w:pos="900"/>
          <w:tab w:val="left" w:pos="1134"/>
          <w:tab w:val="left" w:pos="1589"/>
          <w:tab w:val="left" w:pos="5521"/>
        </w:tabs>
        <w:snapToGrid w:val="0"/>
        <w:spacing w:line="360" w:lineRule="auto"/>
        <w:ind w:firstLine="480" w:firstLineChars="200"/>
        <w:rPr>
          <w:rFonts w:hint="eastAsia"/>
          <w:sz w:val="24"/>
        </w:rPr>
      </w:pPr>
      <w:r>
        <w:rPr>
          <w:rFonts w:hint="eastAsia"/>
          <w:sz w:val="24"/>
        </w:rPr>
        <w:t>响应文件提交时间：2025年 4月29日上午09:00时到09:30分</w:t>
      </w:r>
    </w:p>
    <w:p w14:paraId="54E68A2F">
      <w:pPr>
        <w:tabs>
          <w:tab w:val="left" w:pos="900"/>
          <w:tab w:val="left" w:pos="1134"/>
          <w:tab w:val="left" w:pos="1589"/>
          <w:tab w:val="left" w:pos="5521"/>
        </w:tabs>
        <w:snapToGrid w:val="0"/>
        <w:spacing w:line="360" w:lineRule="auto"/>
        <w:ind w:firstLine="480" w:firstLineChars="200"/>
        <w:rPr>
          <w:rFonts w:hint="eastAsia"/>
          <w:sz w:val="24"/>
        </w:rPr>
      </w:pPr>
      <w:r>
        <w:rPr>
          <w:rFonts w:hint="eastAsia"/>
          <w:sz w:val="24"/>
        </w:rPr>
        <w:t>响应文件提交截止暨开标时间：2025年4月29日上午09时30分</w:t>
      </w:r>
    </w:p>
    <w:p w14:paraId="55138129">
      <w:pPr>
        <w:tabs>
          <w:tab w:val="left" w:pos="900"/>
          <w:tab w:val="left" w:pos="1134"/>
          <w:tab w:val="left" w:pos="1589"/>
          <w:tab w:val="left" w:pos="5521"/>
        </w:tabs>
        <w:snapToGrid w:val="0"/>
        <w:spacing w:line="360" w:lineRule="auto"/>
        <w:ind w:firstLine="480" w:firstLineChars="200"/>
        <w:rPr>
          <w:rFonts w:hint="eastAsia"/>
          <w:sz w:val="24"/>
        </w:rPr>
      </w:pPr>
      <w:r>
        <w:rPr>
          <w:rFonts w:hint="eastAsia"/>
          <w:sz w:val="24"/>
        </w:rPr>
        <w:t>响应文件提交暨开标地点：常州市锦绣路2号常州市政务服务中心1-1号楼4楼 403室</w:t>
      </w:r>
    </w:p>
    <w:p w14:paraId="659CCE49">
      <w:pPr>
        <w:pStyle w:val="4"/>
        <w:snapToGrid w:val="0"/>
        <w:spacing w:before="0" w:line="360" w:lineRule="auto"/>
        <w:ind w:firstLine="482" w:firstLineChars="200"/>
        <w:rPr>
          <w:rFonts w:ascii="Times New Roman" w:hAnsi="Times New Roman" w:eastAsia="宋体"/>
          <w:b/>
          <w:bCs/>
          <w:sz w:val="24"/>
          <w:szCs w:val="24"/>
        </w:rPr>
      </w:pPr>
    </w:p>
    <w:p w14:paraId="684EF4FB">
      <w:pPr>
        <w:pStyle w:val="4"/>
        <w:snapToGrid w:val="0"/>
        <w:spacing w:before="0" w:line="360" w:lineRule="auto"/>
        <w:ind w:firstLine="482" w:firstLineChars="200"/>
        <w:rPr>
          <w:rFonts w:ascii="Times New Roman" w:hAnsi="Times New Roman" w:eastAsia="宋体"/>
          <w:b/>
          <w:bCs/>
          <w:sz w:val="24"/>
          <w:szCs w:val="24"/>
        </w:rPr>
      </w:pPr>
      <w:r>
        <w:rPr>
          <w:rFonts w:ascii="Times New Roman" w:hAnsi="Times New Roman" w:eastAsia="宋体"/>
          <w:b/>
          <w:bCs/>
          <w:sz w:val="24"/>
          <w:szCs w:val="24"/>
        </w:rPr>
        <w:t>五、公告期限</w:t>
      </w:r>
    </w:p>
    <w:p w14:paraId="38194163">
      <w:pPr>
        <w:snapToGrid w:val="0"/>
        <w:spacing w:line="360" w:lineRule="auto"/>
        <w:ind w:firstLine="480" w:firstLineChars="200"/>
        <w:rPr>
          <w:kern w:val="0"/>
          <w:sz w:val="24"/>
        </w:rPr>
      </w:pPr>
      <w:r>
        <w:rPr>
          <w:kern w:val="0"/>
          <w:sz w:val="24"/>
        </w:rPr>
        <w:t>自本公告发布之日起5个工作日。</w:t>
      </w:r>
    </w:p>
    <w:p w14:paraId="3BEE44A3">
      <w:pPr>
        <w:snapToGrid w:val="0"/>
        <w:spacing w:line="360" w:lineRule="auto"/>
        <w:ind w:firstLine="480" w:firstLineChars="200"/>
        <w:rPr>
          <w:kern w:val="0"/>
          <w:sz w:val="24"/>
        </w:rPr>
      </w:pPr>
    </w:p>
    <w:p w14:paraId="3ECBFA9B">
      <w:pPr>
        <w:pStyle w:val="4"/>
        <w:snapToGrid w:val="0"/>
        <w:spacing w:before="0" w:line="360" w:lineRule="auto"/>
        <w:ind w:firstLine="482" w:firstLineChars="200"/>
        <w:rPr>
          <w:rFonts w:ascii="Times New Roman" w:hAnsi="Times New Roman" w:eastAsia="宋体"/>
          <w:b/>
          <w:bCs/>
          <w:sz w:val="24"/>
          <w:szCs w:val="24"/>
        </w:rPr>
      </w:pPr>
      <w:r>
        <w:rPr>
          <w:rFonts w:ascii="Times New Roman" w:hAnsi="Times New Roman" w:eastAsia="宋体"/>
          <w:b/>
          <w:bCs/>
          <w:sz w:val="24"/>
          <w:szCs w:val="24"/>
        </w:rPr>
        <w:t>六、其他补充事宜</w:t>
      </w:r>
    </w:p>
    <w:p w14:paraId="3259DA89">
      <w:pPr>
        <w:snapToGrid w:val="0"/>
        <w:spacing w:line="360" w:lineRule="auto"/>
        <w:ind w:firstLine="480" w:firstLineChars="200"/>
        <w:rPr>
          <w:sz w:val="24"/>
        </w:rPr>
      </w:pPr>
      <w:r>
        <w:rPr>
          <w:rFonts w:hint="eastAsia"/>
          <w:sz w:val="24"/>
        </w:rPr>
        <w:t>无</w:t>
      </w:r>
      <w:r>
        <w:rPr>
          <w:sz w:val="24"/>
        </w:rPr>
        <w:t>。</w:t>
      </w:r>
    </w:p>
    <w:p w14:paraId="3C218586">
      <w:pPr>
        <w:snapToGrid w:val="0"/>
        <w:spacing w:line="360" w:lineRule="auto"/>
        <w:ind w:firstLine="480" w:firstLineChars="200"/>
        <w:rPr>
          <w:sz w:val="24"/>
        </w:rPr>
      </w:pPr>
    </w:p>
    <w:p w14:paraId="6DF24A03">
      <w:pPr>
        <w:pStyle w:val="4"/>
        <w:snapToGrid w:val="0"/>
        <w:spacing w:before="0" w:line="360" w:lineRule="auto"/>
        <w:ind w:firstLine="482" w:firstLineChars="200"/>
        <w:rPr>
          <w:rFonts w:ascii="Times New Roman" w:hAnsi="Times New Roman" w:eastAsia="宋体"/>
          <w:b/>
          <w:bCs/>
          <w:sz w:val="24"/>
          <w:szCs w:val="24"/>
        </w:rPr>
      </w:pPr>
      <w:r>
        <w:rPr>
          <w:rFonts w:ascii="Times New Roman" w:hAnsi="Times New Roman" w:eastAsia="宋体"/>
          <w:b/>
          <w:bCs/>
          <w:sz w:val="24"/>
          <w:szCs w:val="24"/>
        </w:rPr>
        <w:t>七、联系方式</w:t>
      </w:r>
    </w:p>
    <w:p w14:paraId="6E07D70F">
      <w:pPr>
        <w:snapToGrid w:val="0"/>
        <w:spacing w:line="360" w:lineRule="auto"/>
        <w:ind w:firstLine="480" w:firstLineChars="200"/>
        <w:rPr>
          <w:kern w:val="0"/>
          <w:sz w:val="24"/>
        </w:rPr>
      </w:pPr>
      <w:r>
        <w:rPr>
          <w:rFonts w:hint="eastAsia"/>
          <w:kern w:val="0"/>
          <w:sz w:val="24"/>
        </w:rPr>
        <w:t>单位名称：常州市钟楼区财政局</w:t>
      </w:r>
    </w:p>
    <w:p w14:paraId="2A1BC0AA">
      <w:pPr>
        <w:snapToGrid w:val="0"/>
        <w:spacing w:line="360" w:lineRule="auto"/>
        <w:ind w:firstLine="480" w:firstLineChars="200"/>
        <w:rPr>
          <w:kern w:val="0"/>
          <w:sz w:val="24"/>
        </w:rPr>
      </w:pPr>
      <w:r>
        <w:rPr>
          <w:rFonts w:hint="eastAsia"/>
          <w:kern w:val="0"/>
          <w:sz w:val="24"/>
        </w:rPr>
        <w:t>联系人：孙姝</w:t>
      </w:r>
      <w:bookmarkStart w:id="102" w:name="_GoBack"/>
      <w:bookmarkEnd w:id="102"/>
    </w:p>
    <w:p w14:paraId="05BB0CB5">
      <w:pPr>
        <w:snapToGrid w:val="0"/>
        <w:spacing w:line="360" w:lineRule="auto"/>
        <w:ind w:firstLine="480" w:firstLineChars="200"/>
        <w:rPr>
          <w:kern w:val="0"/>
          <w:sz w:val="24"/>
        </w:rPr>
      </w:pPr>
      <w:r>
        <w:rPr>
          <w:rFonts w:hint="eastAsia"/>
          <w:kern w:val="0"/>
          <w:sz w:val="24"/>
        </w:rPr>
        <w:t>联系电话：0519-88890610</w:t>
      </w:r>
    </w:p>
    <w:p w14:paraId="73E33226">
      <w:pPr>
        <w:snapToGrid w:val="0"/>
        <w:spacing w:line="360" w:lineRule="auto"/>
        <w:ind w:firstLine="480" w:firstLineChars="200"/>
        <w:rPr>
          <w:kern w:val="0"/>
          <w:sz w:val="24"/>
        </w:rPr>
      </w:pPr>
      <w:r>
        <w:rPr>
          <w:rFonts w:hint="eastAsia"/>
          <w:kern w:val="0"/>
          <w:sz w:val="24"/>
        </w:rPr>
        <w:t>联系地址：常州市钟楼区星港路88号6楼610室</w:t>
      </w:r>
    </w:p>
    <w:p w14:paraId="0DFB3522">
      <w:pPr>
        <w:snapToGrid w:val="0"/>
        <w:spacing w:line="360" w:lineRule="auto"/>
      </w:pPr>
    </w:p>
    <w:p w14:paraId="17B43725">
      <w:pPr>
        <w:pStyle w:val="3"/>
        <w:keepNext w:val="0"/>
        <w:snapToGrid w:val="0"/>
        <w:spacing w:line="360" w:lineRule="auto"/>
        <w:ind w:left="0" w:firstLine="0"/>
        <w:rPr>
          <w:rFonts w:ascii="黑体" w:hAnsi="黑体" w:cs="黑体"/>
          <w:szCs w:val="44"/>
        </w:rPr>
      </w:pPr>
      <w:bookmarkStart w:id="3" w:name="_Toc179815307"/>
      <w:r>
        <w:rPr>
          <w:rFonts w:hint="eastAsia" w:ascii="黑体" w:hAnsi="黑体" w:cs="黑体"/>
          <w:b w:val="0"/>
          <w:bCs/>
          <w:szCs w:val="44"/>
        </w:rPr>
        <w:t>第一章</w:t>
      </w:r>
      <w:r>
        <w:rPr>
          <w:rFonts w:hint="eastAsia" w:ascii="黑体" w:hAnsi="黑体" w:cs="黑体"/>
          <w:b w:val="0"/>
          <w:bCs/>
          <w:snapToGrid w:val="0"/>
          <w:spacing w:val="-6"/>
          <w:szCs w:val="44"/>
        </w:rPr>
        <w:t xml:space="preserve"> </w:t>
      </w:r>
      <w:r>
        <w:rPr>
          <w:rFonts w:hint="eastAsia" w:ascii="黑体" w:hAnsi="黑体" w:cs="黑体"/>
          <w:b w:val="0"/>
          <w:bCs/>
          <w:szCs w:val="44"/>
        </w:rPr>
        <w:t>总  则</w:t>
      </w:r>
      <w:bookmarkEnd w:id="3"/>
    </w:p>
    <w:p w14:paraId="77B44D78">
      <w:pPr>
        <w:snapToGrid w:val="0"/>
        <w:spacing w:line="360" w:lineRule="auto"/>
        <w:ind w:firstLine="482" w:firstLineChars="200"/>
        <w:rPr>
          <w:rFonts w:ascii="宋体" w:hAnsi="宋体"/>
          <w:b/>
          <w:sz w:val="24"/>
          <w:szCs w:val="24"/>
        </w:rPr>
      </w:pPr>
      <w:r>
        <w:rPr>
          <w:rFonts w:hint="eastAsia" w:ascii="宋体" w:hAnsi="宋体"/>
          <w:b/>
          <w:sz w:val="24"/>
          <w:szCs w:val="24"/>
        </w:rPr>
        <w:t>一、遴选项目：</w:t>
      </w:r>
    </w:p>
    <w:p w14:paraId="1C377AED">
      <w:pPr>
        <w:snapToGrid w:val="0"/>
        <w:spacing w:line="360" w:lineRule="auto"/>
        <w:ind w:firstLine="488" w:firstLineChars="200"/>
        <w:rPr>
          <w:rFonts w:ascii="宋体" w:hAnsi="宋体"/>
          <w:sz w:val="24"/>
          <w:szCs w:val="24"/>
        </w:rPr>
      </w:pPr>
      <w:r>
        <w:rPr>
          <w:rFonts w:hint="eastAsia" w:ascii="宋体" w:hAnsi="宋体" w:cs="宋体"/>
          <w:spacing w:val="2"/>
          <w:sz w:val="24"/>
          <w:szCs w:val="24"/>
          <w:lang w:val="zh-CN"/>
        </w:rPr>
        <w:t>钟楼区财政局2025-2028年政策性农业保险承保机构遴选</w:t>
      </w:r>
    </w:p>
    <w:p w14:paraId="177399FC">
      <w:pPr>
        <w:snapToGrid w:val="0"/>
        <w:spacing w:line="360" w:lineRule="auto"/>
        <w:ind w:firstLine="482" w:firstLineChars="200"/>
        <w:rPr>
          <w:rFonts w:ascii="宋体" w:hAnsi="宋体"/>
          <w:b/>
          <w:sz w:val="24"/>
          <w:szCs w:val="24"/>
        </w:rPr>
      </w:pPr>
      <w:r>
        <w:rPr>
          <w:rFonts w:hint="eastAsia" w:ascii="宋体" w:hAnsi="宋体"/>
          <w:b/>
          <w:sz w:val="24"/>
          <w:szCs w:val="24"/>
        </w:rPr>
        <w:t>二、供应商的资格要求：</w:t>
      </w:r>
    </w:p>
    <w:p w14:paraId="7DF07E38">
      <w:pPr>
        <w:snapToGrid w:val="0"/>
        <w:spacing w:line="360" w:lineRule="auto"/>
        <w:ind w:firstLine="480" w:firstLineChars="200"/>
        <w:rPr>
          <w:sz w:val="24"/>
        </w:rPr>
      </w:pPr>
      <w:r>
        <w:rPr>
          <w:rFonts w:hint="eastAsia"/>
          <w:sz w:val="24"/>
          <w:szCs w:val="24"/>
          <w:lang w:eastAsia="zh-CN"/>
        </w:rPr>
        <w:t>详见遴选邀请</w:t>
      </w:r>
    </w:p>
    <w:p w14:paraId="295B5FE1">
      <w:pPr>
        <w:snapToGrid w:val="0"/>
        <w:spacing w:line="360" w:lineRule="auto"/>
        <w:ind w:firstLine="482" w:firstLineChars="200"/>
        <w:rPr>
          <w:rFonts w:ascii="宋体" w:hAnsi="宋体"/>
          <w:b/>
          <w:sz w:val="24"/>
          <w:szCs w:val="24"/>
        </w:rPr>
      </w:pPr>
      <w:r>
        <w:rPr>
          <w:rFonts w:hint="eastAsia" w:ascii="宋体" w:hAnsi="宋体"/>
          <w:b/>
          <w:sz w:val="24"/>
          <w:szCs w:val="24"/>
        </w:rPr>
        <w:t>三、遴选费用</w:t>
      </w:r>
    </w:p>
    <w:p w14:paraId="30BF829B">
      <w:pPr>
        <w:snapToGrid w:val="0"/>
        <w:spacing w:line="360" w:lineRule="auto"/>
        <w:ind w:firstLine="480" w:firstLineChars="200"/>
        <w:rPr>
          <w:rFonts w:ascii="宋体" w:hAnsi="宋体"/>
          <w:sz w:val="24"/>
          <w:szCs w:val="24"/>
        </w:rPr>
      </w:pPr>
      <w:r>
        <w:rPr>
          <w:rFonts w:hint="eastAsia" w:ascii="宋体" w:hAnsi="宋体"/>
          <w:sz w:val="24"/>
          <w:szCs w:val="24"/>
        </w:rPr>
        <w:t>无论遴选结果如何，供应商应自行承担所有与准备和参加遴选有关的一切费用，遴选人对上述费用不负任何责任。</w:t>
      </w:r>
    </w:p>
    <w:p w14:paraId="3E02496D">
      <w:pPr>
        <w:snapToGrid w:val="0"/>
        <w:spacing w:line="360" w:lineRule="auto"/>
        <w:ind w:firstLine="482" w:firstLineChars="200"/>
        <w:rPr>
          <w:rFonts w:ascii="宋体" w:hAnsi="宋体"/>
          <w:b/>
          <w:sz w:val="24"/>
          <w:szCs w:val="24"/>
        </w:rPr>
      </w:pPr>
      <w:r>
        <w:rPr>
          <w:rFonts w:hint="eastAsia" w:ascii="宋体" w:hAnsi="宋体"/>
          <w:b/>
          <w:sz w:val="24"/>
          <w:szCs w:val="24"/>
        </w:rPr>
        <w:t>四、遴选文件</w:t>
      </w:r>
    </w:p>
    <w:p w14:paraId="78C7C19F">
      <w:pPr>
        <w:snapToGrid w:val="0"/>
        <w:spacing w:line="360" w:lineRule="auto"/>
        <w:ind w:firstLine="480" w:firstLineChars="200"/>
        <w:rPr>
          <w:rFonts w:ascii="宋体" w:hAnsi="宋体"/>
          <w:sz w:val="24"/>
          <w:szCs w:val="24"/>
        </w:rPr>
      </w:pPr>
      <w:r>
        <w:rPr>
          <w:rFonts w:hint="eastAsia" w:ascii="宋体" w:hAnsi="宋体"/>
          <w:sz w:val="24"/>
          <w:szCs w:val="24"/>
        </w:rPr>
        <w:t>１、遴选文件的组成</w:t>
      </w:r>
    </w:p>
    <w:p w14:paraId="225BE79A">
      <w:pPr>
        <w:snapToGrid w:val="0"/>
        <w:spacing w:line="360" w:lineRule="auto"/>
        <w:ind w:firstLine="480" w:firstLineChars="200"/>
        <w:rPr>
          <w:rFonts w:ascii="宋体" w:hAnsi="宋体"/>
          <w:sz w:val="24"/>
          <w:szCs w:val="24"/>
        </w:rPr>
      </w:pPr>
      <w:r>
        <w:rPr>
          <w:rFonts w:hint="eastAsia" w:ascii="宋体" w:hAnsi="宋体"/>
          <w:sz w:val="24"/>
          <w:szCs w:val="24"/>
        </w:rPr>
        <w:t>本文件及依法对本文件所作的书面更正的内容均为遴选文件的组成部分。</w:t>
      </w:r>
    </w:p>
    <w:p w14:paraId="3AD0B5B8">
      <w:pPr>
        <w:snapToGrid w:val="0"/>
        <w:spacing w:line="360" w:lineRule="auto"/>
        <w:ind w:firstLine="480" w:firstLineChars="200"/>
        <w:rPr>
          <w:rFonts w:ascii="宋体" w:hAnsi="宋体"/>
          <w:sz w:val="24"/>
          <w:szCs w:val="24"/>
        </w:rPr>
      </w:pPr>
      <w:r>
        <w:rPr>
          <w:rFonts w:hint="eastAsia" w:ascii="宋体" w:hAnsi="宋体"/>
          <w:sz w:val="24"/>
          <w:szCs w:val="24"/>
        </w:rPr>
        <w:t>２、遴选文件的更正</w:t>
      </w:r>
    </w:p>
    <w:p w14:paraId="73D82537">
      <w:pPr>
        <w:snapToGrid w:val="0"/>
        <w:spacing w:line="360" w:lineRule="auto"/>
        <w:ind w:firstLine="480" w:firstLineChars="200"/>
        <w:rPr>
          <w:rFonts w:ascii="宋体" w:hAnsi="宋体"/>
          <w:sz w:val="24"/>
          <w:szCs w:val="24"/>
        </w:rPr>
      </w:pPr>
      <w:r>
        <w:rPr>
          <w:rFonts w:hint="eastAsia" w:ascii="宋体" w:hAnsi="宋体"/>
          <w:sz w:val="24"/>
          <w:szCs w:val="24"/>
        </w:rPr>
        <w:t>供应商在取得遴选文件后，如有疑问需要答疑，可在提交响应文件截止时间的15日前以书面形式向遴选人提出。</w:t>
      </w:r>
    </w:p>
    <w:p w14:paraId="461892DC">
      <w:pPr>
        <w:snapToGrid w:val="0"/>
        <w:spacing w:line="360" w:lineRule="auto"/>
        <w:ind w:firstLine="480" w:firstLineChars="200"/>
        <w:rPr>
          <w:rFonts w:ascii="宋体" w:hAnsi="宋体"/>
          <w:sz w:val="24"/>
          <w:szCs w:val="24"/>
        </w:rPr>
      </w:pPr>
      <w:r>
        <w:rPr>
          <w:rFonts w:hint="eastAsia" w:ascii="宋体" w:hAnsi="宋体"/>
          <w:sz w:val="24"/>
          <w:szCs w:val="24"/>
        </w:rPr>
        <w:t>遴选文件各项条款最终解释权归遴选人，供应商对遴选人提供的遴选文件所做出的推论、解释和结论，遴选人概不负责。供应商由于对遴选文件的任何推论和误解以及遴选人对有关问题的口头解释所造成的后果，均由供应商自负。</w:t>
      </w:r>
    </w:p>
    <w:p w14:paraId="37C6E0B5">
      <w:pPr>
        <w:snapToGrid w:val="0"/>
        <w:spacing w:line="360" w:lineRule="auto"/>
        <w:ind w:firstLine="480" w:firstLineChars="200"/>
        <w:rPr>
          <w:rFonts w:ascii="宋体" w:hAnsi="宋体"/>
          <w:sz w:val="24"/>
          <w:szCs w:val="24"/>
        </w:rPr>
      </w:pPr>
      <w:r>
        <w:rPr>
          <w:rFonts w:hint="eastAsia" w:ascii="宋体" w:hAnsi="宋体"/>
          <w:sz w:val="24"/>
          <w:szCs w:val="24"/>
        </w:rPr>
        <w:t>遴选人有权对已发出的遴选文件进行必要的澄清或修改，并以更正公告形式通知所有供应商。</w:t>
      </w:r>
    </w:p>
    <w:p w14:paraId="63A750F9">
      <w:pPr>
        <w:snapToGrid w:val="0"/>
        <w:spacing w:line="360" w:lineRule="auto"/>
        <w:ind w:firstLine="480" w:firstLineChars="200"/>
        <w:rPr>
          <w:rFonts w:ascii="宋体" w:hAnsi="宋体"/>
          <w:sz w:val="24"/>
          <w:szCs w:val="24"/>
        </w:rPr>
      </w:pPr>
      <w:r>
        <w:rPr>
          <w:rFonts w:hint="eastAsia" w:ascii="宋体" w:hAnsi="宋体"/>
          <w:sz w:val="24"/>
          <w:szCs w:val="24"/>
        </w:rPr>
        <w:t>遴选人可视具体情况，延长提交响应文件截止时间和开标时间，并以更正公告形式通知所有供应商。</w:t>
      </w:r>
    </w:p>
    <w:p w14:paraId="24DA5CC4">
      <w:pPr>
        <w:snapToGrid w:val="0"/>
        <w:spacing w:line="360" w:lineRule="auto"/>
        <w:ind w:firstLine="480" w:firstLineChars="200"/>
        <w:rPr>
          <w:rFonts w:ascii="宋体" w:hAnsi="宋体"/>
          <w:sz w:val="24"/>
          <w:szCs w:val="24"/>
        </w:rPr>
      </w:pPr>
      <w:r>
        <w:rPr>
          <w:rFonts w:hint="eastAsia" w:ascii="宋体" w:hAnsi="宋体"/>
          <w:sz w:val="24"/>
          <w:szCs w:val="24"/>
        </w:rPr>
        <w:t>更正公告以</w:t>
      </w:r>
      <w:r>
        <w:rPr>
          <w:rFonts w:hint="eastAsia" w:ascii="宋体" w:hAnsi="宋体"/>
          <w:sz w:val="24"/>
          <w:szCs w:val="24"/>
          <w:u w:val="single"/>
        </w:rPr>
        <w:t>常州市钟楼区人民政府（https://www.zhonglou.gov.cn）</w:t>
      </w:r>
      <w:r>
        <w:rPr>
          <w:rFonts w:hint="eastAsia" w:ascii="宋体" w:hAnsi="宋体"/>
          <w:sz w:val="24"/>
          <w:szCs w:val="24"/>
        </w:rPr>
        <w:t>所发布的为准。</w:t>
      </w:r>
    </w:p>
    <w:p w14:paraId="0370B441">
      <w:pPr>
        <w:snapToGrid w:val="0"/>
        <w:spacing w:line="360" w:lineRule="auto"/>
        <w:ind w:firstLine="480" w:firstLineChars="200"/>
        <w:rPr>
          <w:rFonts w:ascii="宋体" w:hAnsi="宋体"/>
          <w:sz w:val="24"/>
          <w:szCs w:val="24"/>
        </w:rPr>
      </w:pPr>
    </w:p>
    <w:p w14:paraId="15BFDC5C">
      <w:pPr>
        <w:snapToGrid w:val="0"/>
        <w:spacing w:line="360" w:lineRule="auto"/>
        <w:ind w:firstLine="482" w:firstLineChars="200"/>
        <w:rPr>
          <w:rFonts w:ascii="宋体" w:hAnsi="宋体"/>
          <w:b/>
          <w:sz w:val="24"/>
          <w:szCs w:val="24"/>
        </w:rPr>
      </w:pPr>
      <w:r>
        <w:rPr>
          <w:rFonts w:hint="eastAsia" w:ascii="宋体" w:hAnsi="宋体"/>
          <w:b/>
          <w:sz w:val="24"/>
          <w:szCs w:val="24"/>
        </w:rPr>
        <w:t>五、供应商的义务</w:t>
      </w:r>
    </w:p>
    <w:p w14:paraId="7C75787B">
      <w:pPr>
        <w:snapToGrid w:val="0"/>
        <w:spacing w:line="360" w:lineRule="auto"/>
        <w:ind w:firstLine="480" w:firstLineChars="200"/>
        <w:rPr>
          <w:rFonts w:ascii="宋体" w:hAnsi="宋体"/>
          <w:sz w:val="24"/>
          <w:szCs w:val="24"/>
        </w:rPr>
      </w:pPr>
      <w:r>
        <w:rPr>
          <w:rFonts w:hint="eastAsia" w:ascii="宋体" w:hAnsi="宋体"/>
          <w:sz w:val="24"/>
          <w:szCs w:val="24"/>
        </w:rPr>
        <w:t>1、供应商应当认真阅读遴选文件，完全明了遴选项目之名称、用途、数量、质量和交货日期，完全明了供应商所应具备的资格条件。</w:t>
      </w:r>
    </w:p>
    <w:p w14:paraId="419BF654">
      <w:pPr>
        <w:snapToGrid w:val="0"/>
        <w:spacing w:line="360" w:lineRule="auto"/>
        <w:ind w:firstLine="480" w:firstLineChars="200"/>
        <w:rPr>
          <w:rFonts w:ascii="宋体" w:hAnsi="宋体"/>
          <w:sz w:val="24"/>
          <w:szCs w:val="24"/>
        </w:rPr>
      </w:pPr>
      <w:r>
        <w:rPr>
          <w:rFonts w:hint="eastAsia" w:ascii="宋体" w:hAnsi="宋体"/>
          <w:sz w:val="24"/>
          <w:szCs w:val="24"/>
        </w:rPr>
        <w:t>2、供应商应当按照遴选文件的要求编制响应文件。响应文件应对遴选文件提出的实质性要求和条件作出完全响应。</w:t>
      </w:r>
    </w:p>
    <w:p w14:paraId="1745C0DF">
      <w:pPr>
        <w:snapToGrid w:val="0"/>
        <w:spacing w:line="360" w:lineRule="auto"/>
        <w:ind w:firstLine="480" w:firstLineChars="200"/>
        <w:rPr>
          <w:rFonts w:ascii="宋体" w:hAnsi="宋体"/>
          <w:sz w:val="24"/>
          <w:szCs w:val="24"/>
        </w:rPr>
      </w:pPr>
      <w:r>
        <w:rPr>
          <w:rFonts w:hint="eastAsia" w:ascii="宋体" w:hAnsi="宋体"/>
          <w:sz w:val="24"/>
          <w:szCs w:val="24"/>
        </w:rPr>
        <w:t>3、供应商应在提交响应文件截止时间前，将密封的响应文件送达规定地点。</w:t>
      </w:r>
    </w:p>
    <w:p w14:paraId="6A04E202">
      <w:pPr>
        <w:snapToGrid w:val="0"/>
        <w:spacing w:line="360" w:lineRule="auto"/>
        <w:ind w:firstLine="480" w:firstLineChars="200"/>
        <w:rPr>
          <w:rFonts w:ascii="宋体" w:hAnsi="宋体"/>
          <w:sz w:val="24"/>
          <w:szCs w:val="24"/>
        </w:rPr>
      </w:pPr>
      <w:r>
        <w:rPr>
          <w:rFonts w:hint="eastAsia" w:ascii="宋体" w:hAnsi="宋体"/>
          <w:sz w:val="24"/>
          <w:szCs w:val="24"/>
        </w:rPr>
        <w:t>4、供应商不得相互串通，不得排挤其他供应商的公平竞争，损害遴选人或者其他供应商合法权益。供应商不得与遴选人串通响应，损害国家利益，公众利益或者他人的合法权益。</w:t>
      </w:r>
    </w:p>
    <w:p w14:paraId="585F4D01">
      <w:pPr>
        <w:snapToGrid w:val="0"/>
        <w:spacing w:line="360" w:lineRule="auto"/>
        <w:ind w:firstLine="480" w:firstLineChars="200"/>
        <w:rPr>
          <w:rFonts w:ascii="宋体" w:hAnsi="宋体"/>
          <w:sz w:val="24"/>
          <w:szCs w:val="24"/>
        </w:rPr>
      </w:pPr>
      <w:r>
        <w:rPr>
          <w:rFonts w:hint="eastAsia" w:ascii="宋体" w:hAnsi="宋体"/>
          <w:sz w:val="24"/>
          <w:szCs w:val="24"/>
        </w:rPr>
        <w:t>有下列情形之一的，视为供应商串通响应，其</w:t>
      </w:r>
      <w:bookmarkStart w:id="4" w:name="OLE_LINK23"/>
      <w:bookmarkStart w:id="5" w:name="OLE_LINK24"/>
      <w:r>
        <w:rPr>
          <w:rFonts w:hint="eastAsia" w:ascii="宋体" w:hAnsi="宋体"/>
          <w:sz w:val="24"/>
          <w:szCs w:val="24"/>
        </w:rPr>
        <w:t>响应</w:t>
      </w:r>
      <w:bookmarkEnd w:id="4"/>
      <w:bookmarkEnd w:id="5"/>
      <w:r>
        <w:rPr>
          <w:rFonts w:hint="eastAsia" w:ascii="宋体" w:hAnsi="宋体"/>
          <w:sz w:val="24"/>
          <w:szCs w:val="24"/>
        </w:rPr>
        <w:t>无效：</w:t>
      </w:r>
    </w:p>
    <w:p w14:paraId="5B19F6E1">
      <w:pPr>
        <w:snapToGrid w:val="0"/>
        <w:spacing w:line="360" w:lineRule="auto"/>
        <w:ind w:firstLine="480" w:firstLineChars="200"/>
        <w:rPr>
          <w:rFonts w:ascii="宋体" w:hAnsi="宋体"/>
          <w:sz w:val="24"/>
          <w:szCs w:val="24"/>
        </w:rPr>
      </w:pPr>
      <w:r>
        <w:rPr>
          <w:rFonts w:hint="eastAsia" w:ascii="宋体" w:hAnsi="宋体"/>
          <w:sz w:val="24"/>
          <w:szCs w:val="24"/>
        </w:rPr>
        <w:t>（一）不同供应商的响应文件由同一单位或者个人编制；</w:t>
      </w:r>
    </w:p>
    <w:p w14:paraId="0E20F593">
      <w:pPr>
        <w:snapToGrid w:val="0"/>
        <w:spacing w:line="360" w:lineRule="auto"/>
        <w:ind w:firstLine="480" w:firstLineChars="200"/>
        <w:rPr>
          <w:rFonts w:ascii="宋体" w:hAnsi="宋体"/>
          <w:sz w:val="24"/>
          <w:szCs w:val="24"/>
        </w:rPr>
      </w:pPr>
      <w:r>
        <w:rPr>
          <w:rFonts w:hint="eastAsia" w:ascii="宋体" w:hAnsi="宋体"/>
          <w:sz w:val="24"/>
          <w:szCs w:val="24"/>
        </w:rPr>
        <w:t>（二）不同供应商委托同一单位或者个人办理响应事宜；</w:t>
      </w:r>
    </w:p>
    <w:p w14:paraId="2179C818">
      <w:pPr>
        <w:snapToGrid w:val="0"/>
        <w:spacing w:line="360" w:lineRule="auto"/>
        <w:ind w:firstLine="480" w:firstLineChars="200"/>
        <w:rPr>
          <w:rFonts w:ascii="宋体" w:hAnsi="宋体"/>
          <w:sz w:val="24"/>
          <w:szCs w:val="24"/>
        </w:rPr>
      </w:pPr>
      <w:r>
        <w:rPr>
          <w:rFonts w:hint="eastAsia" w:ascii="宋体" w:hAnsi="宋体"/>
          <w:sz w:val="24"/>
          <w:szCs w:val="24"/>
        </w:rPr>
        <w:t>（三）不同供应商的响应文件载明的项目管理成员或者联系人员为同一人；</w:t>
      </w:r>
    </w:p>
    <w:p w14:paraId="57FE0354">
      <w:pPr>
        <w:snapToGrid w:val="0"/>
        <w:spacing w:line="360" w:lineRule="auto"/>
        <w:ind w:firstLine="480" w:firstLineChars="200"/>
        <w:rPr>
          <w:rFonts w:ascii="宋体" w:hAnsi="宋体"/>
          <w:sz w:val="24"/>
          <w:szCs w:val="24"/>
        </w:rPr>
      </w:pPr>
      <w:r>
        <w:rPr>
          <w:rFonts w:hint="eastAsia" w:ascii="宋体" w:hAnsi="宋体"/>
          <w:sz w:val="24"/>
          <w:szCs w:val="24"/>
        </w:rPr>
        <w:t>（四）不同供应商的响应文件异常一致或者响应报价呈规律性差异；</w:t>
      </w:r>
    </w:p>
    <w:p w14:paraId="46D299B6">
      <w:pPr>
        <w:snapToGrid w:val="0"/>
        <w:spacing w:line="360" w:lineRule="auto"/>
        <w:ind w:firstLine="480" w:firstLineChars="200"/>
        <w:rPr>
          <w:rFonts w:ascii="宋体" w:hAnsi="宋体"/>
          <w:sz w:val="24"/>
          <w:szCs w:val="24"/>
        </w:rPr>
      </w:pPr>
      <w:r>
        <w:rPr>
          <w:rFonts w:hint="eastAsia" w:ascii="宋体" w:hAnsi="宋体"/>
          <w:sz w:val="24"/>
          <w:szCs w:val="24"/>
        </w:rPr>
        <w:t>（五）不同供应商的响应文件相互混装；</w:t>
      </w:r>
    </w:p>
    <w:p w14:paraId="185FC00C">
      <w:pPr>
        <w:snapToGrid w:val="0"/>
        <w:spacing w:line="360" w:lineRule="auto"/>
        <w:ind w:firstLine="480" w:firstLineChars="200"/>
        <w:rPr>
          <w:rFonts w:ascii="宋体" w:hAnsi="宋体"/>
          <w:sz w:val="24"/>
          <w:szCs w:val="24"/>
        </w:rPr>
      </w:pPr>
      <w:r>
        <w:rPr>
          <w:rFonts w:hint="eastAsia" w:ascii="宋体" w:hAnsi="宋体"/>
          <w:sz w:val="24"/>
          <w:szCs w:val="24"/>
        </w:rPr>
        <w:t>（六）不同供应商的响应保证金从同一单位或者个人的账户转出。</w:t>
      </w:r>
    </w:p>
    <w:p w14:paraId="2C575989">
      <w:pPr>
        <w:snapToGrid w:val="0"/>
        <w:spacing w:line="360" w:lineRule="auto"/>
        <w:ind w:firstLine="480" w:firstLineChars="200"/>
        <w:rPr>
          <w:rFonts w:ascii="宋体" w:hAnsi="宋体"/>
          <w:sz w:val="24"/>
          <w:szCs w:val="24"/>
        </w:rPr>
      </w:pPr>
      <w:r>
        <w:rPr>
          <w:rFonts w:hint="eastAsia" w:ascii="宋体" w:hAnsi="宋体"/>
          <w:sz w:val="24"/>
          <w:szCs w:val="24"/>
        </w:rPr>
        <w:t>5、供应商在提交响应文件截止时间前，对所提交的响应文件可以补充、修改或者撤回，并书面通知遴选人。补充、修改的内容为响应文件的组成部分。</w:t>
      </w:r>
    </w:p>
    <w:p w14:paraId="2E12BA0F">
      <w:pPr>
        <w:pStyle w:val="3"/>
        <w:keepNext w:val="0"/>
        <w:snapToGrid w:val="0"/>
        <w:spacing w:line="360" w:lineRule="auto"/>
        <w:ind w:left="0" w:firstLine="0"/>
        <w:rPr>
          <w:rFonts w:ascii="黑体" w:hAnsi="黑体" w:cs="黑体"/>
          <w:b w:val="0"/>
          <w:bCs/>
          <w:snapToGrid w:val="0"/>
          <w:spacing w:val="-6"/>
          <w:szCs w:val="44"/>
        </w:rPr>
      </w:pPr>
      <w:bookmarkStart w:id="6" w:name="_Toc179815308"/>
      <w:r>
        <w:rPr>
          <w:rFonts w:hint="eastAsia" w:ascii="黑体" w:hAnsi="黑体" w:cs="黑体"/>
          <w:b w:val="0"/>
          <w:bCs/>
          <w:snapToGrid w:val="0"/>
          <w:spacing w:val="-6"/>
          <w:szCs w:val="44"/>
        </w:rPr>
        <w:t>第二章 响应文件</w:t>
      </w:r>
      <w:bookmarkEnd w:id="6"/>
    </w:p>
    <w:p w14:paraId="1F788A66">
      <w:pPr>
        <w:snapToGrid w:val="0"/>
        <w:spacing w:line="360" w:lineRule="auto"/>
        <w:ind w:firstLine="482" w:firstLineChars="200"/>
        <w:rPr>
          <w:rFonts w:ascii="宋体" w:hAnsi="宋体"/>
          <w:b/>
          <w:sz w:val="24"/>
        </w:rPr>
      </w:pPr>
      <w:bookmarkStart w:id="7" w:name="_Toc288738331"/>
      <w:bookmarkStart w:id="8" w:name="_Toc288738799"/>
      <w:bookmarkStart w:id="9" w:name="_Toc288738405"/>
      <w:r>
        <w:rPr>
          <w:rFonts w:hint="eastAsia" w:ascii="宋体" w:hAnsi="宋体"/>
          <w:b/>
          <w:sz w:val="24"/>
        </w:rPr>
        <w:t>六、响应文件组成</w:t>
      </w:r>
      <w:bookmarkEnd w:id="7"/>
      <w:bookmarkEnd w:id="8"/>
      <w:bookmarkEnd w:id="9"/>
    </w:p>
    <w:p w14:paraId="6E622054">
      <w:pPr>
        <w:snapToGrid w:val="0"/>
        <w:spacing w:line="360" w:lineRule="auto"/>
        <w:ind w:firstLine="480" w:firstLineChars="200"/>
        <w:rPr>
          <w:rFonts w:ascii="宋体" w:hAnsi="宋体"/>
          <w:sz w:val="24"/>
        </w:rPr>
      </w:pPr>
      <w:r>
        <w:rPr>
          <w:rFonts w:hint="eastAsia" w:ascii="宋体" w:hAnsi="宋体"/>
          <w:sz w:val="24"/>
        </w:rPr>
        <w:t>纸质响应文件一份正本，四份副本。响应文件应当符合遴选文件的要求，并应包括但不限于下列内容。响应文件编制格式要求以及相关附件详见第六章。</w:t>
      </w:r>
    </w:p>
    <w:p w14:paraId="457F15F9">
      <w:pPr>
        <w:snapToGrid w:val="0"/>
        <w:spacing w:line="360" w:lineRule="auto"/>
        <w:ind w:firstLine="480" w:firstLineChars="200"/>
        <w:rPr>
          <w:rFonts w:ascii="宋体" w:hAnsi="宋体"/>
          <w:sz w:val="24"/>
        </w:rPr>
      </w:pPr>
      <w:r>
        <w:rPr>
          <w:rFonts w:hint="eastAsia" w:ascii="宋体" w:hAnsi="宋体"/>
          <w:sz w:val="24"/>
        </w:rPr>
        <w:t>1、供应商情况说明：</w:t>
      </w:r>
    </w:p>
    <w:p w14:paraId="377ADB2F">
      <w:pPr>
        <w:snapToGrid w:val="0"/>
        <w:spacing w:line="360" w:lineRule="auto"/>
        <w:ind w:firstLine="480" w:firstLineChars="200"/>
        <w:rPr>
          <w:rFonts w:ascii="宋体" w:hAnsi="宋体"/>
          <w:sz w:val="24"/>
        </w:rPr>
      </w:pPr>
      <w:r>
        <w:rPr>
          <w:rFonts w:hint="eastAsia" w:ascii="宋体" w:hAnsi="宋体"/>
          <w:sz w:val="24"/>
        </w:rPr>
        <w:t>供应商简介（含供应商规模、技术能力及装备水平等）、人员情况、典型项目介绍。</w:t>
      </w:r>
    </w:p>
    <w:p w14:paraId="7F3758DC">
      <w:pPr>
        <w:snapToGrid w:val="0"/>
        <w:spacing w:line="360" w:lineRule="auto"/>
        <w:ind w:firstLine="480" w:firstLineChars="200"/>
        <w:rPr>
          <w:rFonts w:ascii="宋体" w:hAnsi="宋体"/>
          <w:sz w:val="24"/>
        </w:rPr>
      </w:pPr>
      <w:r>
        <w:rPr>
          <w:rFonts w:hint="eastAsia" w:ascii="宋体" w:hAnsi="宋体"/>
          <w:sz w:val="24"/>
        </w:rPr>
        <w:t>2、</w:t>
      </w:r>
      <w:r>
        <w:rPr>
          <w:rFonts w:hint="eastAsia" w:ascii="宋体" w:hAnsi="宋体"/>
          <w:b/>
          <w:sz w:val="24"/>
        </w:rPr>
        <w:t>供应商资格审查材料，</w:t>
      </w:r>
      <w:r>
        <w:rPr>
          <w:rFonts w:hint="eastAsia" w:ascii="宋体" w:hAnsi="宋体"/>
          <w:b/>
          <w:bCs/>
          <w:sz w:val="24"/>
        </w:rPr>
        <w:t>证明供应商符合资格要求的证明材料包括但不限于以下材料，未提供的作为无效响应处理：</w:t>
      </w:r>
    </w:p>
    <w:p w14:paraId="0958F85F">
      <w:pPr>
        <w:snapToGrid w:val="0"/>
        <w:spacing w:line="360" w:lineRule="auto"/>
        <w:ind w:firstLine="480" w:firstLineChars="200"/>
        <w:rPr>
          <w:rFonts w:ascii="宋体" w:hAnsi="宋体"/>
          <w:sz w:val="24"/>
        </w:rPr>
      </w:pPr>
      <w:r>
        <w:rPr>
          <w:rFonts w:hint="eastAsia" w:ascii="宋体" w:hAnsi="宋体"/>
          <w:sz w:val="24"/>
        </w:rPr>
        <w:t>1）</w:t>
      </w:r>
      <w:r>
        <w:rPr>
          <w:sz w:val="24"/>
        </w:rPr>
        <w:t>《</w:t>
      </w:r>
      <w:r>
        <w:rPr>
          <w:rFonts w:hint="eastAsia"/>
          <w:sz w:val="24"/>
        </w:rPr>
        <w:t>供应商资格声明函</w:t>
      </w:r>
      <w:r>
        <w:rPr>
          <w:sz w:val="24"/>
        </w:rPr>
        <w:t>》</w:t>
      </w:r>
      <w:r>
        <w:rPr>
          <w:rFonts w:hint="eastAsia" w:ascii="宋体" w:hAnsi="宋体"/>
          <w:sz w:val="24"/>
        </w:rPr>
        <w:t>（附件一）</w:t>
      </w:r>
    </w:p>
    <w:p w14:paraId="353CFF26">
      <w:pPr>
        <w:snapToGrid w:val="0"/>
        <w:spacing w:line="360" w:lineRule="auto"/>
        <w:ind w:firstLine="480" w:firstLineChars="200"/>
        <w:rPr>
          <w:rFonts w:ascii="宋体" w:hAnsi="宋体"/>
          <w:sz w:val="24"/>
        </w:rPr>
      </w:pPr>
      <w:r>
        <w:rPr>
          <w:rFonts w:hint="eastAsia" w:ascii="宋体" w:hAnsi="宋体"/>
          <w:sz w:val="24"/>
        </w:rPr>
        <w:t>2）响应函（附件二）；</w:t>
      </w:r>
    </w:p>
    <w:p w14:paraId="001515D9">
      <w:pPr>
        <w:snapToGrid w:val="0"/>
        <w:spacing w:line="360" w:lineRule="auto"/>
        <w:ind w:firstLine="480" w:firstLineChars="200"/>
        <w:rPr>
          <w:rFonts w:ascii="宋体" w:hAnsi="宋体"/>
          <w:sz w:val="24"/>
        </w:rPr>
      </w:pPr>
      <w:r>
        <w:rPr>
          <w:rFonts w:hint="eastAsia" w:ascii="宋体" w:hAnsi="宋体"/>
          <w:sz w:val="24"/>
        </w:rPr>
        <w:t>3）法定代表人参加开标会的提供：法定代表人（</w:t>
      </w:r>
      <w:r>
        <w:rPr>
          <w:rFonts w:hint="eastAsia" w:ascii="宋体" w:hAnsi="宋体"/>
          <w:sz w:val="24"/>
          <w:lang w:eastAsia="zh-CN"/>
        </w:rPr>
        <w:t>或</w:t>
      </w:r>
      <w:r>
        <w:rPr>
          <w:rFonts w:hint="eastAsia" w:ascii="宋体" w:hAnsi="宋体"/>
          <w:sz w:val="24"/>
        </w:rPr>
        <w:t>负责人）资格证明书（附件三）和本人身份证；委托代理人参加开标会的提供：授权委托书（附件三）和本人身份证；</w:t>
      </w:r>
    </w:p>
    <w:p w14:paraId="7AF6139D">
      <w:pPr>
        <w:snapToGrid w:val="0"/>
        <w:spacing w:line="360" w:lineRule="auto"/>
        <w:ind w:firstLine="480" w:firstLineChars="200"/>
        <w:rPr>
          <w:rFonts w:ascii="宋体" w:hAnsi="宋体"/>
          <w:b/>
          <w:color w:val="FF0000"/>
          <w:sz w:val="24"/>
        </w:rPr>
      </w:pPr>
      <w:r>
        <w:rPr>
          <w:rFonts w:hint="eastAsia" w:ascii="宋体" w:hAnsi="宋体"/>
          <w:sz w:val="24"/>
        </w:rPr>
        <w:t>4）其他特定资格要求涉及的证明材料。</w:t>
      </w:r>
    </w:p>
    <w:p w14:paraId="4D5B6758">
      <w:pPr>
        <w:snapToGrid w:val="0"/>
        <w:spacing w:line="360" w:lineRule="auto"/>
        <w:ind w:firstLine="480" w:firstLineChars="200"/>
        <w:rPr>
          <w:rFonts w:ascii="宋体" w:hAnsi="宋体"/>
          <w:sz w:val="24"/>
        </w:rPr>
      </w:pPr>
      <w:r>
        <w:rPr>
          <w:rFonts w:hint="eastAsia" w:ascii="宋体" w:hAnsi="宋体"/>
          <w:sz w:val="24"/>
        </w:rPr>
        <w:t>3、响应报价：</w:t>
      </w:r>
    </w:p>
    <w:p w14:paraId="469877CE">
      <w:pPr>
        <w:snapToGrid w:val="0"/>
        <w:spacing w:line="360" w:lineRule="auto"/>
        <w:ind w:firstLine="480" w:firstLineChars="200"/>
        <w:rPr>
          <w:rFonts w:ascii="宋体" w:hAnsi="宋体"/>
          <w:sz w:val="24"/>
        </w:rPr>
      </w:pPr>
      <w:r>
        <w:rPr>
          <w:rFonts w:hint="eastAsia" w:ascii="宋体" w:hAnsi="宋体"/>
          <w:sz w:val="24"/>
        </w:rPr>
        <w:t>响应报价的具体要求见遴选文件第四章。</w:t>
      </w:r>
    </w:p>
    <w:p w14:paraId="6238F5B2">
      <w:pPr>
        <w:snapToGrid w:val="0"/>
        <w:spacing w:line="360" w:lineRule="auto"/>
        <w:ind w:firstLine="480" w:firstLineChars="200"/>
        <w:rPr>
          <w:rFonts w:ascii="宋体" w:hAnsi="宋体"/>
          <w:sz w:val="24"/>
        </w:rPr>
      </w:pPr>
      <w:r>
        <w:rPr>
          <w:rFonts w:hint="eastAsia" w:ascii="宋体" w:hAnsi="宋体"/>
          <w:sz w:val="24"/>
        </w:rPr>
        <w:t>4、项目实施方案，应当包括但不限于如下主题：</w:t>
      </w:r>
    </w:p>
    <w:p w14:paraId="3E36A207">
      <w:pPr>
        <w:snapToGrid w:val="0"/>
        <w:spacing w:line="360" w:lineRule="auto"/>
        <w:ind w:firstLine="480" w:firstLineChars="200"/>
        <w:rPr>
          <w:rFonts w:ascii="宋体" w:hAnsi="宋体"/>
          <w:sz w:val="24"/>
        </w:rPr>
      </w:pPr>
      <w:r>
        <w:rPr>
          <w:rFonts w:hint="eastAsia" w:ascii="宋体" w:hAnsi="宋体"/>
          <w:sz w:val="24"/>
        </w:rPr>
        <w:t>1）基层服务网络；</w:t>
      </w:r>
    </w:p>
    <w:p w14:paraId="50F2C3C1">
      <w:pPr>
        <w:snapToGrid w:val="0"/>
        <w:spacing w:line="360" w:lineRule="auto"/>
        <w:ind w:firstLine="480" w:firstLineChars="200"/>
        <w:rPr>
          <w:rFonts w:ascii="宋体" w:hAnsi="宋体"/>
          <w:sz w:val="24"/>
        </w:rPr>
      </w:pPr>
      <w:r>
        <w:rPr>
          <w:rFonts w:hint="eastAsia" w:ascii="宋体" w:hAnsi="宋体"/>
          <w:sz w:val="24"/>
        </w:rPr>
        <w:t>2）专业服务人员；</w:t>
      </w:r>
    </w:p>
    <w:p w14:paraId="0C4C9B75">
      <w:pPr>
        <w:snapToGrid w:val="0"/>
        <w:spacing w:line="360" w:lineRule="auto"/>
        <w:ind w:firstLine="480" w:firstLineChars="200"/>
        <w:rPr>
          <w:rFonts w:ascii="宋体" w:hAnsi="宋体"/>
          <w:sz w:val="24"/>
        </w:rPr>
      </w:pPr>
      <w:r>
        <w:rPr>
          <w:rFonts w:hint="eastAsia" w:ascii="宋体" w:hAnsi="宋体"/>
          <w:sz w:val="24"/>
        </w:rPr>
        <w:t>3）协保体系建设；</w:t>
      </w:r>
    </w:p>
    <w:p w14:paraId="71F490E5">
      <w:pPr>
        <w:snapToGrid w:val="0"/>
        <w:spacing w:line="360" w:lineRule="auto"/>
        <w:ind w:firstLine="480" w:firstLineChars="200"/>
        <w:rPr>
          <w:rFonts w:ascii="宋体" w:hAnsi="宋体"/>
          <w:sz w:val="24"/>
        </w:rPr>
      </w:pPr>
      <w:r>
        <w:rPr>
          <w:rFonts w:hint="eastAsia" w:ascii="宋体" w:hAnsi="宋体"/>
          <w:sz w:val="24"/>
        </w:rPr>
        <w:t>4）科技赋能；</w:t>
      </w:r>
    </w:p>
    <w:p w14:paraId="4E67A6A3">
      <w:pPr>
        <w:snapToGrid w:val="0"/>
        <w:spacing w:line="360" w:lineRule="auto"/>
        <w:ind w:firstLine="480" w:firstLineChars="200"/>
        <w:rPr>
          <w:rFonts w:hint="eastAsia" w:ascii="宋体" w:hAnsi="宋体"/>
          <w:sz w:val="24"/>
        </w:rPr>
      </w:pPr>
      <w:r>
        <w:rPr>
          <w:rFonts w:hint="eastAsia" w:ascii="宋体" w:hAnsi="宋体"/>
          <w:sz w:val="24"/>
        </w:rPr>
        <w:t>5）服务装备；</w:t>
      </w:r>
    </w:p>
    <w:p w14:paraId="33C94EE0">
      <w:pPr>
        <w:snapToGrid w:val="0"/>
        <w:spacing w:line="360" w:lineRule="auto"/>
        <w:ind w:firstLine="480" w:firstLineChars="200"/>
        <w:rPr>
          <w:rFonts w:hint="eastAsia" w:ascii="宋体" w:hAnsi="宋体" w:eastAsiaTheme="minorEastAsia"/>
          <w:sz w:val="24"/>
          <w:szCs w:val="22"/>
          <w:lang w:val="en-US" w:eastAsia="zh-CN"/>
        </w:rPr>
      </w:pPr>
      <w:r>
        <w:rPr>
          <w:rFonts w:hint="eastAsia" w:ascii="宋体" w:hAnsi="宋体"/>
          <w:sz w:val="24"/>
          <w:szCs w:val="22"/>
          <w:lang w:val="en-US" w:eastAsia="zh-CN"/>
        </w:rPr>
        <w:t>6）</w:t>
      </w:r>
      <w:r>
        <w:rPr>
          <w:rFonts w:hint="eastAsia" w:ascii="宋体" w:hAnsi="宋体" w:eastAsiaTheme="minorEastAsia"/>
          <w:sz w:val="24"/>
          <w:szCs w:val="22"/>
          <w:lang w:val="en-US" w:eastAsia="zh-CN"/>
        </w:rPr>
        <w:t>承保理赔方案</w:t>
      </w:r>
    </w:p>
    <w:p w14:paraId="256CBD8B">
      <w:pPr>
        <w:snapToGrid w:val="0"/>
        <w:spacing w:line="360" w:lineRule="auto"/>
        <w:ind w:firstLine="480"/>
        <w:rPr>
          <w:rFonts w:hint="eastAsia" w:ascii="宋体" w:hAnsi="宋体"/>
          <w:sz w:val="24"/>
        </w:rPr>
      </w:pPr>
      <w:r>
        <w:rPr>
          <w:rFonts w:hint="eastAsia" w:ascii="宋体" w:hAnsi="宋体"/>
          <w:sz w:val="24"/>
          <w:lang w:val="en-US" w:eastAsia="zh-CN"/>
        </w:rPr>
        <w:t>7）</w:t>
      </w:r>
      <w:r>
        <w:rPr>
          <w:rFonts w:hint="eastAsia" w:ascii="宋体" w:hAnsi="宋体"/>
          <w:sz w:val="24"/>
        </w:rPr>
        <w:t>服务创新方案</w:t>
      </w:r>
    </w:p>
    <w:p w14:paraId="7970A862">
      <w:pPr>
        <w:snapToGrid w:val="0"/>
        <w:spacing w:line="360" w:lineRule="auto"/>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）其他。</w:t>
      </w:r>
    </w:p>
    <w:p w14:paraId="71F8AA64">
      <w:pPr>
        <w:snapToGrid w:val="0"/>
        <w:spacing w:line="360" w:lineRule="auto"/>
        <w:ind w:firstLine="480" w:firstLineChars="200"/>
        <w:rPr>
          <w:rFonts w:ascii="宋体" w:hAnsi="宋体"/>
          <w:sz w:val="24"/>
        </w:rPr>
      </w:pPr>
      <w:r>
        <w:rPr>
          <w:rFonts w:hint="eastAsia" w:ascii="宋体" w:hAnsi="宋体"/>
          <w:sz w:val="24"/>
        </w:rPr>
        <w:t>5、其他评审相关材料：</w:t>
      </w:r>
    </w:p>
    <w:p w14:paraId="6BADA2A8">
      <w:pPr>
        <w:snapToGrid w:val="0"/>
        <w:spacing w:line="360" w:lineRule="auto"/>
        <w:ind w:firstLine="480" w:firstLineChars="200"/>
        <w:rPr>
          <w:rFonts w:ascii="宋体" w:hAnsi="宋体"/>
          <w:sz w:val="24"/>
        </w:rPr>
      </w:pPr>
      <w:r>
        <w:rPr>
          <w:rFonts w:hint="eastAsia" w:ascii="宋体" w:hAnsi="宋体"/>
          <w:sz w:val="24"/>
        </w:rPr>
        <w:t>1）供应商依据评分办法应提交的各类证明资料，</w:t>
      </w:r>
      <w:r>
        <w:rPr>
          <w:rFonts w:hint="eastAsia" w:ascii="宋体" w:hAnsi="宋体"/>
          <w:b/>
          <w:bCs/>
          <w:sz w:val="24"/>
        </w:rPr>
        <w:t>过时不予接收，未提供的</w:t>
      </w:r>
      <w:r>
        <w:rPr>
          <w:rFonts w:hint="eastAsia" w:ascii="宋体" w:hAnsi="宋体"/>
          <w:b/>
          <w:sz w:val="24"/>
        </w:rPr>
        <w:t>评审中将不予计分；</w:t>
      </w:r>
    </w:p>
    <w:p w14:paraId="7F45E942">
      <w:pPr>
        <w:snapToGrid w:val="0"/>
        <w:spacing w:line="360" w:lineRule="auto"/>
        <w:ind w:firstLine="480" w:firstLineChars="200"/>
        <w:rPr>
          <w:rFonts w:ascii="宋体" w:hAnsi="宋体"/>
          <w:sz w:val="24"/>
        </w:rPr>
      </w:pPr>
      <w:r>
        <w:rPr>
          <w:rFonts w:hint="eastAsia" w:ascii="宋体" w:hAnsi="宋体"/>
          <w:sz w:val="24"/>
        </w:rPr>
        <w:t>2）典型项目合同；</w:t>
      </w:r>
    </w:p>
    <w:p w14:paraId="3AE8F2AA">
      <w:pPr>
        <w:snapToGrid w:val="0"/>
        <w:spacing w:line="360" w:lineRule="auto"/>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）供应商相关荣誉证明资料；</w:t>
      </w:r>
    </w:p>
    <w:p w14:paraId="15B2386E">
      <w:pPr>
        <w:snapToGrid w:val="0"/>
        <w:spacing w:line="360" w:lineRule="auto"/>
        <w:ind w:firstLine="480" w:firstLineChars="200"/>
        <w:rPr>
          <w:rFonts w:ascii="宋体" w:hAnsi="宋体"/>
          <w:color w:val="FF0000"/>
          <w:sz w:val="24"/>
        </w:rPr>
      </w:pPr>
      <w:r>
        <w:rPr>
          <w:rFonts w:hint="eastAsia" w:ascii="宋体" w:hAnsi="宋体"/>
          <w:sz w:val="24"/>
          <w:lang w:val="en-US" w:eastAsia="zh-CN"/>
        </w:rPr>
        <w:t>4</w:t>
      </w:r>
      <w:r>
        <w:rPr>
          <w:rFonts w:hint="eastAsia" w:ascii="宋体" w:hAnsi="宋体"/>
          <w:sz w:val="24"/>
        </w:rPr>
        <w:t>）其他相关材料。</w:t>
      </w:r>
    </w:p>
    <w:p w14:paraId="712B912D">
      <w:pPr>
        <w:snapToGrid w:val="0"/>
        <w:spacing w:line="360" w:lineRule="auto"/>
        <w:ind w:firstLine="480" w:firstLineChars="200"/>
        <w:rPr>
          <w:rFonts w:ascii="宋体" w:hAnsi="宋体"/>
          <w:sz w:val="24"/>
        </w:rPr>
      </w:pPr>
    </w:p>
    <w:p w14:paraId="2F6D548C">
      <w:pPr>
        <w:snapToGrid w:val="0"/>
        <w:spacing w:line="360" w:lineRule="auto"/>
        <w:ind w:firstLine="482" w:firstLineChars="200"/>
        <w:rPr>
          <w:rFonts w:ascii="宋体" w:hAnsi="宋体"/>
          <w:b/>
          <w:sz w:val="24"/>
        </w:rPr>
      </w:pPr>
      <w:bookmarkStart w:id="10" w:name="_Toc288738800"/>
      <w:bookmarkStart w:id="11" w:name="_Toc288738406"/>
      <w:bookmarkStart w:id="12" w:name="_Toc288738332"/>
      <w:r>
        <w:rPr>
          <w:rFonts w:hint="eastAsia" w:ascii="宋体" w:hAnsi="宋体"/>
          <w:b/>
          <w:sz w:val="24"/>
        </w:rPr>
        <w:t>七、供应商应认真检查遴选文件的内容是否齐全，如有遗漏，应及时向遴选人索取，否则责任自负。</w:t>
      </w:r>
      <w:bookmarkEnd w:id="10"/>
      <w:bookmarkEnd w:id="11"/>
      <w:bookmarkEnd w:id="12"/>
      <w:bookmarkStart w:id="13" w:name="_Toc288738801"/>
      <w:bookmarkStart w:id="14" w:name="_Toc288738333"/>
      <w:bookmarkStart w:id="15" w:name="_Toc288738407"/>
    </w:p>
    <w:p w14:paraId="1051599A">
      <w:pPr>
        <w:snapToGrid w:val="0"/>
        <w:spacing w:line="360" w:lineRule="auto"/>
        <w:ind w:firstLine="482" w:firstLineChars="200"/>
        <w:rPr>
          <w:rFonts w:ascii="宋体" w:hAnsi="宋体"/>
          <w:b/>
          <w:sz w:val="24"/>
        </w:rPr>
      </w:pPr>
      <w:r>
        <w:rPr>
          <w:rFonts w:hint="eastAsia" w:ascii="宋体" w:hAnsi="宋体"/>
          <w:b/>
          <w:sz w:val="24"/>
        </w:rPr>
        <w:t>八、响应文件的制作应当符合以下要求</w:t>
      </w:r>
      <w:bookmarkEnd w:id="13"/>
      <w:bookmarkEnd w:id="14"/>
      <w:bookmarkEnd w:id="15"/>
      <w:r>
        <w:rPr>
          <w:rFonts w:hint="eastAsia" w:ascii="宋体" w:hAnsi="宋体"/>
          <w:b/>
          <w:sz w:val="24"/>
        </w:rPr>
        <w:t>，否则作为无效响应文件</w:t>
      </w:r>
    </w:p>
    <w:p w14:paraId="1BE71B26">
      <w:pPr>
        <w:snapToGrid w:val="0"/>
        <w:spacing w:line="360" w:lineRule="auto"/>
        <w:ind w:firstLine="480" w:firstLineChars="200"/>
        <w:rPr>
          <w:rFonts w:ascii="宋体" w:hAnsi="宋体"/>
          <w:sz w:val="24"/>
        </w:rPr>
      </w:pPr>
      <w:r>
        <w:rPr>
          <w:rFonts w:hint="eastAsia" w:ascii="宋体" w:hAnsi="宋体"/>
          <w:sz w:val="24"/>
        </w:rPr>
        <w:t>1、供应商应在每一份纸质响应文件上要明确注明“正本”或“副本”字样。一旦正本和副本内容有差异，以正本为准。</w:t>
      </w:r>
    </w:p>
    <w:p w14:paraId="0C094F1C">
      <w:pPr>
        <w:snapToGrid w:val="0"/>
        <w:spacing w:line="360" w:lineRule="auto"/>
        <w:ind w:firstLine="480" w:firstLineChars="200"/>
        <w:rPr>
          <w:rFonts w:ascii="宋体" w:hAnsi="宋体"/>
          <w:sz w:val="24"/>
        </w:rPr>
      </w:pPr>
      <w:r>
        <w:rPr>
          <w:rFonts w:hint="eastAsia" w:ascii="宋体" w:hAnsi="宋体"/>
          <w:sz w:val="24"/>
        </w:rPr>
        <w:t>2、纸质响应文件正本、副本必须全部是打印件（签字除外）。供应商应按照要求，在正本规定的地方加盖单位公章以及供应商法定代表人（或其委托代理人）签字。副本可通过正本复印。</w:t>
      </w:r>
    </w:p>
    <w:p w14:paraId="5C2C9187">
      <w:pPr>
        <w:snapToGrid w:val="0"/>
        <w:spacing w:line="360" w:lineRule="auto"/>
        <w:ind w:firstLine="480" w:firstLineChars="200"/>
        <w:rPr>
          <w:rFonts w:ascii="宋体" w:hAnsi="宋体"/>
          <w:sz w:val="24"/>
        </w:rPr>
      </w:pPr>
      <w:r>
        <w:rPr>
          <w:rFonts w:hint="eastAsia" w:ascii="宋体" w:hAnsi="宋体"/>
          <w:sz w:val="24"/>
        </w:rPr>
        <w:t>3、全套响应文件应无修改和行间插字。</w:t>
      </w:r>
    </w:p>
    <w:p w14:paraId="34D7D643">
      <w:pPr>
        <w:snapToGrid w:val="0"/>
        <w:spacing w:line="360" w:lineRule="auto"/>
        <w:ind w:firstLine="480" w:firstLineChars="200"/>
        <w:rPr>
          <w:rFonts w:ascii="宋体" w:hAnsi="宋体"/>
          <w:sz w:val="24"/>
        </w:rPr>
      </w:pPr>
      <w:r>
        <w:rPr>
          <w:rFonts w:hint="eastAsia" w:ascii="宋体" w:hAnsi="宋体"/>
          <w:sz w:val="24"/>
        </w:rPr>
        <w:t>4、响应报价清晰准确，不存在影响其他供应商评分的严重错误。</w:t>
      </w:r>
    </w:p>
    <w:p w14:paraId="5743A998">
      <w:pPr>
        <w:snapToGrid w:val="0"/>
        <w:spacing w:line="360" w:lineRule="auto"/>
        <w:ind w:firstLine="480" w:firstLineChars="200"/>
        <w:rPr>
          <w:rFonts w:ascii="宋体" w:hAnsi="宋体"/>
          <w:sz w:val="24"/>
        </w:rPr>
      </w:pPr>
      <w:r>
        <w:rPr>
          <w:rFonts w:hint="eastAsia" w:ascii="宋体" w:hAnsi="宋体"/>
          <w:sz w:val="24"/>
        </w:rPr>
        <w:t> </w:t>
      </w:r>
    </w:p>
    <w:p w14:paraId="59CE2394">
      <w:pPr>
        <w:snapToGrid w:val="0"/>
        <w:spacing w:line="360" w:lineRule="auto"/>
        <w:ind w:firstLine="482" w:firstLineChars="200"/>
        <w:rPr>
          <w:rFonts w:ascii="宋体" w:hAnsi="宋体"/>
          <w:b/>
          <w:sz w:val="24"/>
        </w:rPr>
      </w:pPr>
      <w:bookmarkStart w:id="16" w:name="_Toc288738334"/>
      <w:bookmarkStart w:id="17" w:name="_Toc288738408"/>
      <w:bookmarkStart w:id="18" w:name="_Toc288738802"/>
      <w:r>
        <w:rPr>
          <w:rFonts w:hint="eastAsia" w:ascii="宋体" w:hAnsi="宋体"/>
          <w:b/>
          <w:sz w:val="24"/>
        </w:rPr>
        <w:t>九、在提交响应文件截止时间之前的密封完好的响应文件均为可以接受。</w:t>
      </w:r>
      <w:bookmarkEnd w:id="16"/>
      <w:bookmarkEnd w:id="17"/>
      <w:bookmarkEnd w:id="18"/>
    </w:p>
    <w:p w14:paraId="5437CC2A">
      <w:pPr>
        <w:snapToGrid w:val="0"/>
        <w:spacing w:line="360" w:lineRule="auto"/>
        <w:ind w:firstLine="480" w:firstLineChars="200"/>
        <w:rPr>
          <w:rFonts w:ascii="宋体" w:hAnsi="宋体"/>
          <w:sz w:val="24"/>
        </w:rPr>
      </w:pPr>
    </w:p>
    <w:p w14:paraId="7BA05A92">
      <w:pPr>
        <w:snapToGrid w:val="0"/>
        <w:spacing w:line="360" w:lineRule="auto"/>
        <w:ind w:firstLine="482" w:firstLineChars="200"/>
        <w:rPr>
          <w:rFonts w:ascii="宋体" w:hAnsi="宋体"/>
          <w:b/>
          <w:sz w:val="24"/>
        </w:rPr>
      </w:pPr>
      <w:bookmarkStart w:id="19" w:name="_Toc288738409"/>
      <w:bookmarkStart w:id="20" w:name="_Toc288738335"/>
      <w:bookmarkStart w:id="21" w:name="_Toc288738803"/>
      <w:r>
        <w:rPr>
          <w:rFonts w:hint="eastAsia" w:ascii="宋体" w:hAnsi="宋体"/>
          <w:b/>
          <w:sz w:val="24"/>
        </w:rPr>
        <w:t>十、响应保证金</w:t>
      </w:r>
      <w:bookmarkEnd w:id="19"/>
      <w:bookmarkEnd w:id="20"/>
      <w:bookmarkEnd w:id="21"/>
    </w:p>
    <w:p w14:paraId="51BF81C8">
      <w:pPr>
        <w:snapToGrid w:val="0"/>
        <w:spacing w:line="360" w:lineRule="auto"/>
        <w:ind w:firstLine="480" w:firstLineChars="200"/>
        <w:rPr>
          <w:rFonts w:ascii="宋体" w:hAnsi="宋体"/>
          <w:sz w:val="24"/>
        </w:rPr>
      </w:pPr>
      <w:r>
        <w:rPr>
          <w:rFonts w:hint="eastAsia" w:ascii="宋体" w:hAnsi="宋体"/>
          <w:sz w:val="24"/>
        </w:rPr>
        <w:t>免收。</w:t>
      </w:r>
    </w:p>
    <w:p w14:paraId="3AE2C17B">
      <w:pPr>
        <w:pStyle w:val="3"/>
        <w:keepNext w:val="0"/>
        <w:snapToGrid w:val="0"/>
        <w:spacing w:line="360" w:lineRule="auto"/>
        <w:ind w:left="0" w:firstLine="0"/>
        <w:rPr>
          <w:rFonts w:ascii="黑体" w:hAnsi="黑体" w:cs="黑体"/>
          <w:b w:val="0"/>
          <w:bCs/>
          <w:snapToGrid w:val="0"/>
          <w:spacing w:val="-6"/>
          <w:szCs w:val="44"/>
        </w:rPr>
      </w:pPr>
      <w:bookmarkStart w:id="22" w:name="_Toc179815309"/>
      <w:r>
        <w:rPr>
          <w:rFonts w:hint="eastAsia" w:ascii="黑体" w:hAnsi="黑体" w:cs="黑体"/>
          <w:b w:val="0"/>
          <w:bCs/>
          <w:snapToGrid w:val="0"/>
          <w:spacing w:val="-6"/>
          <w:szCs w:val="44"/>
        </w:rPr>
        <w:t>第三章 响应文件密封和提交</w:t>
      </w:r>
      <w:bookmarkEnd w:id="22"/>
    </w:p>
    <w:p w14:paraId="28254DC6">
      <w:pPr>
        <w:snapToGrid w:val="0"/>
        <w:spacing w:line="360" w:lineRule="auto"/>
        <w:ind w:firstLine="482" w:firstLineChars="200"/>
        <w:rPr>
          <w:rFonts w:ascii="宋体" w:hAnsi="宋体"/>
          <w:b/>
          <w:sz w:val="24"/>
        </w:rPr>
      </w:pPr>
      <w:bookmarkStart w:id="23" w:name="_Toc288738411"/>
      <w:bookmarkStart w:id="24" w:name="_Toc288738337"/>
      <w:bookmarkStart w:id="25" w:name="_Toc288738805"/>
      <w:r>
        <w:rPr>
          <w:rFonts w:hint="eastAsia" w:ascii="宋体" w:hAnsi="宋体"/>
          <w:b/>
          <w:sz w:val="24"/>
        </w:rPr>
        <w:t>十一、响应文件的密封与标志</w:t>
      </w:r>
      <w:bookmarkEnd w:id="23"/>
      <w:bookmarkEnd w:id="24"/>
      <w:bookmarkEnd w:id="25"/>
    </w:p>
    <w:p w14:paraId="3A256059">
      <w:pPr>
        <w:snapToGrid w:val="0"/>
        <w:spacing w:line="360" w:lineRule="auto"/>
        <w:ind w:firstLine="480" w:firstLineChars="200"/>
        <w:rPr>
          <w:rFonts w:ascii="宋体" w:hAnsi="宋体"/>
          <w:sz w:val="24"/>
        </w:rPr>
      </w:pPr>
      <w:r>
        <w:rPr>
          <w:rFonts w:hint="eastAsia" w:ascii="宋体" w:hAnsi="宋体"/>
          <w:sz w:val="24"/>
        </w:rPr>
        <w:t>1、供应商应将响应文件密封。</w:t>
      </w:r>
    </w:p>
    <w:p w14:paraId="46EE11BF">
      <w:pPr>
        <w:snapToGrid w:val="0"/>
        <w:spacing w:line="360" w:lineRule="auto"/>
        <w:ind w:firstLine="480" w:firstLineChars="200"/>
        <w:rPr>
          <w:rFonts w:ascii="宋体" w:hAnsi="宋体"/>
          <w:sz w:val="24"/>
        </w:rPr>
      </w:pPr>
      <w:r>
        <w:rPr>
          <w:rFonts w:hint="eastAsia" w:ascii="宋体" w:hAnsi="宋体"/>
          <w:sz w:val="24"/>
        </w:rPr>
        <w:t>2、所有封袋上都应写明供应商名称、遴选项目名称，遴选项目编号，年月日，加盖供应商公章。</w:t>
      </w:r>
    </w:p>
    <w:p w14:paraId="362B96F1">
      <w:pPr>
        <w:snapToGrid w:val="0"/>
        <w:spacing w:line="360" w:lineRule="auto"/>
        <w:ind w:firstLine="480" w:firstLineChars="200"/>
        <w:rPr>
          <w:rFonts w:ascii="宋体" w:hAnsi="宋体"/>
          <w:sz w:val="24"/>
        </w:rPr>
      </w:pPr>
      <w:r>
        <w:rPr>
          <w:rFonts w:hint="eastAsia" w:ascii="宋体" w:hAnsi="宋体"/>
          <w:sz w:val="24"/>
        </w:rPr>
        <w:t>3、供应商违反上述规定的，其响应文件将被作为无效响应文件，不予拆封和参加评审。</w:t>
      </w:r>
    </w:p>
    <w:p w14:paraId="414A6B20">
      <w:pPr>
        <w:snapToGrid w:val="0"/>
        <w:spacing w:line="360" w:lineRule="auto"/>
        <w:ind w:firstLine="480" w:firstLineChars="200"/>
        <w:rPr>
          <w:rFonts w:ascii="宋体" w:hAnsi="宋体"/>
          <w:sz w:val="24"/>
        </w:rPr>
      </w:pPr>
    </w:p>
    <w:p w14:paraId="5EFC80B7">
      <w:pPr>
        <w:snapToGrid w:val="0"/>
        <w:spacing w:line="360" w:lineRule="auto"/>
        <w:ind w:firstLine="482" w:firstLineChars="200"/>
        <w:rPr>
          <w:rFonts w:ascii="宋体" w:hAnsi="宋体"/>
          <w:b/>
          <w:sz w:val="24"/>
        </w:rPr>
      </w:pPr>
      <w:bookmarkStart w:id="26" w:name="_Toc288738412"/>
      <w:bookmarkStart w:id="27" w:name="_Toc288738806"/>
      <w:bookmarkStart w:id="28" w:name="_Toc288738338"/>
      <w:r>
        <w:rPr>
          <w:rFonts w:hint="eastAsia" w:ascii="宋体" w:hAnsi="宋体"/>
          <w:b/>
          <w:sz w:val="24"/>
        </w:rPr>
        <w:t>十二、响应文件提交，截止时间和地</w:t>
      </w:r>
      <w:bookmarkEnd w:id="26"/>
      <w:bookmarkEnd w:id="27"/>
      <w:bookmarkEnd w:id="28"/>
      <w:r>
        <w:rPr>
          <w:rFonts w:hint="eastAsia" w:ascii="宋体" w:hAnsi="宋体"/>
          <w:b/>
          <w:sz w:val="24"/>
        </w:rPr>
        <w:t>点</w:t>
      </w:r>
    </w:p>
    <w:p w14:paraId="17E2E15F">
      <w:pPr>
        <w:snapToGrid w:val="0"/>
        <w:spacing w:line="360" w:lineRule="auto"/>
        <w:ind w:firstLine="480" w:firstLineChars="200"/>
        <w:rPr>
          <w:rFonts w:ascii="宋体" w:hAnsi="宋体"/>
          <w:sz w:val="24"/>
        </w:rPr>
      </w:pPr>
      <w:r>
        <w:rPr>
          <w:rFonts w:hint="eastAsia" w:ascii="宋体" w:hAnsi="宋体"/>
          <w:sz w:val="24"/>
        </w:rPr>
        <w:t>供应商须在遴选公告规定的响应文件提交截止时间之前在指定地点将纸质响应文件提交给遴选人。</w:t>
      </w:r>
    </w:p>
    <w:p w14:paraId="75ECBAC5">
      <w:pPr>
        <w:snapToGrid w:val="0"/>
        <w:spacing w:line="360" w:lineRule="auto"/>
        <w:ind w:firstLine="490" w:firstLineChars="200"/>
        <w:rPr>
          <w:rFonts w:ascii="宋体" w:hAnsi="宋体"/>
          <w:b/>
          <w:spacing w:val="2"/>
          <w:sz w:val="24"/>
        </w:rPr>
      </w:pPr>
      <w:r>
        <w:rPr>
          <w:rFonts w:hint="eastAsia" w:ascii="宋体" w:hAnsi="宋体"/>
          <w:b/>
          <w:spacing w:val="2"/>
          <w:sz w:val="24"/>
        </w:rPr>
        <w:t>供应商在提交响应文件时须提供法定代表人或代理人身份证原件，未提供的，遴选人不接受其响应文件，不予参加开标和评审。</w:t>
      </w:r>
    </w:p>
    <w:p w14:paraId="15C61FCA">
      <w:pPr>
        <w:snapToGrid w:val="0"/>
        <w:spacing w:line="360" w:lineRule="auto"/>
        <w:ind w:firstLine="480" w:firstLineChars="200"/>
        <w:rPr>
          <w:rFonts w:ascii="宋体" w:hAnsi="宋体"/>
          <w:sz w:val="24"/>
        </w:rPr>
      </w:pPr>
    </w:p>
    <w:p w14:paraId="6CBE448C">
      <w:pPr>
        <w:snapToGrid w:val="0"/>
        <w:spacing w:line="360" w:lineRule="auto"/>
        <w:ind w:firstLine="482" w:firstLineChars="200"/>
        <w:rPr>
          <w:rFonts w:ascii="宋体" w:hAnsi="宋体"/>
          <w:b/>
          <w:sz w:val="24"/>
        </w:rPr>
      </w:pPr>
      <w:bookmarkStart w:id="29" w:name="_Toc288738339"/>
      <w:bookmarkStart w:id="30" w:name="_Toc288738807"/>
      <w:bookmarkStart w:id="31" w:name="_Toc288738413"/>
      <w:r>
        <w:rPr>
          <w:rFonts w:hint="eastAsia" w:ascii="宋体" w:hAnsi="宋体"/>
          <w:b/>
          <w:sz w:val="24"/>
        </w:rPr>
        <w:t>十三、响应文件的修改和撤回</w:t>
      </w:r>
      <w:bookmarkEnd w:id="29"/>
      <w:bookmarkEnd w:id="30"/>
      <w:bookmarkEnd w:id="31"/>
    </w:p>
    <w:p w14:paraId="5A58A997">
      <w:pPr>
        <w:adjustRightInd w:val="0"/>
        <w:snapToGrid w:val="0"/>
        <w:spacing w:line="360" w:lineRule="auto"/>
        <w:ind w:firstLine="480" w:firstLineChars="200"/>
        <w:rPr>
          <w:rFonts w:ascii="宋体" w:hAnsi="宋体"/>
          <w:sz w:val="24"/>
        </w:rPr>
      </w:pPr>
      <w:r>
        <w:rPr>
          <w:rFonts w:hint="eastAsia" w:ascii="宋体" w:hAnsi="宋体"/>
          <w:sz w:val="24"/>
        </w:rPr>
        <w:t>在提交响应文件截止时间之前，供应商可以对所提交的响应文件进行补充、修改和撤回，并书面通知遴选人。所提交的补充、修改的内容应当按遴选文件的要求进行编制、签署、密封、盖章、标志（在包封上标明“修改”或“补充”字样，并注明修改或补充的时间）和提交，并作为响应文件的组成部分。补充、修改的内容与响应文件不一致的，以补充、修改的内容为准。提交响应文件截止时间之后，供应商不得补充、修改或撤回响应文件。</w:t>
      </w:r>
    </w:p>
    <w:p w14:paraId="166EF414">
      <w:pPr>
        <w:snapToGrid w:val="0"/>
        <w:spacing w:line="360" w:lineRule="auto"/>
      </w:pPr>
    </w:p>
    <w:p w14:paraId="39965E29">
      <w:pPr>
        <w:pStyle w:val="3"/>
        <w:keepNext w:val="0"/>
        <w:snapToGrid w:val="0"/>
        <w:spacing w:line="360" w:lineRule="auto"/>
        <w:ind w:left="0" w:firstLine="0"/>
        <w:rPr>
          <w:rFonts w:ascii="黑体" w:hAnsi="黑体" w:cs="黑体"/>
          <w:b w:val="0"/>
          <w:bCs/>
          <w:szCs w:val="44"/>
        </w:rPr>
      </w:pPr>
      <w:bookmarkStart w:id="32" w:name="_Toc179815310"/>
      <w:r>
        <w:rPr>
          <w:rFonts w:hint="eastAsia" w:ascii="黑体" w:hAnsi="黑体" w:cs="黑体"/>
          <w:b w:val="0"/>
          <w:bCs/>
          <w:szCs w:val="44"/>
        </w:rPr>
        <w:t>第四章 响应报价</w:t>
      </w:r>
      <w:bookmarkEnd w:id="32"/>
    </w:p>
    <w:p w14:paraId="58A71BE4">
      <w:pPr>
        <w:snapToGrid w:val="0"/>
        <w:spacing w:line="360" w:lineRule="auto"/>
        <w:ind w:firstLine="482" w:firstLineChars="200"/>
        <w:rPr>
          <w:rFonts w:ascii="宋体" w:hAnsi="宋体"/>
          <w:b/>
          <w:sz w:val="24"/>
        </w:rPr>
      </w:pPr>
      <w:bookmarkStart w:id="33" w:name="_Toc288738415"/>
      <w:bookmarkStart w:id="34" w:name="_Toc288738809"/>
      <w:bookmarkStart w:id="35" w:name="_Toc288738341"/>
      <w:r>
        <w:rPr>
          <w:rFonts w:hint="eastAsia" w:ascii="宋体" w:hAnsi="宋体"/>
          <w:b/>
          <w:sz w:val="24"/>
        </w:rPr>
        <w:t>十四、响应总价应包括遴选文件所确定的</w:t>
      </w:r>
      <w:bookmarkEnd w:id="33"/>
      <w:bookmarkEnd w:id="34"/>
      <w:bookmarkEnd w:id="35"/>
      <w:r>
        <w:rPr>
          <w:rFonts w:hint="eastAsia" w:ascii="宋体" w:hAnsi="宋体"/>
          <w:b/>
          <w:sz w:val="24"/>
        </w:rPr>
        <w:t>遴选范围内所有服务内容以及相应的管理、劳务、培训、必须的备件和工具、运送工具及耗材、利润、风险、税金及政策性文件规定等所有费用，以及为完成该项目所涉及到的一切其他相关费用。</w:t>
      </w:r>
    </w:p>
    <w:p w14:paraId="1DE5E13B">
      <w:pPr>
        <w:snapToGrid w:val="0"/>
        <w:spacing w:line="360" w:lineRule="auto"/>
        <w:ind w:firstLine="480" w:firstLineChars="200"/>
        <w:rPr>
          <w:rFonts w:ascii="宋体" w:hAnsi="宋体"/>
          <w:sz w:val="24"/>
        </w:rPr>
      </w:pPr>
      <w:r>
        <w:rPr>
          <w:rFonts w:hint="eastAsia" w:ascii="宋体" w:hAnsi="宋体"/>
          <w:sz w:val="24"/>
        </w:rPr>
        <w:t> </w:t>
      </w:r>
    </w:p>
    <w:p w14:paraId="16FE6163">
      <w:pPr>
        <w:snapToGrid w:val="0"/>
        <w:spacing w:line="360" w:lineRule="auto"/>
        <w:ind w:firstLine="482" w:firstLineChars="200"/>
        <w:rPr>
          <w:rFonts w:ascii="宋体" w:hAnsi="宋体"/>
          <w:b/>
          <w:sz w:val="24"/>
        </w:rPr>
      </w:pPr>
      <w:bookmarkStart w:id="36" w:name="_Toc288738416"/>
      <w:bookmarkStart w:id="37" w:name="_Toc288738342"/>
      <w:bookmarkStart w:id="38" w:name="_Toc288738810"/>
      <w:r>
        <w:rPr>
          <w:rFonts w:hint="eastAsia" w:ascii="宋体" w:hAnsi="宋体"/>
          <w:b/>
          <w:sz w:val="24"/>
        </w:rPr>
        <w:t>十五、响应报价方式</w:t>
      </w:r>
      <w:bookmarkEnd w:id="36"/>
      <w:bookmarkEnd w:id="37"/>
      <w:bookmarkEnd w:id="38"/>
    </w:p>
    <w:p w14:paraId="513120C9">
      <w:pPr>
        <w:snapToGrid w:val="0"/>
        <w:spacing w:line="360" w:lineRule="auto"/>
        <w:ind w:firstLine="482" w:firstLineChars="200"/>
        <w:rPr>
          <w:rFonts w:hint="eastAsia" w:ascii="宋体" w:hAnsi="宋体"/>
          <w:b/>
          <w:bCs w:val="0"/>
          <w:sz w:val="24"/>
        </w:rPr>
      </w:pPr>
      <w:r>
        <w:rPr>
          <w:rFonts w:hint="eastAsia" w:ascii="宋体" w:hAnsi="宋体"/>
          <w:b/>
          <w:bCs w:val="0"/>
          <w:sz w:val="24"/>
        </w:rPr>
        <w:t>本项目属于执行国家统一定价标准，采用固定价格采购的项目，</w:t>
      </w:r>
      <w:r>
        <w:rPr>
          <w:rFonts w:hint="eastAsia" w:ascii="宋体" w:hAnsi="宋体"/>
          <w:b/>
          <w:sz w:val="24"/>
        </w:rPr>
        <w:t>保费标准按国家有关规定执行，不作为评选依据。</w:t>
      </w:r>
      <w:r>
        <w:rPr>
          <w:rFonts w:hint="eastAsia" w:ascii="宋体" w:hAnsi="宋体"/>
          <w:b/>
          <w:bCs w:val="0"/>
          <w:sz w:val="24"/>
        </w:rPr>
        <w:t>供应商无需报价，参与项目响应的即表明承诺遵守相关规定。</w:t>
      </w:r>
    </w:p>
    <w:p w14:paraId="0304C93A">
      <w:pPr>
        <w:snapToGrid w:val="0"/>
        <w:spacing w:line="360" w:lineRule="auto"/>
      </w:pPr>
    </w:p>
    <w:p w14:paraId="69A85B15">
      <w:pPr>
        <w:pStyle w:val="3"/>
        <w:keepNext w:val="0"/>
        <w:snapToGrid w:val="0"/>
        <w:spacing w:line="360" w:lineRule="auto"/>
        <w:ind w:left="0" w:firstLine="0"/>
        <w:rPr>
          <w:rFonts w:ascii="黑体" w:hAnsi="黑体" w:cs="黑体"/>
          <w:b w:val="0"/>
          <w:bCs/>
          <w:szCs w:val="44"/>
        </w:rPr>
      </w:pPr>
      <w:bookmarkStart w:id="39" w:name="_Toc179815311"/>
      <w:r>
        <w:rPr>
          <w:rFonts w:hint="eastAsia" w:ascii="黑体" w:hAnsi="黑体" w:cs="黑体"/>
          <w:b w:val="0"/>
          <w:bCs/>
          <w:szCs w:val="44"/>
        </w:rPr>
        <w:t>第五章 开标、评审、</w:t>
      </w:r>
      <w:bookmarkEnd w:id="39"/>
      <w:r>
        <w:rPr>
          <w:rFonts w:hint="eastAsia" w:ascii="黑体" w:hAnsi="黑体" w:cs="黑体"/>
          <w:b w:val="0"/>
          <w:bCs/>
          <w:szCs w:val="44"/>
        </w:rPr>
        <w:t>确定成交人</w:t>
      </w:r>
    </w:p>
    <w:p w14:paraId="7ABB2A7D">
      <w:pPr>
        <w:snapToGrid w:val="0"/>
        <w:spacing w:line="360" w:lineRule="auto"/>
        <w:ind w:firstLine="482" w:firstLineChars="200"/>
        <w:rPr>
          <w:rFonts w:ascii="宋体" w:hAnsi="宋体" w:cs="宋体"/>
          <w:b/>
          <w:sz w:val="24"/>
        </w:rPr>
      </w:pPr>
      <w:bookmarkStart w:id="40" w:name="_Toc288738344"/>
      <w:bookmarkStart w:id="41" w:name="_Toc288738418"/>
      <w:bookmarkStart w:id="42" w:name="_Toc288738812"/>
      <w:r>
        <w:rPr>
          <w:rFonts w:hint="eastAsia" w:ascii="宋体" w:hAnsi="宋体" w:cs="宋体"/>
          <w:b/>
          <w:sz w:val="24"/>
        </w:rPr>
        <w:t>十六、答疑，开标会议时间和地点</w:t>
      </w:r>
      <w:bookmarkEnd w:id="40"/>
      <w:bookmarkEnd w:id="41"/>
      <w:bookmarkEnd w:id="42"/>
    </w:p>
    <w:p w14:paraId="795A09E6">
      <w:pPr>
        <w:snapToGrid w:val="0"/>
        <w:spacing w:line="360" w:lineRule="auto"/>
        <w:ind w:firstLine="480" w:firstLineChars="200"/>
        <w:rPr>
          <w:rFonts w:ascii="宋体" w:hAnsi="宋体" w:cs="宋体"/>
          <w:sz w:val="24"/>
        </w:rPr>
      </w:pPr>
      <w:r>
        <w:rPr>
          <w:rFonts w:hint="eastAsia" w:ascii="宋体" w:hAnsi="宋体" w:cs="宋体"/>
          <w:sz w:val="24"/>
        </w:rPr>
        <w:t>详见遴选公告或前附表。</w:t>
      </w:r>
    </w:p>
    <w:p w14:paraId="0E3AAC93">
      <w:pPr>
        <w:snapToGrid w:val="0"/>
        <w:spacing w:line="360" w:lineRule="auto"/>
        <w:ind w:firstLine="480" w:firstLineChars="200"/>
        <w:rPr>
          <w:rFonts w:ascii="宋体" w:hAnsi="宋体" w:cs="宋体"/>
          <w:sz w:val="24"/>
        </w:rPr>
      </w:pPr>
    </w:p>
    <w:p w14:paraId="7BFB4C28">
      <w:pPr>
        <w:snapToGrid w:val="0"/>
        <w:spacing w:line="360" w:lineRule="auto"/>
        <w:ind w:firstLine="482" w:firstLineChars="200"/>
        <w:rPr>
          <w:rFonts w:ascii="宋体" w:hAnsi="宋体" w:cs="宋体"/>
          <w:b/>
          <w:sz w:val="24"/>
        </w:rPr>
      </w:pPr>
      <w:bookmarkStart w:id="43" w:name="_Toc288738419"/>
      <w:bookmarkStart w:id="44" w:name="_Toc288738345"/>
      <w:bookmarkStart w:id="45" w:name="_Toc288738813"/>
      <w:r>
        <w:rPr>
          <w:rFonts w:hint="eastAsia" w:ascii="宋体" w:hAnsi="宋体" w:cs="宋体"/>
          <w:b/>
          <w:sz w:val="24"/>
        </w:rPr>
        <w:t>十七、评审、确定成交人方法</w:t>
      </w:r>
      <w:bookmarkEnd w:id="43"/>
      <w:bookmarkEnd w:id="44"/>
      <w:bookmarkEnd w:id="45"/>
    </w:p>
    <w:p w14:paraId="72A582AE">
      <w:pPr>
        <w:snapToGrid w:val="0"/>
        <w:spacing w:line="360" w:lineRule="auto"/>
        <w:ind w:firstLine="480" w:firstLineChars="200"/>
        <w:rPr>
          <w:rFonts w:ascii="宋体" w:hAnsi="宋体" w:cs="宋体"/>
          <w:sz w:val="24"/>
        </w:rPr>
      </w:pPr>
      <w:bookmarkStart w:id="46" w:name="_Toc288738420"/>
      <w:bookmarkStart w:id="47" w:name="_Toc288738346"/>
      <w:bookmarkStart w:id="48" w:name="_Toc288738814"/>
      <w:r>
        <w:rPr>
          <w:rFonts w:hint="eastAsia" w:ascii="宋体" w:hAnsi="宋体" w:cs="宋体"/>
          <w:sz w:val="24"/>
        </w:rPr>
        <w:t>本项目采用综合评分法，响应文件满足遴选文件全部实质性要求且按照评审因素的量化指标（即评分细则）</w:t>
      </w:r>
      <w:bookmarkStart w:id="49" w:name="OLE_LINK1"/>
      <w:r>
        <w:rPr>
          <w:rFonts w:hint="eastAsia" w:ascii="宋体" w:hAnsi="宋体" w:cs="宋体"/>
          <w:sz w:val="24"/>
        </w:rPr>
        <w:t>得分高低顺序确定入围承保机构和承保区域</w:t>
      </w:r>
      <w:bookmarkEnd w:id="49"/>
      <w:r>
        <w:rPr>
          <w:rFonts w:hint="eastAsia" w:ascii="宋体" w:hAnsi="宋体" w:cs="宋体"/>
          <w:sz w:val="24"/>
        </w:rPr>
        <w:t>。</w:t>
      </w:r>
    </w:p>
    <w:p w14:paraId="529339A2">
      <w:pPr>
        <w:snapToGrid w:val="0"/>
        <w:spacing w:line="360" w:lineRule="auto"/>
        <w:rPr>
          <w:rFonts w:ascii="宋体" w:hAnsi="宋体" w:cs="宋体"/>
          <w:b/>
          <w:sz w:val="24"/>
        </w:rPr>
      </w:pPr>
    </w:p>
    <w:p w14:paraId="7516CF65">
      <w:pPr>
        <w:snapToGrid w:val="0"/>
        <w:spacing w:line="360" w:lineRule="auto"/>
        <w:ind w:firstLine="482" w:firstLineChars="200"/>
        <w:rPr>
          <w:rFonts w:ascii="宋体" w:hAnsi="宋体" w:cs="宋体"/>
          <w:b/>
          <w:sz w:val="24"/>
        </w:rPr>
      </w:pPr>
      <w:r>
        <w:rPr>
          <w:rFonts w:hint="eastAsia" w:ascii="宋体" w:hAnsi="宋体" w:cs="宋体"/>
          <w:b/>
          <w:sz w:val="24"/>
        </w:rPr>
        <w:t>十八、开标会</w:t>
      </w:r>
      <w:bookmarkEnd w:id="46"/>
      <w:bookmarkEnd w:id="47"/>
      <w:bookmarkEnd w:id="48"/>
    </w:p>
    <w:p w14:paraId="071F43D7">
      <w:pPr>
        <w:snapToGrid w:val="0"/>
        <w:spacing w:line="360" w:lineRule="auto"/>
        <w:ind w:firstLine="480" w:firstLineChars="200"/>
        <w:rPr>
          <w:rFonts w:ascii="宋体" w:hAnsi="宋体" w:cs="宋体"/>
          <w:sz w:val="24"/>
        </w:rPr>
      </w:pPr>
      <w:r>
        <w:rPr>
          <w:rFonts w:hint="eastAsia" w:ascii="宋体" w:hAnsi="宋体" w:cs="宋体"/>
          <w:sz w:val="24"/>
        </w:rPr>
        <w:t>开标会议按遴选文件中规定的时间、地点举行，由遴选人主持，邀请供应商参加。供应商参加开标会的应由法定代表人或者其委托代理人携带身份证明原件参加。</w:t>
      </w:r>
    </w:p>
    <w:p w14:paraId="557A432E">
      <w:pPr>
        <w:snapToGrid w:val="0"/>
        <w:spacing w:line="360" w:lineRule="auto"/>
        <w:ind w:firstLine="480" w:firstLineChars="200"/>
        <w:rPr>
          <w:rFonts w:ascii="宋体" w:hAnsi="宋体" w:cs="宋体"/>
          <w:sz w:val="24"/>
        </w:rPr>
      </w:pPr>
    </w:p>
    <w:p w14:paraId="4E701EC4">
      <w:pPr>
        <w:snapToGrid w:val="0"/>
        <w:spacing w:line="360" w:lineRule="auto"/>
        <w:ind w:firstLine="482" w:firstLineChars="200"/>
        <w:rPr>
          <w:rFonts w:ascii="宋体" w:hAnsi="宋体" w:cs="宋体"/>
          <w:sz w:val="24"/>
        </w:rPr>
      </w:pPr>
      <w:bookmarkStart w:id="50" w:name="_Toc288738421"/>
      <w:bookmarkStart w:id="51" w:name="_Toc288738815"/>
      <w:bookmarkStart w:id="52" w:name="_Toc288738347"/>
      <w:bookmarkStart w:id="53" w:name="OLE_LINK32"/>
      <w:bookmarkStart w:id="54" w:name="OLE_LINK33"/>
      <w:r>
        <w:rPr>
          <w:rFonts w:hint="eastAsia" w:ascii="宋体" w:hAnsi="宋体" w:cs="宋体"/>
          <w:b/>
          <w:sz w:val="24"/>
        </w:rPr>
        <w:t>十九、</w:t>
      </w:r>
      <w:bookmarkEnd w:id="50"/>
      <w:bookmarkEnd w:id="51"/>
      <w:bookmarkEnd w:id="52"/>
      <w:r>
        <w:rPr>
          <w:rFonts w:hint="eastAsia" w:ascii="宋体" w:hAnsi="宋体" w:cs="宋体"/>
          <w:sz w:val="24"/>
        </w:rPr>
        <w:t>提交响应文件截止后，由供应商或者其推选的代表检查响应文件的密封情况，有效供应商不足</w:t>
      </w:r>
      <w:r>
        <w:rPr>
          <w:rFonts w:hint="eastAsia" w:ascii="宋体" w:hAnsi="宋体" w:cs="宋体"/>
          <w:sz w:val="24"/>
          <w:u w:val="single"/>
        </w:rPr>
        <w:t>3家</w:t>
      </w:r>
      <w:r>
        <w:rPr>
          <w:rFonts w:hint="eastAsia" w:ascii="宋体" w:hAnsi="宋体" w:cs="宋体"/>
          <w:sz w:val="24"/>
        </w:rPr>
        <w:t>的，项目终止。</w:t>
      </w:r>
    </w:p>
    <w:p w14:paraId="1A2E8F31">
      <w:pPr>
        <w:snapToGrid w:val="0"/>
        <w:spacing w:line="360" w:lineRule="auto"/>
        <w:ind w:firstLine="482" w:firstLineChars="200"/>
        <w:rPr>
          <w:rFonts w:hint="eastAsia" w:ascii="宋体" w:hAnsi="宋体" w:cs="宋体"/>
          <w:b/>
          <w:sz w:val="24"/>
        </w:rPr>
      </w:pPr>
      <w:bookmarkStart w:id="55" w:name="_Toc288738816"/>
      <w:bookmarkStart w:id="56" w:name="_Toc288738348"/>
      <w:bookmarkStart w:id="57" w:name="_Toc288738422"/>
    </w:p>
    <w:p w14:paraId="3E5923FD">
      <w:pPr>
        <w:snapToGrid w:val="0"/>
        <w:spacing w:line="360" w:lineRule="auto"/>
        <w:ind w:firstLine="482" w:firstLineChars="200"/>
        <w:rPr>
          <w:rFonts w:ascii="宋体" w:hAnsi="宋体" w:cs="宋体"/>
          <w:sz w:val="24"/>
        </w:rPr>
      </w:pPr>
      <w:r>
        <w:rPr>
          <w:rFonts w:hint="eastAsia" w:ascii="宋体" w:hAnsi="宋体" w:cs="宋体"/>
          <w:b/>
          <w:sz w:val="24"/>
        </w:rPr>
        <w:t>二十、</w:t>
      </w:r>
      <w:bookmarkEnd w:id="55"/>
      <w:bookmarkEnd w:id="56"/>
      <w:bookmarkEnd w:id="57"/>
      <w:r>
        <w:rPr>
          <w:rFonts w:hint="eastAsia" w:ascii="宋体" w:hAnsi="宋体" w:cs="宋体"/>
          <w:sz w:val="24"/>
        </w:rPr>
        <w:t>由评标委员会负责评审，遴选人</w:t>
      </w:r>
      <w:r>
        <w:rPr>
          <w:rFonts w:hint="eastAsia" w:ascii="宋体" w:hAnsi="宋体" w:cs="宋体"/>
          <w:bCs/>
          <w:sz w:val="24"/>
        </w:rPr>
        <w:t>对评审过程予以记录并保存</w:t>
      </w:r>
      <w:r>
        <w:rPr>
          <w:rFonts w:hint="eastAsia" w:ascii="宋体" w:hAnsi="宋体" w:cs="宋体"/>
          <w:sz w:val="24"/>
        </w:rPr>
        <w:t>。</w:t>
      </w:r>
    </w:p>
    <w:bookmarkEnd w:id="53"/>
    <w:bookmarkEnd w:id="54"/>
    <w:p w14:paraId="7CC67221">
      <w:pPr>
        <w:snapToGrid w:val="0"/>
        <w:spacing w:line="360" w:lineRule="auto"/>
        <w:ind w:firstLine="480" w:firstLineChars="200"/>
        <w:rPr>
          <w:rFonts w:ascii="宋体" w:hAnsi="宋体" w:cs="宋体"/>
          <w:sz w:val="24"/>
        </w:rPr>
      </w:pPr>
    </w:p>
    <w:p w14:paraId="6415584B">
      <w:pPr>
        <w:snapToGrid w:val="0"/>
        <w:spacing w:line="360" w:lineRule="auto"/>
        <w:ind w:firstLine="482" w:firstLineChars="200"/>
        <w:rPr>
          <w:rFonts w:ascii="宋体" w:hAnsi="宋体" w:cs="宋体"/>
          <w:b/>
          <w:sz w:val="24"/>
        </w:rPr>
      </w:pPr>
      <w:bookmarkStart w:id="58" w:name="_Toc288738349"/>
      <w:bookmarkStart w:id="59" w:name="_Toc288738817"/>
      <w:bookmarkStart w:id="60" w:name="_Toc288738423"/>
      <w:r>
        <w:rPr>
          <w:rFonts w:hint="eastAsia" w:ascii="宋体" w:hAnsi="宋体" w:cs="宋体"/>
          <w:b/>
          <w:sz w:val="24"/>
        </w:rPr>
        <w:t>二十一、响应过程中或响应文件出现下列情况之一的，响应无效，无效响应文件不予参加评标。</w:t>
      </w:r>
      <w:bookmarkEnd w:id="58"/>
      <w:bookmarkEnd w:id="59"/>
      <w:bookmarkEnd w:id="60"/>
    </w:p>
    <w:p w14:paraId="21E91C46">
      <w:pPr>
        <w:snapToGrid w:val="0"/>
        <w:spacing w:line="360" w:lineRule="auto"/>
        <w:ind w:firstLine="480" w:firstLineChars="200"/>
        <w:rPr>
          <w:rFonts w:ascii="宋体" w:hAnsi="宋体" w:cs="宋体"/>
          <w:sz w:val="24"/>
        </w:rPr>
      </w:pPr>
      <w:r>
        <w:rPr>
          <w:rFonts w:hint="eastAsia" w:ascii="宋体" w:hAnsi="宋体" w:cs="宋体"/>
          <w:sz w:val="24"/>
        </w:rPr>
        <w:t>1、响应文件未按规定标志、密封、盖章的；</w:t>
      </w:r>
    </w:p>
    <w:p w14:paraId="06EE79E8">
      <w:pPr>
        <w:snapToGrid w:val="0"/>
        <w:spacing w:line="360" w:lineRule="auto"/>
        <w:ind w:firstLine="480" w:firstLineChars="200"/>
        <w:rPr>
          <w:rFonts w:ascii="宋体" w:hAnsi="宋体" w:cs="宋体"/>
          <w:sz w:val="24"/>
        </w:rPr>
      </w:pPr>
      <w:r>
        <w:rPr>
          <w:rFonts w:hint="eastAsia" w:ascii="宋体" w:hAnsi="宋体" w:cs="宋体"/>
          <w:sz w:val="24"/>
        </w:rPr>
        <w:t>2、响应文件未加盖供应商公章的；</w:t>
      </w:r>
    </w:p>
    <w:p w14:paraId="05C76FE8">
      <w:pPr>
        <w:snapToGrid w:val="0"/>
        <w:spacing w:line="360" w:lineRule="auto"/>
        <w:ind w:firstLine="480" w:firstLineChars="200"/>
        <w:rPr>
          <w:rFonts w:ascii="宋体" w:hAnsi="宋体" w:cs="宋体"/>
          <w:sz w:val="24"/>
        </w:rPr>
      </w:pPr>
      <w:r>
        <w:rPr>
          <w:rFonts w:hint="eastAsia" w:ascii="宋体" w:hAnsi="宋体" w:cs="宋体"/>
          <w:sz w:val="24"/>
        </w:rPr>
        <w:t>3、法定代表人</w:t>
      </w:r>
      <w:r>
        <w:rPr>
          <w:rFonts w:hint="eastAsia" w:ascii="宋体" w:hAnsi="宋体" w:cs="宋体"/>
          <w:sz w:val="24"/>
          <w:lang w:eastAsia="zh-CN"/>
        </w:rPr>
        <w:t>（</w:t>
      </w:r>
      <w:r>
        <w:rPr>
          <w:rFonts w:hint="eastAsia" w:ascii="宋体" w:hAnsi="宋体" w:cs="宋体"/>
          <w:sz w:val="24"/>
        </w:rPr>
        <w:t>负责人</w:t>
      </w:r>
      <w:r>
        <w:rPr>
          <w:rFonts w:hint="eastAsia" w:ascii="宋体" w:hAnsi="宋体" w:cs="宋体"/>
          <w:sz w:val="24"/>
          <w:lang w:eastAsia="zh-CN"/>
        </w:rPr>
        <w:t>）</w:t>
      </w:r>
      <w:r>
        <w:rPr>
          <w:rFonts w:hint="eastAsia" w:ascii="宋体" w:hAnsi="宋体" w:cs="宋体"/>
          <w:sz w:val="24"/>
        </w:rPr>
        <w:t>资格证明书或授权委托书未提供的、无供应商公章的</w:t>
      </w:r>
      <w:r>
        <w:rPr>
          <w:rFonts w:hint="eastAsia" w:ascii="宋体" w:hAnsi="宋体" w:cs="宋体"/>
          <w:sz w:val="24"/>
          <w:lang w:eastAsia="zh-CN"/>
        </w:rPr>
        <w:t>、</w:t>
      </w:r>
      <w:r>
        <w:rPr>
          <w:rFonts w:hint="eastAsia" w:ascii="宋体" w:hAnsi="宋体" w:cs="宋体"/>
          <w:sz w:val="24"/>
        </w:rPr>
        <w:t>无法定代表人</w:t>
      </w:r>
      <w:r>
        <w:rPr>
          <w:rFonts w:hint="eastAsia" w:ascii="宋体" w:hAnsi="宋体" w:cs="宋体"/>
          <w:sz w:val="24"/>
          <w:lang w:eastAsia="zh-CN"/>
        </w:rPr>
        <w:t>（</w:t>
      </w:r>
      <w:r>
        <w:rPr>
          <w:rFonts w:hint="eastAsia" w:ascii="宋体" w:hAnsi="宋体" w:cs="宋体"/>
          <w:sz w:val="24"/>
        </w:rPr>
        <w:t>负责人</w:t>
      </w:r>
      <w:r>
        <w:rPr>
          <w:rFonts w:hint="eastAsia" w:ascii="宋体" w:hAnsi="宋体" w:cs="宋体"/>
          <w:sz w:val="24"/>
          <w:lang w:eastAsia="zh-CN"/>
        </w:rPr>
        <w:t>）</w:t>
      </w:r>
      <w:r>
        <w:rPr>
          <w:rFonts w:hint="eastAsia" w:ascii="宋体" w:hAnsi="宋体" w:cs="宋体"/>
          <w:sz w:val="24"/>
        </w:rPr>
        <w:t>或委托代理人签字或盖章的、非原件的；</w:t>
      </w:r>
    </w:p>
    <w:p w14:paraId="4F1CDAB7">
      <w:pPr>
        <w:snapToGrid w:val="0"/>
        <w:spacing w:line="360" w:lineRule="auto"/>
        <w:ind w:firstLine="480" w:firstLineChars="200"/>
        <w:rPr>
          <w:rFonts w:ascii="宋体" w:hAnsi="宋体" w:cs="宋体"/>
          <w:sz w:val="24"/>
        </w:rPr>
      </w:pPr>
      <w:r>
        <w:rPr>
          <w:rFonts w:hint="eastAsia" w:ascii="宋体" w:hAnsi="宋体" w:cs="宋体"/>
          <w:sz w:val="24"/>
        </w:rPr>
        <w:t>4、供应商未领取遴选文件的或者在名称上和法人地位上与领取时情况发生实质性的改变的；</w:t>
      </w:r>
    </w:p>
    <w:p w14:paraId="20FF8A9B">
      <w:pPr>
        <w:snapToGrid w:val="0"/>
        <w:spacing w:line="360" w:lineRule="auto"/>
        <w:ind w:firstLine="480" w:firstLineChars="200"/>
        <w:rPr>
          <w:rFonts w:ascii="宋体" w:hAnsi="宋体" w:cs="宋体"/>
          <w:sz w:val="24"/>
        </w:rPr>
      </w:pPr>
      <w:r>
        <w:rPr>
          <w:rFonts w:hint="eastAsia" w:ascii="宋体" w:hAnsi="宋体" w:cs="宋体"/>
          <w:sz w:val="24"/>
        </w:rPr>
        <w:t>5、供应商不符合遴选文件中规定资格要求的，或者资格要求证明材料提供不齐全的；</w:t>
      </w:r>
    </w:p>
    <w:p w14:paraId="067513E9">
      <w:pPr>
        <w:snapToGrid w:val="0"/>
        <w:spacing w:line="360" w:lineRule="auto"/>
        <w:ind w:firstLine="480" w:firstLineChars="200"/>
        <w:rPr>
          <w:rFonts w:ascii="宋体" w:hAnsi="宋体" w:cs="宋体"/>
          <w:sz w:val="24"/>
        </w:rPr>
      </w:pPr>
      <w:r>
        <w:rPr>
          <w:rFonts w:hint="eastAsia" w:ascii="宋体" w:hAnsi="宋体" w:cs="宋体"/>
          <w:sz w:val="24"/>
        </w:rPr>
        <w:t>6、响应文件未按遴选文件规定的格式、内容和要求编制；</w:t>
      </w:r>
    </w:p>
    <w:p w14:paraId="54897C94">
      <w:pPr>
        <w:snapToGrid w:val="0"/>
        <w:spacing w:line="360" w:lineRule="auto"/>
        <w:ind w:firstLine="480" w:firstLineChars="200"/>
        <w:rPr>
          <w:rFonts w:ascii="宋体" w:hAnsi="宋体" w:cs="宋体"/>
          <w:sz w:val="24"/>
        </w:rPr>
      </w:pPr>
      <w:r>
        <w:rPr>
          <w:rFonts w:hint="eastAsia" w:ascii="宋体" w:hAnsi="宋体" w:cs="宋体"/>
          <w:sz w:val="24"/>
        </w:rPr>
        <w:t>7、供应商在一份响应文件中，对同一遴选项目报有两个或多个报价，且未书面确定以哪个报价为准的；</w:t>
      </w:r>
    </w:p>
    <w:p w14:paraId="397D16AD">
      <w:pPr>
        <w:snapToGrid w:val="0"/>
        <w:spacing w:line="360" w:lineRule="auto"/>
        <w:ind w:firstLine="480" w:firstLineChars="200"/>
        <w:rPr>
          <w:rFonts w:ascii="宋体" w:hAnsi="宋体" w:cs="宋体"/>
          <w:sz w:val="24"/>
        </w:rPr>
      </w:pPr>
      <w:r>
        <w:rPr>
          <w:rFonts w:hint="eastAsia" w:ascii="宋体" w:hAnsi="宋体" w:cs="宋体"/>
          <w:sz w:val="24"/>
        </w:rPr>
        <w:t>8、供应商在响应报价中存在严重错误，并影响对其他供应商的评分的；</w:t>
      </w:r>
    </w:p>
    <w:p w14:paraId="0EDBCDAE">
      <w:pPr>
        <w:snapToGrid w:val="0"/>
        <w:spacing w:line="360" w:lineRule="auto"/>
        <w:ind w:firstLine="480" w:firstLineChars="200"/>
        <w:rPr>
          <w:rFonts w:ascii="宋体" w:hAnsi="宋体" w:cs="宋体"/>
          <w:sz w:val="24"/>
        </w:rPr>
      </w:pPr>
      <w:r>
        <w:rPr>
          <w:rFonts w:hint="eastAsia" w:ascii="宋体" w:hAnsi="宋体" w:cs="宋体"/>
          <w:sz w:val="24"/>
        </w:rPr>
        <w:t>9、响应文件材料所述情况和所附相关资料不实的；</w:t>
      </w:r>
    </w:p>
    <w:p w14:paraId="216E5618">
      <w:pPr>
        <w:snapToGrid w:val="0"/>
        <w:spacing w:line="360" w:lineRule="auto"/>
        <w:ind w:firstLine="480" w:firstLineChars="200"/>
        <w:rPr>
          <w:rFonts w:ascii="宋体" w:hAnsi="宋体" w:cs="宋体"/>
          <w:sz w:val="24"/>
        </w:rPr>
      </w:pPr>
      <w:r>
        <w:rPr>
          <w:rFonts w:hint="eastAsia" w:ascii="宋体" w:hAnsi="宋体" w:cs="宋体"/>
          <w:sz w:val="24"/>
        </w:rPr>
        <w:t>10、供应商以他人的名义响应、串通响应、以行贿手段谋取成交或者以其他弄虚作假方式响应的；</w:t>
      </w:r>
    </w:p>
    <w:p w14:paraId="20E98DF1">
      <w:pPr>
        <w:snapToGrid w:val="0"/>
        <w:spacing w:line="360" w:lineRule="auto"/>
        <w:ind w:firstLine="480" w:firstLineChars="200"/>
        <w:rPr>
          <w:rFonts w:ascii="宋体" w:hAnsi="宋体" w:cs="宋体"/>
          <w:sz w:val="24"/>
        </w:rPr>
      </w:pPr>
      <w:r>
        <w:rPr>
          <w:rFonts w:hint="eastAsia" w:ascii="宋体" w:hAnsi="宋体" w:cs="宋体"/>
          <w:sz w:val="24"/>
        </w:rPr>
        <w:t>11、逾期送达的响应文件；</w:t>
      </w:r>
    </w:p>
    <w:p w14:paraId="3AF72B5F">
      <w:pPr>
        <w:snapToGrid w:val="0"/>
        <w:spacing w:line="360" w:lineRule="auto"/>
        <w:ind w:firstLine="480" w:firstLineChars="200"/>
        <w:rPr>
          <w:rFonts w:ascii="宋体" w:hAnsi="宋体" w:cs="宋体"/>
          <w:sz w:val="24"/>
        </w:rPr>
      </w:pPr>
      <w:r>
        <w:rPr>
          <w:rFonts w:hint="eastAsia" w:ascii="宋体" w:hAnsi="宋体" w:cs="宋体"/>
          <w:sz w:val="24"/>
        </w:rPr>
        <w:t>13、供应商的响应报价超出遴选预算或者最高限价的；</w:t>
      </w:r>
    </w:p>
    <w:p w14:paraId="3747A6AA">
      <w:pPr>
        <w:snapToGrid w:val="0"/>
        <w:spacing w:line="360" w:lineRule="auto"/>
        <w:ind w:firstLine="480" w:firstLineChars="200"/>
        <w:rPr>
          <w:rFonts w:ascii="宋体" w:hAnsi="宋体" w:cs="宋体"/>
          <w:sz w:val="24"/>
        </w:rPr>
      </w:pPr>
      <w:r>
        <w:rPr>
          <w:rFonts w:hint="eastAsia" w:ascii="宋体" w:hAnsi="宋体" w:cs="宋体"/>
          <w:sz w:val="24"/>
        </w:rPr>
        <w:t>14、响应文件含有遴选人不能接受的附加条件的，或者不能满足遴选文件要求的售后服务期限、交货时间或者工期、付款条件的；</w:t>
      </w:r>
    </w:p>
    <w:p w14:paraId="52D1A8B7">
      <w:pPr>
        <w:snapToGrid w:val="0"/>
        <w:spacing w:line="360" w:lineRule="auto"/>
        <w:ind w:firstLine="480" w:firstLineChars="200"/>
        <w:rPr>
          <w:rFonts w:ascii="宋体" w:hAnsi="宋体" w:cs="宋体"/>
          <w:sz w:val="24"/>
        </w:rPr>
      </w:pPr>
      <w:r>
        <w:rPr>
          <w:rFonts w:hint="eastAsia" w:ascii="宋体" w:hAnsi="宋体" w:cs="宋体"/>
          <w:sz w:val="24"/>
        </w:rPr>
        <w:t>15、不符合遴选文件规定的其他实质性要求的；</w:t>
      </w:r>
    </w:p>
    <w:p w14:paraId="50424FF8">
      <w:pPr>
        <w:snapToGrid w:val="0"/>
        <w:spacing w:line="360" w:lineRule="auto"/>
        <w:ind w:firstLine="488" w:firstLineChars="200"/>
        <w:rPr>
          <w:rFonts w:ascii="宋体" w:hAnsi="宋体" w:cs="宋体"/>
          <w:sz w:val="24"/>
        </w:rPr>
      </w:pPr>
      <w:r>
        <w:rPr>
          <w:rFonts w:hint="eastAsia" w:ascii="宋体" w:hAnsi="宋体"/>
          <w:spacing w:val="2"/>
          <w:sz w:val="24"/>
        </w:rPr>
        <w:t>16、</w:t>
      </w:r>
      <w:r>
        <w:rPr>
          <w:rFonts w:hint="eastAsia" w:ascii="宋体" w:hAnsi="宋体" w:cs="宋体"/>
          <w:sz w:val="24"/>
        </w:rPr>
        <w:t>法律、法规和遴选文件规定的其他无效情形，或者其他被评委会认定无效的情况。</w:t>
      </w:r>
    </w:p>
    <w:p w14:paraId="1B02AE9E">
      <w:pPr>
        <w:adjustRightInd w:val="0"/>
        <w:snapToGrid w:val="0"/>
        <w:spacing w:line="360" w:lineRule="auto"/>
        <w:ind w:firstLine="482" w:firstLineChars="200"/>
        <w:rPr>
          <w:rFonts w:ascii="宋体" w:hAnsi="宋体" w:cs="宋体"/>
          <w:b/>
          <w:bCs/>
          <w:sz w:val="24"/>
        </w:rPr>
      </w:pPr>
    </w:p>
    <w:p w14:paraId="50F1AEDA">
      <w:pPr>
        <w:snapToGrid w:val="0"/>
        <w:spacing w:line="360" w:lineRule="auto"/>
        <w:ind w:firstLine="482" w:firstLineChars="200"/>
        <w:rPr>
          <w:rFonts w:ascii="宋体" w:hAnsi="宋体" w:cs="宋体"/>
          <w:b/>
          <w:sz w:val="24"/>
        </w:rPr>
      </w:pPr>
      <w:bookmarkStart w:id="61" w:name="_Toc288738350"/>
      <w:bookmarkStart w:id="62" w:name="_Toc288738424"/>
      <w:bookmarkStart w:id="63" w:name="_Toc288738818"/>
      <w:r>
        <w:rPr>
          <w:rFonts w:hint="eastAsia" w:ascii="宋体" w:hAnsi="宋体" w:cs="宋体"/>
          <w:b/>
          <w:sz w:val="24"/>
        </w:rPr>
        <w:t>二十二、评审、</w:t>
      </w:r>
      <w:bookmarkEnd w:id="61"/>
      <w:bookmarkEnd w:id="62"/>
      <w:bookmarkEnd w:id="63"/>
      <w:r>
        <w:rPr>
          <w:rFonts w:hint="eastAsia" w:ascii="宋体" w:hAnsi="宋体" w:cs="宋体"/>
          <w:b/>
          <w:sz w:val="24"/>
        </w:rPr>
        <w:t>确定成交人</w:t>
      </w:r>
    </w:p>
    <w:p w14:paraId="62CDB7A9">
      <w:pPr>
        <w:snapToGrid w:val="0"/>
        <w:spacing w:line="360" w:lineRule="auto"/>
        <w:ind w:firstLine="480" w:firstLineChars="200"/>
        <w:rPr>
          <w:rFonts w:ascii="宋体" w:hAnsi="宋体" w:cs="宋体"/>
          <w:sz w:val="24"/>
        </w:rPr>
      </w:pPr>
      <w:r>
        <w:rPr>
          <w:rFonts w:hint="eastAsia" w:ascii="宋体" w:hAnsi="宋体" w:cs="宋体"/>
          <w:sz w:val="24"/>
        </w:rPr>
        <w:t>评标由依法组建的评标委员会负责。遴选人授权代表按照相关规定负责资格审查工作。评标委员会应当按照遴选文件中规定的评标办法和标准，对资格审查和符合性审查合格的响应文件进行商务和技术评估，综合比较与评价。由评委会出具书面评标报告，推荐成交候选供应商名次。</w:t>
      </w:r>
      <w:r>
        <w:rPr>
          <w:sz w:val="24"/>
        </w:rPr>
        <w:t>遴选人将在评标报告确定的成交候选人名单中按顺序确定成交人，成交候选人并列的，由遴选人</w:t>
      </w:r>
      <w:r>
        <w:rPr>
          <w:rFonts w:hint="eastAsia"/>
          <w:sz w:val="24"/>
        </w:rPr>
        <w:t>依法</w:t>
      </w:r>
      <w:r>
        <w:rPr>
          <w:sz w:val="24"/>
        </w:rPr>
        <w:t>确定</w:t>
      </w:r>
      <w:r>
        <w:rPr>
          <w:rFonts w:hint="eastAsia"/>
          <w:sz w:val="24"/>
        </w:rPr>
        <w:t>。</w:t>
      </w:r>
    </w:p>
    <w:p w14:paraId="090BBFC4">
      <w:pPr>
        <w:snapToGrid w:val="0"/>
        <w:spacing w:line="360" w:lineRule="auto"/>
        <w:ind w:firstLine="482" w:firstLineChars="200"/>
        <w:rPr>
          <w:rFonts w:ascii="宋体" w:hAnsi="宋体" w:cs="宋体"/>
          <w:b/>
          <w:sz w:val="24"/>
        </w:rPr>
      </w:pPr>
      <w:bookmarkStart w:id="64" w:name="_Toc288738819"/>
      <w:bookmarkStart w:id="65" w:name="_Toc288738425"/>
      <w:bookmarkStart w:id="66" w:name="_Toc288738351"/>
      <w:r>
        <w:rPr>
          <w:rFonts w:hint="eastAsia" w:ascii="宋体" w:hAnsi="宋体" w:cs="宋体"/>
          <w:b/>
          <w:sz w:val="24"/>
        </w:rPr>
        <w:t>二十三、响应文件的澄清</w:t>
      </w:r>
      <w:bookmarkEnd w:id="64"/>
      <w:bookmarkEnd w:id="65"/>
      <w:bookmarkEnd w:id="66"/>
    </w:p>
    <w:p w14:paraId="22C86EDD">
      <w:pPr>
        <w:snapToGrid w:val="0"/>
        <w:spacing w:line="360" w:lineRule="auto"/>
        <w:ind w:firstLine="480" w:firstLineChars="200"/>
        <w:rPr>
          <w:rFonts w:ascii="宋体" w:hAnsi="宋体" w:cs="宋体"/>
          <w:sz w:val="24"/>
        </w:rPr>
      </w:pPr>
      <w:r>
        <w:rPr>
          <w:rFonts w:hint="eastAsia" w:ascii="宋体" w:hAnsi="宋体" w:cs="宋体"/>
          <w:sz w:val="24"/>
        </w:rPr>
        <w:t>1、为了有助于响应文件的审查、评价和比较，评标委员会可以要求供应商对响应文件中含义不明确、对同类问题表述不一致或者明显文字和计算错误的内容作必要的澄清、说明或者补正。供应商的澄清、说明或者补正应当采用书面形式，由法定代表人或其授权的代表签字。供应商的澄清、说明或者补正不得超出响应文件的范围或者改变响应文件的实质性内容。</w:t>
      </w:r>
    </w:p>
    <w:p w14:paraId="7E51D1A6">
      <w:pPr>
        <w:snapToGrid w:val="0"/>
        <w:spacing w:line="360" w:lineRule="auto"/>
        <w:ind w:firstLine="480" w:firstLineChars="200"/>
        <w:rPr>
          <w:rFonts w:ascii="宋体" w:hAnsi="宋体" w:cs="宋体"/>
          <w:sz w:val="24"/>
        </w:rPr>
      </w:pPr>
      <w:r>
        <w:rPr>
          <w:rFonts w:hint="eastAsia" w:ascii="宋体" w:hAnsi="宋体" w:cs="宋体"/>
          <w:sz w:val="24"/>
        </w:rPr>
        <w:t>2、响应文件报价出现前后不一致的，除遴选文件另有规定外，按照下列规定修正：1）响应文件中开标一览表（报价表）内容与响应文件中相应内容不一致的，以开标一览表（报价表）为准； 2）大写金额和小写金额不一致的，以大写金额为准；3）单价金额小数点或者百分比有明显错位的，以开标一览表的总价为准，并修改单价；4）总价金额与按单价汇总金额不一致的，以单价金额计算结果为准。同时出现两种以上不一致的，按照前款规定的顺序修正。修正后的报价经供应商确认后产生约束力，</w:t>
      </w:r>
      <w:r>
        <w:rPr>
          <w:rFonts w:hint="eastAsia" w:ascii="宋体" w:hAnsi="宋体" w:cs="宋体"/>
          <w:b/>
          <w:sz w:val="24"/>
        </w:rPr>
        <w:t>供应商不确认的，其响应无效</w:t>
      </w:r>
      <w:r>
        <w:rPr>
          <w:rFonts w:hint="eastAsia" w:ascii="宋体" w:hAnsi="宋体" w:cs="宋体"/>
          <w:sz w:val="24"/>
        </w:rPr>
        <w:t>。</w:t>
      </w:r>
      <w:r>
        <w:rPr>
          <w:rFonts w:hint="eastAsia" w:ascii="宋体" w:hAnsi="宋体" w:cs="宋体"/>
          <w:b/>
          <w:sz w:val="24"/>
        </w:rPr>
        <w:t>存在缺项漏项或者数量不符合遴选文件要求的作为无效响应处理；</w:t>
      </w:r>
      <w:r>
        <w:rPr>
          <w:rFonts w:hint="eastAsia" w:ascii="宋体" w:hAnsi="宋体" w:cs="宋体"/>
          <w:sz w:val="24"/>
        </w:rPr>
        <w:t>对不同文字文本响应文件的解释发生异议的，以中文文本为准。</w:t>
      </w:r>
    </w:p>
    <w:p w14:paraId="23E4C471">
      <w:pPr>
        <w:snapToGrid w:val="0"/>
        <w:spacing w:line="360" w:lineRule="auto"/>
        <w:ind w:firstLine="482" w:firstLineChars="200"/>
        <w:rPr>
          <w:rFonts w:ascii="宋体" w:hAnsi="宋体" w:cs="宋体"/>
          <w:b/>
          <w:sz w:val="24"/>
        </w:rPr>
      </w:pPr>
      <w:r>
        <w:rPr>
          <w:rFonts w:hint="eastAsia" w:ascii="宋体" w:hAnsi="宋体" w:cs="宋体"/>
          <w:b/>
          <w:sz w:val="24"/>
        </w:rPr>
        <w:t>3、供应商拒不按照评委会要求作出澄清、说明或者补正的，作为无效响应处理。</w:t>
      </w:r>
    </w:p>
    <w:p w14:paraId="1A50F5B3">
      <w:pPr>
        <w:snapToGrid w:val="0"/>
        <w:spacing w:line="360" w:lineRule="auto"/>
        <w:ind w:firstLine="480" w:firstLineChars="200"/>
        <w:rPr>
          <w:rFonts w:ascii="宋体" w:hAnsi="宋体" w:cs="宋体"/>
          <w:sz w:val="24"/>
        </w:rPr>
      </w:pPr>
      <w:r>
        <w:rPr>
          <w:rFonts w:hint="eastAsia" w:ascii="宋体" w:hAnsi="宋体" w:cs="宋体"/>
          <w:sz w:val="24"/>
        </w:rPr>
        <w:t>4、提交响应文件截止时间后，供应商对响应报价或其他实质性内容修正的函件和增加的任何优惠条件，一律不得作为评标、定标的依据。</w:t>
      </w:r>
    </w:p>
    <w:p w14:paraId="2EEE94EB">
      <w:pPr>
        <w:adjustRightInd w:val="0"/>
        <w:snapToGrid w:val="0"/>
        <w:spacing w:line="360" w:lineRule="auto"/>
        <w:ind w:firstLine="482" w:firstLineChars="200"/>
        <w:rPr>
          <w:rFonts w:ascii="宋体" w:hAnsi="宋体" w:cs="宋体"/>
          <w:b/>
          <w:bCs/>
          <w:sz w:val="24"/>
        </w:rPr>
      </w:pPr>
    </w:p>
    <w:p w14:paraId="11D3BA64">
      <w:pPr>
        <w:snapToGrid w:val="0"/>
        <w:spacing w:line="360" w:lineRule="auto"/>
        <w:ind w:firstLine="482" w:firstLineChars="200"/>
        <w:rPr>
          <w:rFonts w:ascii="宋体" w:hAnsi="宋体" w:cs="宋体"/>
          <w:b/>
          <w:sz w:val="24"/>
        </w:rPr>
      </w:pPr>
      <w:bookmarkStart w:id="67" w:name="_Toc288738426"/>
      <w:bookmarkStart w:id="68" w:name="_Toc288738820"/>
      <w:bookmarkStart w:id="69" w:name="_Toc288738352"/>
      <w:r>
        <w:rPr>
          <w:rFonts w:hint="eastAsia" w:ascii="宋体" w:hAnsi="宋体" w:cs="宋体"/>
          <w:b/>
          <w:sz w:val="24"/>
        </w:rPr>
        <w:t>二十四、</w:t>
      </w:r>
      <w:bookmarkEnd w:id="67"/>
      <w:bookmarkEnd w:id="68"/>
      <w:bookmarkEnd w:id="69"/>
      <w:r>
        <w:rPr>
          <w:rFonts w:hint="eastAsia" w:ascii="宋体" w:hAnsi="宋体" w:cs="宋体"/>
          <w:b/>
          <w:sz w:val="24"/>
        </w:rPr>
        <w:t>出现下列情形之一的，将遴选活动终止：</w:t>
      </w:r>
    </w:p>
    <w:p w14:paraId="02A23897">
      <w:pPr>
        <w:snapToGrid w:val="0"/>
        <w:spacing w:line="360" w:lineRule="auto"/>
        <w:ind w:firstLine="480" w:firstLineChars="200"/>
        <w:rPr>
          <w:rFonts w:ascii="宋体" w:hAnsi="宋体" w:cs="宋体"/>
          <w:sz w:val="24"/>
        </w:rPr>
      </w:pPr>
      <w:r>
        <w:rPr>
          <w:rFonts w:hint="eastAsia" w:ascii="宋体" w:hAnsi="宋体" w:cs="宋体"/>
          <w:sz w:val="24"/>
        </w:rPr>
        <w:t>1、符合专业条件的供应商或者对遴选文件作实质性响应的供应商不足</w:t>
      </w:r>
      <w:r>
        <w:rPr>
          <w:rFonts w:hint="eastAsia" w:ascii="宋体" w:hAnsi="宋体" w:cs="宋体"/>
          <w:sz w:val="24"/>
          <w:u w:val="single"/>
        </w:rPr>
        <w:t>三家</w:t>
      </w:r>
      <w:r>
        <w:rPr>
          <w:rFonts w:hint="eastAsia" w:ascii="宋体" w:hAnsi="宋体" w:cs="宋体"/>
          <w:sz w:val="24"/>
        </w:rPr>
        <w:t>的；</w:t>
      </w:r>
    </w:p>
    <w:p w14:paraId="2461BD6B">
      <w:pPr>
        <w:snapToGrid w:val="0"/>
        <w:spacing w:line="360" w:lineRule="auto"/>
        <w:ind w:firstLine="480" w:firstLineChars="200"/>
        <w:rPr>
          <w:rFonts w:ascii="宋体" w:hAnsi="宋体" w:cs="宋体"/>
          <w:sz w:val="24"/>
        </w:rPr>
      </w:pPr>
      <w:r>
        <w:rPr>
          <w:rFonts w:hint="eastAsia" w:ascii="宋体" w:hAnsi="宋体" w:cs="宋体"/>
          <w:sz w:val="24"/>
        </w:rPr>
        <w:t>2、出现影响遴选公正的违法、违规行为的；</w:t>
      </w:r>
    </w:p>
    <w:p w14:paraId="54AC6D11">
      <w:pPr>
        <w:snapToGrid w:val="0"/>
        <w:spacing w:line="360" w:lineRule="auto"/>
        <w:ind w:firstLine="480" w:firstLineChars="200"/>
        <w:rPr>
          <w:rFonts w:ascii="宋体" w:hAnsi="宋体" w:cs="宋体"/>
          <w:sz w:val="24"/>
        </w:rPr>
      </w:pPr>
      <w:r>
        <w:rPr>
          <w:rFonts w:hint="eastAsia" w:ascii="宋体" w:hAnsi="宋体" w:cs="宋体"/>
          <w:sz w:val="24"/>
        </w:rPr>
        <w:t>3、供应商的报价均超过了遴选预算，遴选人不能支付的；</w:t>
      </w:r>
    </w:p>
    <w:p w14:paraId="75E102AF">
      <w:pPr>
        <w:snapToGrid w:val="0"/>
        <w:spacing w:line="360" w:lineRule="auto"/>
        <w:ind w:firstLine="480" w:firstLineChars="200"/>
        <w:rPr>
          <w:rFonts w:ascii="宋体" w:hAnsi="宋体" w:cs="宋体"/>
          <w:sz w:val="24"/>
        </w:rPr>
      </w:pPr>
      <w:r>
        <w:rPr>
          <w:rFonts w:hint="eastAsia" w:ascii="宋体" w:hAnsi="宋体" w:cs="宋体"/>
          <w:sz w:val="24"/>
        </w:rPr>
        <w:t>4、因重大变故，遴选任务取消的。</w:t>
      </w:r>
    </w:p>
    <w:p w14:paraId="5430E7C9">
      <w:pPr>
        <w:adjustRightInd w:val="0"/>
        <w:snapToGrid w:val="0"/>
        <w:spacing w:line="360" w:lineRule="auto"/>
        <w:ind w:firstLine="482" w:firstLineChars="200"/>
        <w:rPr>
          <w:rFonts w:ascii="宋体" w:hAnsi="宋体" w:cs="宋体"/>
          <w:b/>
          <w:sz w:val="24"/>
        </w:rPr>
      </w:pPr>
    </w:p>
    <w:p w14:paraId="7338FFBB">
      <w:pPr>
        <w:snapToGrid w:val="0"/>
        <w:spacing w:line="360" w:lineRule="auto"/>
        <w:ind w:firstLine="482" w:firstLineChars="200"/>
        <w:rPr>
          <w:rFonts w:ascii="宋体" w:hAnsi="宋体" w:cs="宋体"/>
          <w:b/>
          <w:sz w:val="24"/>
        </w:rPr>
      </w:pPr>
      <w:bookmarkStart w:id="70" w:name="_Toc288738353"/>
      <w:bookmarkStart w:id="71" w:name="_Toc288738427"/>
      <w:bookmarkStart w:id="72" w:name="_Toc288738821"/>
      <w:r>
        <w:rPr>
          <w:rFonts w:hint="eastAsia" w:ascii="宋体" w:hAnsi="宋体" w:cs="宋体"/>
          <w:b/>
          <w:sz w:val="24"/>
        </w:rPr>
        <w:t>二十五、成交通知</w:t>
      </w:r>
      <w:bookmarkEnd w:id="70"/>
      <w:bookmarkEnd w:id="71"/>
      <w:bookmarkEnd w:id="72"/>
    </w:p>
    <w:p w14:paraId="6CB7907B">
      <w:pPr>
        <w:snapToGrid w:val="0"/>
        <w:spacing w:line="360" w:lineRule="auto"/>
        <w:ind w:firstLine="480" w:firstLineChars="200"/>
        <w:rPr>
          <w:rFonts w:ascii="宋体" w:hAnsi="宋体" w:cs="宋体"/>
          <w:sz w:val="24"/>
        </w:rPr>
      </w:pPr>
      <w:r>
        <w:rPr>
          <w:rFonts w:hint="eastAsia" w:ascii="宋体" w:hAnsi="宋体" w:cs="宋体"/>
          <w:sz w:val="24"/>
        </w:rPr>
        <w:t>成交人确定后，遴选人在公告成交结果的同时向成交人发出成交通知书（成交人自行向遴选人领取）。</w:t>
      </w:r>
    </w:p>
    <w:p w14:paraId="592EC015">
      <w:pPr>
        <w:snapToGrid w:val="0"/>
        <w:spacing w:line="360" w:lineRule="auto"/>
        <w:ind w:firstLine="480" w:firstLineChars="200"/>
        <w:rPr>
          <w:rFonts w:ascii="宋体" w:hAnsi="宋体" w:cs="宋体"/>
          <w:sz w:val="24"/>
        </w:rPr>
      </w:pPr>
      <w:r>
        <w:rPr>
          <w:rFonts w:hint="eastAsia" w:ascii="宋体" w:hAnsi="宋体" w:cs="宋体"/>
          <w:sz w:val="24"/>
        </w:rPr>
        <w:t>成交通知对遴选人和成交人具有法律约束力。</w:t>
      </w:r>
    </w:p>
    <w:p w14:paraId="718BDA24">
      <w:pPr>
        <w:snapToGrid w:val="0"/>
        <w:spacing w:line="360" w:lineRule="auto"/>
        <w:ind w:firstLine="480" w:firstLineChars="200"/>
        <w:rPr>
          <w:rFonts w:ascii="宋体" w:hAnsi="宋体" w:cs="宋体"/>
          <w:sz w:val="24"/>
        </w:rPr>
      </w:pPr>
      <w:r>
        <w:rPr>
          <w:rFonts w:hint="eastAsia" w:ascii="宋体" w:hAnsi="宋体" w:cs="宋体"/>
          <w:sz w:val="24"/>
        </w:rPr>
        <w:t>遴选人不负责向任何供应商说明成交或不成交的原因。</w:t>
      </w:r>
    </w:p>
    <w:p w14:paraId="1D3C823A">
      <w:pPr>
        <w:adjustRightInd w:val="0"/>
        <w:snapToGrid w:val="0"/>
        <w:spacing w:line="360" w:lineRule="auto"/>
        <w:ind w:firstLine="464" w:firstLineChars="200"/>
        <w:rPr>
          <w:rFonts w:ascii="宋体" w:hAnsi="宋体" w:cs="宋体"/>
          <w:spacing w:val="-4"/>
          <w:kern w:val="32"/>
          <w:sz w:val="24"/>
        </w:rPr>
      </w:pPr>
    </w:p>
    <w:p w14:paraId="355CBB52">
      <w:pPr>
        <w:snapToGrid w:val="0"/>
        <w:spacing w:line="360" w:lineRule="auto"/>
        <w:ind w:firstLine="482" w:firstLineChars="200"/>
        <w:rPr>
          <w:rFonts w:ascii="宋体" w:hAnsi="宋体" w:cs="宋体"/>
          <w:b/>
          <w:sz w:val="24"/>
        </w:rPr>
      </w:pPr>
      <w:bookmarkStart w:id="73" w:name="_Toc288738428"/>
      <w:bookmarkStart w:id="74" w:name="_Toc288738354"/>
      <w:bookmarkStart w:id="75" w:name="_Toc288738822"/>
      <w:r>
        <w:rPr>
          <w:rFonts w:hint="eastAsia" w:ascii="宋体" w:hAnsi="宋体" w:cs="宋体"/>
          <w:b/>
          <w:sz w:val="24"/>
        </w:rPr>
        <w:t>二十六、授予合同，合同条款</w:t>
      </w:r>
      <w:bookmarkEnd w:id="73"/>
      <w:bookmarkEnd w:id="74"/>
      <w:bookmarkEnd w:id="75"/>
    </w:p>
    <w:p w14:paraId="418B00DF">
      <w:pPr>
        <w:snapToGrid w:val="0"/>
        <w:spacing w:line="360" w:lineRule="auto"/>
        <w:ind w:firstLine="480" w:firstLineChars="200"/>
        <w:rPr>
          <w:rFonts w:ascii="宋体" w:hAnsi="宋体" w:cs="宋体"/>
          <w:sz w:val="24"/>
        </w:rPr>
      </w:pPr>
      <w:r>
        <w:rPr>
          <w:rFonts w:hint="eastAsia" w:ascii="宋体" w:hAnsi="宋体" w:cs="宋体"/>
          <w:sz w:val="24"/>
        </w:rPr>
        <w:t>1、成交人应当在成交通知书发出之日起的</w:t>
      </w:r>
      <w:r>
        <w:rPr>
          <w:rFonts w:hint="eastAsia" w:ascii="宋体" w:hAnsi="宋体" w:cs="宋体"/>
          <w:sz w:val="24"/>
          <w:u w:val="single"/>
        </w:rPr>
        <w:t>三十日</w:t>
      </w:r>
      <w:r>
        <w:rPr>
          <w:rFonts w:hint="eastAsia" w:ascii="宋体" w:hAnsi="宋体" w:cs="宋体"/>
          <w:sz w:val="24"/>
        </w:rPr>
        <w:t>内与遴选人签订合同。</w:t>
      </w:r>
    </w:p>
    <w:p w14:paraId="0CAD3AD0">
      <w:pPr>
        <w:snapToGrid w:val="0"/>
        <w:spacing w:line="360" w:lineRule="auto"/>
        <w:ind w:firstLine="480" w:firstLineChars="200"/>
        <w:rPr>
          <w:rFonts w:ascii="宋体" w:hAnsi="宋体" w:cs="宋体"/>
          <w:sz w:val="24"/>
        </w:rPr>
      </w:pPr>
      <w:r>
        <w:rPr>
          <w:rFonts w:hint="eastAsia" w:ascii="宋体" w:hAnsi="宋体" w:cs="宋体"/>
          <w:sz w:val="24"/>
        </w:rPr>
        <w:t>2、成交人应按成交通知书指定的时间、地点派代表与遴选人具体商谈签订合同。遴选文件、成交人的响应文件及澄清文件等，均为签订合同的依据。</w:t>
      </w:r>
    </w:p>
    <w:p w14:paraId="6CB60232">
      <w:pPr>
        <w:snapToGrid w:val="0"/>
        <w:spacing w:line="360" w:lineRule="auto"/>
        <w:ind w:firstLine="480" w:firstLineChars="200"/>
        <w:rPr>
          <w:rFonts w:ascii="宋体" w:hAnsi="宋体" w:cs="宋体"/>
          <w:sz w:val="24"/>
        </w:rPr>
      </w:pPr>
      <w:r>
        <w:rPr>
          <w:rFonts w:hint="eastAsia" w:ascii="宋体" w:hAnsi="宋体" w:cs="宋体"/>
          <w:sz w:val="24"/>
        </w:rPr>
        <w:t>3、遴选人在授予合同时有权对“响应文件”中的货物内容在合法范围内进行调整。</w:t>
      </w:r>
    </w:p>
    <w:p w14:paraId="1D7F20B1">
      <w:pPr>
        <w:snapToGrid w:val="0"/>
        <w:spacing w:line="360" w:lineRule="auto"/>
        <w:ind w:firstLine="480" w:firstLineChars="200"/>
        <w:rPr>
          <w:rFonts w:ascii="宋体" w:hAnsi="宋体" w:cs="宋体"/>
          <w:sz w:val="24"/>
        </w:rPr>
      </w:pPr>
      <w:r>
        <w:rPr>
          <w:rFonts w:hint="eastAsia" w:ascii="宋体" w:hAnsi="宋体" w:cs="宋体"/>
          <w:sz w:val="24"/>
        </w:rPr>
        <w:t>4、成交人因不可抗力导致无法按期签订合同的，应当在不可抗力发生之日起5日内提出，并提供书面证据，遴选人及成交人互不承担任何责任及损失。如成交人无正当理由未按期签订合同的，视为自动放弃成交资格，并承担违约责任。</w:t>
      </w:r>
    </w:p>
    <w:p w14:paraId="308F5F1A">
      <w:pPr>
        <w:snapToGrid w:val="0"/>
        <w:spacing w:line="360" w:lineRule="auto"/>
        <w:ind w:firstLine="470" w:firstLineChars="196"/>
      </w:pPr>
      <w:r>
        <w:rPr>
          <w:rFonts w:hint="eastAsia" w:ascii="宋体" w:hAnsi="宋体" w:cs="宋体"/>
          <w:sz w:val="24"/>
        </w:rPr>
        <w:t>5、货款支付方式：见合同相应条款。对于满足合同约定支付条件的，遴选人应当在收到发票后10个工作日内按时足额支付资金。</w:t>
      </w:r>
    </w:p>
    <w:p w14:paraId="07402F42">
      <w:pPr>
        <w:snapToGrid w:val="0"/>
        <w:spacing w:line="360" w:lineRule="auto"/>
        <w:ind w:firstLine="480" w:firstLineChars="200"/>
        <w:rPr>
          <w:rFonts w:ascii="宋体" w:hAnsi="宋体" w:cs="宋体"/>
          <w:color w:val="FF0000"/>
          <w:sz w:val="24"/>
        </w:rPr>
      </w:pPr>
    </w:p>
    <w:p w14:paraId="6FD26CF6">
      <w:pPr>
        <w:snapToGrid w:val="0"/>
        <w:spacing w:line="360" w:lineRule="auto"/>
        <w:ind w:firstLine="482" w:firstLineChars="200"/>
        <w:rPr>
          <w:rFonts w:ascii="宋体" w:hAnsi="宋体" w:cs="宋体"/>
          <w:b/>
          <w:sz w:val="24"/>
        </w:rPr>
      </w:pPr>
      <w:r>
        <w:rPr>
          <w:rFonts w:hint="eastAsia" w:ascii="宋体" w:hAnsi="宋体" w:cs="宋体"/>
          <w:b/>
          <w:sz w:val="24"/>
        </w:rPr>
        <w:t>二十七、供应商异议的提出和答复</w:t>
      </w:r>
    </w:p>
    <w:p w14:paraId="76AAFB85">
      <w:pPr>
        <w:snapToGrid w:val="0"/>
        <w:spacing w:line="360" w:lineRule="auto"/>
        <w:ind w:firstLine="480" w:firstLineChars="200"/>
        <w:rPr>
          <w:rFonts w:ascii="宋体" w:hAnsi="宋体" w:cs="宋体"/>
          <w:sz w:val="24"/>
        </w:rPr>
      </w:pPr>
      <w:r>
        <w:rPr>
          <w:rFonts w:hint="eastAsia" w:ascii="宋体" w:hAnsi="宋体" w:cs="宋体"/>
          <w:sz w:val="24"/>
        </w:rPr>
        <w:t>1、供应商认为遴选文件、遴选过程、成交或者成交结果使自己的权益受到损害的，可以在知道或者应知其权益受到损害之日起7个工作日内，以书面形式向遴选人提出异议。供应商应当在法定异议期内一次性提出针对同一遴选程序环节的异议。</w:t>
      </w:r>
    </w:p>
    <w:p w14:paraId="18801BB9">
      <w:pPr>
        <w:snapToGrid w:val="0"/>
        <w:spacing w:line="360" w:lineRule="auto"/>
        <w:ind w:firstLine="480" w:firstLineChars="200"/>
        <w:rPr>
          <w:rFonts w:ascii="宋体" w:hAnsi="宋体" w:cs="宋体"/>
          <w:sz w:val="24"/>
        </w:rPr>
      </w:pPr>
      <w:r>
        <w:rPr>
          <w:rFonts w:hint="eastAsia" w:ascii="宋体" w:hAnsi="宋体" w:cs="宋体"/>
          <w:sz w:val="24"/>
        </w:rPr>
        <w:t>2、供应商提出异议应当提交异议函和必要的证明材料。异议函应当包括下列内容：</w:t>
      </w:r>
    </w:p>
    <w:p w14:paraId="05B44C2C">
      <w:pPr>
        <w:snapToGrid w:val="0"/>
        <w:spacing w:line="360" w:lineRule="auto"/>
        <w:ind w:firstLine="480" w:firstLineChars="200"/>
        <w:rPr>
          <w:rFonts w:ascii="宋体" w:hAnsi="宋体" w:cs="宋体"/>
          <w:sz w:val="24"/>
        </w:rPr>
      </w:pPr>
      <w:r>
        <w:rPr>
          <w:rFonts w:hint="eastAsia" w:ascii="宋体" w:hAnsi="宋体" w:cs="宋体"/>
          <w:sz w:val="24"/>
        </w:rPr>
        <w:t>　　（一）供应商的姓名或者名称、地址、邮编、联系人及联系电话；</w:t>
      </w:r>
    </w:p>
    <w:p w14:paraId="70DADDCB">
      <w:pPr>
        <w:snapToGrid w:val="0"/>
        <w:spacing w:line="360" w:lineRule="auto"/>
        <w:ind w:firstLine="480" w:firstLineChars="200"/>
        <w:rPr>
          <w:rFonts w:ascii="宋体" w:hAnsi="宋体" w:cs="宋体"/>
          <w:sz w:val="24"/>
        </w:rPr>
      </w:pPr>
      <w:r>
        <w:rPr>
          <w:rFonts w:hint="eastAsia" w:ascii="宋体" w:hAnsi="宋体" w:cs="宋体"/>
          <w:sz w:val="24"/>
        </w:rPr>
        <w:t>　　（二）异议项目的名称、编号；</w:t>
      </w:r>
    </w:p>
    <w:p w14:paraId="177B9C3A">
      <w:pPr>
        <w:snapToGrid w:val="0"/>
        <w:spacing w:line="360" w:lineRule="auto"/>
        <w:ind w:firstLine="480" w:firstLineChars="200"/>
        <w:rPr>
          <w:rFonts w:ascii="宋体" w:hAnsi="宋体" w:cs="宋体"/>
          <w:sz w:val="24"/>
        </w:rPr>
      </w:pPr>
      <w:r>
        <w:rPr>
          <w:rFonts w:hint="eastAsia" w:ascii="宋体" w:hAnsi="宋体" w:cs="宋体"/>
          <w:sz w:val="24"/>
        </w:rPr>
        <w:t>　　（三）具体、明确的异议事项和与异议事项相关的请求；</w:t>
      </w:r>
    </w:p>
    <w:p w14:paraId="7C250AB3">
      <w:pPr>
        <w:snapToGrid w:val="0"/>
        <w:spacing w:line="360" w:lineRule="auto"/>
        <w:ind w:firstLine="480" w:firstLineChars="200"/>
        <w:rPr>
          <w:rFonts w:ascii="宋体" w:hAnsi="宋体" w:cs="宋体"/>
          <w:sz w:val="24"/>
        </w:rPr>
      </w:pPr>
      <w:r>
        <w:rPr>
          <w:rFonts w:hint="eastAsia" w:ascii="宋体" w:hAnsi="宋体" w:cs="宋体"/>
          <w:sz w:val="24"/>
        </w:rPr>
        <w:t>　　（四）事实依据；</w:t>
      </w:r>
    </w:p>
    <w:p w14:paraId="3418669F">
      <w:pPr>
        <w:snapToGrid w:val="0"/>
        <w:spacing w:line="360" w:lineRule="auto"/>
        <w:ind w:firstLine="480" w:firstLineChars="200"/>
        <w:rPr>
          <w:rFonts w:ascii="宋体" w:hAnsi="宋体" w:cs="宋体"/>
          <w:sz w:val="24"/>
        </w:rPr>
      </w:pPr>
      <w:r>
        <w:rPr>
          <w:rFonts w:hint="eastAsia" w:ascii="宋体" w:hAnsi="宋体" w:cs="宋体"/>
          <w:sz w:val="24"/>
        </w:rPr>
        <w:t>　　（五）必要的法律依据；</w:t>
      </w:r>
    </w:p>
    <w:p w14:paraId="43DBD925">
      <w:pPr>
        <w:snapToGrid w:val="0"/>
        <w:spacing w:line="360" w:lineRule="auto"/>
        <w:ind w:firstLine="480" w:firstLineChars="200"/>
        <w:rPr>
          <w:rFonts w:ascii="宋体" w:hAnsi="宋体" w:cs="宋体"/>
          <w:sz w:val="24"/>
        </w:rPr>
      </w:pPr>
      <w:r>
        <w:rPr>
          <w:rFonts w:hint="eastAsia" w:ascii="宋体" w:hAnsi="宋体" w:cs="宋体"/>
          <w:sz w:val="24"/>
        </w:rPr>
        <w:t>　　（六）提出异议的日期。</w:t>
      </w:r>
    </w:p>
    <w:p w14:paraId="69F77E84">
      <w:pPr>
        <w:snapToGrid w:val="0"/>
        <w:spacing w:line="360" w:lineRule="auto"/>
        <w:ind w:firstLine="960" w:firstLineChars="400"/>
        <w:rPr>
          <w:rFonts w:ascii="宋体" w:hAnsi="宋体" w:cs="宋体"/>
          <w:sz w:val="24"/>
        </w:rPr>
      </w:pPr>
      <w:r>
        <w:rPr>
          <w:rFonts w:hint="eastAsia" w:ascii="宋体" w:hAnsi="宋体" w:cs="宋体"/>
          <w:sz w:val="24"/>
        </w:rPr>
        <w:t>（七）如代理人提交异议函的，提供身份证明和授权委托书</w:t>
      </w:r>
    </w:p>
    <w:p w14:paraId="56BD8636">
      <w:pPr>
        <w:snapToGrid w:val="0"/>
        <w:spacing w:line="360" w:lineRule="auto"/>
        <w:ind w:firstLine="480" w:firstLineChars="20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供应商为自然人的，应当由本人签字；供应商为法人或者其他组织的，应当由法定代表人、主要负责人，或者其授权代表签字或者盖章，并加盖公章。</w:t>
      </w:r>
    </w:p>
    <w:p w14:paraId="3A46AF02">
      <w:pPr>
        <w:snapToGrid w:val="0"/>
        <w:spacing w:line="360" w:lineRule="auto"/>
        <w:ind w:firstLine="480" w:firstLineChars="200"/>
        <w:rPr>
          <w:rFonts w:ascii="宋体" w:hAnsi="宋体" w:cs="宋体"/>
          <w:sz w:val="24"/>
        </w:rPr>
      </w:pPr>
      <w:r>
        <w:rPr>
          <w:rFonts w:hint="eastAsia" w:ascii="宋体" w:hAnsi="宋体" w:cs="宋体"/>
          <w:sz w:val="24"/>
        </w:rPr>
        <w:t>异议函应按照范本格式和要求制作，详见附件</w:t>
      </w:r>
      <w:r>
        <w:rPr>
          <w:rFonts w:hint="eastAsia" w:ascii="宋体" w:hAnsi="宋体" w:cs="宋体"/>
          <w:sz w:val="24"/>
          <w:lang w:eastAsia="zh-CN"/>
        </w:rPr>
        <w:t>五</w:t>
      </w:r>
      <w:r>
        <w:rPr>
          <w:rFonts w:hint="eastAsia" w:ascii="宋体" w:hAnsi="宋体" w:cs="宋体"/>
          <w:sz w:val="24"/>
        </w:rPr>
        <w:t>。</w:t>
      </w:r>
    </w:p>
    <w:p w14:paraId="114CD9DF">
      <w:pPr>
        <w:snapToGrid w:val="0"/>
        <w:spacing w:line="360" w:lineRule="auto"/>
        <w:ind w:firstLine="480" w:firstLineChars="200"/>
        <w:rPr>
          <w:rFonts w:ascii="宋体" w:hAnsi="宋体" w:cs="宋体"/>
          <w:sz w:val="24"/>
        </w:rPr>
      </w:pPr>
      <w:r>
        <w:rPr>
          <w:rFonts w:hint="eastAsia" w:ascii="宋体" w:hAnsi="宋体" w:cs="宋体"/>
          <w:sz w:val="24"/>
        </w:rPr>
        <w:t>3、异议由遴选人接收并负责答复。</w:t>
      </w:r>
      <w:r>
        <w:rPr>
          <w:sz w:val="24"/>
        </w:rPr>
        <w:t>接收询问和异议的联系</w:t>
      </w:r>
      <w:r>
        <w:rPr>
          <w:rFonts w:hint="eastAsia"/>
          <w:sz w:val="24"/>
        </w:rPr>
        <w:t>人</w:t>
      </w:r>
      <w:r>
        <w:rPr>
          <w:sz w:val="24"/>
        </w:rPr>
        <w:t>、联系电话和通讯地址见</w:t>
      </w:r>
      <w:r>
        <w:rPr>
          <w:rFonts w:hint="eastAsia"/>
          <w:sz w:val="24"/>
        </w:rPr>
        <w:t>公告。</w:t>
      </w:r>
    </w:p>
    <w:p w14:paraId="4C4F0CE3"/>
    <w:p w14:paraId="0FAE483E"/>
    <w:p w14:paraId="2C163BF4"/>
    <w:p w14:paraId="6C06D9C7"/>
    <w:p w14:paraId="5DDD94D6">
      <w:pPr>
        <w:pStyle w:val="3"/>
        <w:keepNext w:val="0"/>
        <w:snapToGrid w:val="0"/>
        <w:ind w:left="0" w:firstLine="0"/>
        <w:rPr>
          <w:rFonts w:ascii="宋体" w:hAnsi="宋体" w:eastAsia="宋体"/>
          <w:sz w:val="32"/>
          <w:szCs w:val="32"/>
        </w:rPr>
      </w:pPr>
      <w:bookmarkStart w:id="76" w:name="_Toc179815312"/>
      <w:r>
        <w:rPr>
          <w:rFonts w:hint="eastAsia" w:ascii="黑体" w:hAnsi="黑体" w:cs="黑体"/>
          <w:b w:val="0"/>
          <w:bCs/>
          <w:szCs w:val="44"/>
        </w:rPr>
        <w:t>第六章 响应文件格式</w:t>
      </w:r>
      <w:bookmarkEnd w:id="76"/>
    </w:p>
    <w:p w14:paraId="18A3C52A">
      <w:pPr>
        <w:rPr>
          <w:rFonts w:ascii="宋体" w:hAnsi="宋体"/>
          <w:b/>
          <w:sz w:val="28"/>
          <w:szCs w:val="28"/>
        </w:rPr>
      </w:pPr>
      <w:bookmarkStart w:id="77" w:name="_Hlt26671244"/>
      <w:bookmarkEnd w:id="77"/>
      <w:bookmarkStart w:id="78" w:name="_Hlt26955039"/>
      <w:bookmarkEnd w:id="78"/>
      <w:bookmarkStart w:id="79" w:name="_Toc120614282"/>
      <w:bookmarkStart w:id="80" w:name="_Toc26554094"/>
      <w:bookmarkStart w:id="81" w:name="_Toc49090576"/>
    </w:p>
    <w:p w14:paraId="5DCF938E">
      <w:pPr>
        <w:rPr>
          <w:rFonts w:ascii="宋体" w:hAnsi="宋体"/>
          <w:b/>
          <w:sz w:val="72"/>
        </w:rPr>
      </w:pPr>
    </w:p>
    <w:p w14:paraId="7F5C8A5F">
      <w:pPr>
        <w:jc w:val="center"/>
        <w:rPr>
          <w:rFonts w:ascii="宋体" w:hAnsi="宋体"/>
          <w:b/>
          <w:sz w:val="72"/>
        </w:rPr>
      </w:pPr>
      <w:r>
        <w:rPr>
          <w:rFonts w:hint="eastAsia" w:ascii="宋体" w:hAnsi="宋体"/>
          <w:b/>
          <w:sz w:val="72"/>
        </w:rPr>
        <w:t xml:space="preserve">响  </w:t>
      </w:r>
      <w:r>
        <w:rPr>
          <w:rFonts w:hint="eastAsia" w:ascii="宋体" w:hAnsi="宋体"/>
          <w:b/>
          <w:kern w:val="0"/>
          <w:sz w:val="72"/>
        </w:rPr>
        <w:t>应</w:t>
      </w:r>
      <w:r>
        <w:rPr>
          <w:rFonts w:hint="eastAsia" w:ascii="宋体" w:hAnsi="宋体"/>
          <w:b/>
          <w:sz w:val="72"/>
        </w:rPr>
        <w:t xml:space="preserve">  文  件</w:t>
      </w:r>
    </w:p>
    <w:p w14:paraId="1C354BE9">
      <w:pPr>
        <w:jc w:val="center"/>
        <w:rPr>
          <w:rFonts w:ascii="宋体" w:hAnsi="宋体"/>
          <w:b/>
          <w:sz w:val="72"/>
        </w:rPr>
      </w:pPr>
    </w:p>
    <w:p w14:paraId="43ADE49D">
      <w:pPr>
        <w:jc w:val="center"/>
        <w:rPr>
          <w:rFonts w:ascii="宋体" w:hAnsi="宋体"/>
          <w:b/>
          <w:sz w:val="72"/>
        </w:rPr>
      </w:pPr>
    </w:p>
    <w:p w14:paraId="01283301">
      <w:pPr>
        <w:jc w:val="center"/>
        <w:rPr>
          <w:rFonts w:ascii="宋体" w:hAnsi="宋体"/>
          <w:b/>
          <w:sz w:val="36"/>
        </w:rPr>
      </w:pPr>
    </w:p>
    <w:p w14:paraId="7E396A47">
      <w:pPr>
        <w:jc w:val="center"/>
        <w:rPr>
          <w:rFonts w:ascii="宋体" w:hAnsi="宋体"/>
          <w:b/>
          <w:sz w:val="36"/>
        </w:rPr>
      </w:pPr>
    </w:p>
    <w:p w14:paraId="7BAF197B">
      <w:pPr>
        <w:jc w:val="center"/>
        <w:rPr>
          <w:rFonts w:ascii="宋体" w:hAnsi="宋体"/>
          <w:b/>
          <w:sz w:val="36"/>
        </w:rPr>
      </w:pPr>
    </w:p>
    <w:p w14:paraId="07717A73">
      <w:pPr>
        <w:ind w:firstLine="1084" w:firstLineChars="300"/>
        <w:rPr>
          <w:rFonts w:ascii="宋体" w:hAnsi="宋体"/>
          <w:b/>
          <w:sz w:val="36"/>
        </w:rPr>
      </w:pPr>
      <w:r>
        <w:rPr>
          <w:rFonts w:hint="eastAsia" w:ascii="宋体" w:hAnsi="宋体"/>
          <w:b/>
          <w:sz w:val="36"/>
        </w:rPr>
        <w:t>项 目 名 称：</w:t>
      </w:r>
      <w:r>
        <w:rPr>
          <w:rFonts w:hint="eastAsia" w:ascii="宋体" w:hAnsi="宋体"/>
          <w:b/>
          <w:sz w:val="36"/>
          <w:u w:val="single"/>
        </w:rPr>
        <w:t xml:space="preserve">               </w:t>
      </w:r>
    </w:p>
    <w:p w14:paraId="27733D82">
      <w:pPr>
        <w:ind w:firstLine="1084" w:firstLineChars="300"/>
        <w:rPr>
          <w:rFonts w:ascii="宋体" w:hAnsi="宋体"/>
          <w:b/>
          <w:sz w:val="36"/>
          <w:u w:val="single"/>
        </w:rPr>
      </w:pPr>
      <w:r>
        <w:rPr>
          <w:rFonts w:hint="eastAsia" w:ascii="宋体" w:hAnsi="宋体"/>
          <w:b/>
          <w:sz w:val="36"/>
        </w:rPr>
        <w:t>项 目 编 号：</w:t>
      </w:r>
      <w:r>
        <w:rPr>
          <w:rFonts w:hint="eastAsia" w:ascii="宋体" w:hAnsi="宋体"/>
          <w:b/>
          <w:sz w:val="36"/>
          <w:u w:val="single"/>
        </w:rPr>
        <w:t xml:space="preserve">               </w:t>
      </w:r>
    </w:p>
    <w:p w14:paraId="0B0B72C1">
      <w:pPr>
        <w:rPr>
          <w:rFonts w:ascii="宋体" w:hAnsi="宋体"/>
          <w:b/>
          <w:sz w:val="36"/>
          <w:u w:val="single"/>
        </w:rPr>
      </w:pPr>
      <w:r>
        <w:rPr>
          <w:rFonts w:hint="eastAsia" w:ascii="宋体" w:hAnsi="宋体"/>
          <w:b/>
          <w:sz w:val="36"/>
        </w:rPr>
        <w:t xml:space="preserve">      供应商名称 ：</w:t>
      </w:r>
      <w:r>
        <w:rPr>
          <w:rFonts w:hint="eastAsia" w:ascii="宋体" w:hAnsi="宋体"/>
          <w:b/>
          <w:sz w:val="36"/>
          <w:u w:val="single"/>
        </w:rPr>
        <w:t xml:space="preserve">               </w:t>
      </w:r>
    </w:p>
    <w:p w14:paraId="513E1760">
      <w:pPr>
        <w:rPr>
          <w:rFonts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14:paraId="56139FBB">
      <w:pPr>
        <w:spacing w:line="440" w:lineRule="exact"/>
        <w:jc w:val="center"/>
        <w:rPr>
          <w:rFonts w:ascii="宋体" w:hAnsi="宋体"/>
          <w:b/>
          <w:bCs/>
          <w:sz w:val="32"/>
          <w:szCs w:val="32"/>
        </w:rPr>
      </w:pPr>
    </w:p>
    <w:p w14:paraId="49E3AB50">
      <w:pPr>
        <w:spacing w:line="440" w:lineRule="exact"/>
        <w:rPr>
          <w:rFonts w:ascii="宋体" w:hAnsi="宋体"/>
        </w:rPr>
      </w:pPr>
    </w:p>
    <w:p w14:paraId="3E3008DC">
      <w:pPr>
        <w:spacing w:line="440" w:lineRule="exact"/>
        <w:jc w:val="center"/>
        <w:rPr>
          <w:rFonts w:ascii="宋体" w:hAnsi="宋体"/>
          <w:b/>
          <w:sz w:val="36"/>
          <w:u w:val="single"/>
        </w:rPr>
      </w:pPr>
    </w:p>
    <w:p w14:paraId="53D0AFDF">
      <w:pPr>
        <w:spacing w:line="440" w:lineRule="exact"/>
        <w:jc w:val="center"/>
        <w:rPr>
          <w:rFonts w:ascii="宋体" w:hAnsi="宋体"/>
          <w:b/>
          <w:sz w:val="36"/>
          <w:u w:val="single"/>
        </w:rPr>
      </w:pPr>
    </w:p>
    <w:p w14:paraId="07F7D096">
      <w:pPr>
        <w:spacing w:line="440" w:lineRule="exact"/>
        <w:jc w:val="center"/>
        <w:rPr>
          <w:rFonts w:ascii="宋体" w:hAnsi="宋体"/>
          <w:b/>
          <w:sz w:val="36"/>
          <w:u w:val="single"/>
        </w:rPr>
      </w:pPr>
    </w:p>
    <w:p w14:paraId="4909C469">
      <w:pPr>
        <w:spacing w:line="440" w:lineRule="exact"/>
        <w:jc w:val="center"/>
        <w:rPr>
          <w:rFonts w:ascii="宋体" w:hAnsi="宋体"/>
          <w:b/>
          <w:sz w:val="36"/>
          <w:u w:val="single"/>
        </w:rPr>
      </w:pPr>
    </w:p>
    <w:p w14:paraId="16C0D9A5">
      <w:pPr>
        <w:spacing w:line="440" w:lineRule="exact"/>
        <w:jc w:val="center"/>
        <w:rPr>
          <w:rFonts w:ascii="宋体" w:hAnsi="宋体"/>
          <w:b/>
          <w:sz w:val="36"/>
          <w:u w:val="single"/>
        </w:rPr>
      </w:pPr>
    </w:p>
    <w:p w14:paraId="7F6A5F30">
      <w:pPr>
        <w:spacing w:line="440" w:lineRule="exact"/>
        <w:jc w:val="center"/>
        <w:rPr>
          <w:rFonts w:ascii="宋体" w:hAnsi="宋体"/>
          <w:b/>
          <w:sz w:val="36"/>
          <w:u w:val="single"/>
        </w:rPr>
      </w:pPr>
    </w:p>
    <w:p w14:paraId="2ED2A2E2">
      <w:pPr>
        <w:spacing w:line="440" w:lineRule="exact"/>
        <w:jc w:val="center"/>
        <w:rPr>
          <w:rFonts w:ascii="宋体" w:hAnsi="宋体"/>
          <w:b/>
          <w:sz w:val="36"/>
          <w:u w:val="single"/>
        </w:rPr>
      </w:pPr>
    </w:p>
    <w:p w14:paraId="61BF880C">
      <w:pPr>
        <w:spacing w:line="440" w:lineRule="exact"/>
        <w:jc w:val="center"/>
        <w:rPr>
          <w:rFonts w:ascii="宋体" w:hAnsi="宋体"/>
          <w:b/>
          <w:sz w:val="36"/>
          <w:u w:val="single"/>
        </w:rPr>
      </w:pPr>
    </w:p>
    <w:p w14:paraId="0BD32D4C">
      <w:pPr>
        <w:spacing w:line="440" w:lineRule="exact"/>
        <w:jc w:val="center"/>
        <w:rPr>
          <w:rFonts w:ascii="宋体" w:hAnsi="宋体"/>
          <w:b/>
          <w:bCs/>
          <w:sz w:val="44"/>
          <w:szCs w:val="44"/>
        </w:rPr>
      </w:pPr>
      <w:r>
        <w:rPr>
          <w:rFonts w:hint="eastAsia" w:ascii="宋体" w:hAnsi="宋体"/>
          <w:b/>
          <w:bCs/>
          <w:sz w:val="44"/>
          <w:szCs w:val="44"/>
        </w:rPr>
        <w:t>响应文件格式目录</w:t>
      </w:r>
    </w:p>
    <w:p w14:paraId="3F7D7688">
      <w:pPr>
        <w:spacing w:line="440" w:lineRule="exact"/>
        <w:jc w:val="center"/>
        <w:rPr>
          <w:rFonts w:ascii="宋体" w:hAnsi="宋体"/>
          <w:b/>
          <w:bCs/>
          <w:sz w:val="32"/>
          <w:szCs w:val="32"/>
        </w:rPr>
      </w:pPr>
    </w:p>
    <w:p w14:paraId="4B39028B">
      <w:pPr>
        <w:ind w:firstLine="480" w:firstLineChars="200"/>
        <w:rPr>
          <w:rFonts w:ascii="宋体" w:hAnsi="宋体"/>
          <w:sz w:val="24"/>
        </w:rPr>
      </w:pPr>
    </w:p>
    <w:p w14:paraId="65235EBE">
      <w:pPr>
        <w:ind w:firstLine="640" w:firstLineChars="200"/>
        <w:rPr>
          <w:rFonts w:ascii="宋体" w:hAnsi="宋体"/>
          <w:sz w:val="32"/>
          <w:szCs w:val="32"/>
        </w:rPr>
      </w:pPr>
      <w:r>
        <w:rPr>
          <w:rFonts w:hint="eastAsia" w:ascii="宋体" w:hAnsi="宋体"/>
          <w:sz w:val="32"/>
          <w:szCs w:val="32"/>
        </w:rPr>
        <w:t>一、供应商情况说明</w:t>
      </w:r>
    </w:p>
    <w:p w14:paraId="18F68D78">
      <w:pPr>
        <w:ind w:firstLine="640" w:firstLineChars="200"/>
        <w:rPr>
          <w:rFonts w:ascii="宋体" w:hAnsi="宋体"/>
          <w:sz w:val="32"/>
          <w:szCs w:val="32"/>
        </w:rPr>
      </w:pPr>
      <w:r>
        <w:rPr>
          <w:rFonts w:hint="eastAsia" w:ascii="宋体" w:hAnsi="宋体"/>
          <w:sz w:val="32"/>
          <w:szCs w:val="32"/>
        </w:rPr>
        <w:t>二、资格审查响应对照表</w:t>
      </w:r>
    </w:p>
    <w:p w14:paraId="459E0464">
      <w:pPr>
        <w:ind w:left="480" w:firstLine="160" w:firstLineChars="50"/>
        <w:rPr>
          <w:rFonts w:ascii="宋体" w:hAnsi="宋体"/>
          <w:sz w:val="32"/>
          <w:szCs w:val="32"/>
        </w:rPr>
      </w:pPr>
      <w:r>
        <w:rPr>
          <w:rFonts w:hint="eastAsia" w:ascii="宋体" w:hAnsi="宋体"/>
          <w:sz w:val="32"/>
          <w:szCs w:val="32"/>
        </w:rPr>
        <w:t>三、符合性审查响应对照表</w:t>
      </w:r>
    </w:p>
    <w:p w14:paraId="5A1B5B53">
      <w:pPr>
        <w:ind w:left="480" w:firstLine="160" w:firstLineChars="50"/>
        <w:rPr>
          <w:rFonts w:ascii="宋体" w:hAnsi="宋体"/>
          <w:sz w:val="32"/>
          <w:szCs w:val="32"/>
        </w:rPr>
      </w:pPr>
      <w:r>
        <w:rPr>
          <w:rFonts w:hint="eastAsia" w:ascii="宋体" w:hAnsi="宋体"/>
          <w:sz w:val="32"/>
          <w:szCs w:val="32"/>
        </w:rPr>
        <w:t>四、评分索引表</w:t>
      </w:r>
    </w:p>
    <w:p w14:paraId="668B67AD">
      <w:pPr>
        <w:ind w:firstLine="640" w:firstLineChars="200"/>
        <w:rPr>
          <w:rFonts w:ascii="宋体" w:hAnsi="宋体"/>
          <w:sz w:val="32"/>
          <w:szCs w:val="32"/>
        </w:rPr>
      </w:pPr>
      <w:r>
        <w:rPr>
          <w:rFonts w:hint="eastAsia" w:ascii="宋体" w:hAnsi="宋体"/>
          <w:sz w:val="32"/>
          <w:szCs w:val="32"/>
        </w:rPr>
        <w:t>五、资格证明文件</w:t>
      </w:r>
    </w:p>
    <w:p w14:paraId="7C33D04D">
      <w:pPr>
        <w:ind w:firstLine="640" w:firstLineChars="200"/>
        <w:rPr>
          <w:rFonts w:ascii="宋体" w:hAnsi="宋体"/>
          <w:sz w:val="32"/>
          <w:szCs w:val="32"/>
        </w:rPr>
      </w:pPr>
      <w:r>
        <w:rPr>
          <w:rFonts w:hint="eastAsia" w:ascii="宋体" w:hAnsi="宋体"/>
          <w:sz w:val="32"/>
          <w:szCs w:val="32"/>
          <w:lang w:eastAsia="zh-CN"/>
        </w:rPr>
        <w:t>六</w:t>
      </w:r>
      <w:r>
        <w:rPr>
          <w:rFonts w:hint="eastAsia" w:ascii="宋体" w:hAnsi="宋体"/>
          <w:sz w:val="32"/>
          <w:szCs w:val="32"/>
        </w:rPr>
        <w:t>、技术参数响应及偏离表</w:t>
      </w:r>
    </w:p>
    <w:p w14:paraId="6ACB0C63">
      <w:pPr>
        <w:ind w:firstLine="640" w:firstLineChars="200"/>
        <w:rPr>
          <w:rFonts w:ascii="宋体" w:hAnsi="宋体"/>
          <w:sz w:val="32"/>
          <w:szCs w:val="32"/>
        </w:rPr>
      </w:pPr>
      <w:r>
        <w:rPr>
          <w:rFonts w:hint="eastAsia" w:ascii="宋体" w:hAnsi="宋体"/>
          <w:sz w:val="32"/>
          <w:szCs w:val="32"/>
          <w:lang w:eastAsia="zh-CN"/>
        </w:rPr>
        <w:t>七</w:t>
      </w:r>
      <w:r>
        <w:rPr>
          <w:rFonts w:hint="eastAsia" w:ascii="宋体" w:hAnsi="宋体"/>
          <w:sz w:val="32"/>
          <w:szCs w:val="32"/>
        </w:rPr>
        <w:t>、项目实施方案等</w:t>
      </w:r>
    </w:p>
    <w:p w14:paraId="0AA719E5">
      <w:pPr>
        <w:ind w:firstLine="640" w:firstLineChars="200"/>
        <w:rPr>
          <w:rFonts w:ascii="宋体" w:hAnsi="宋体"/>
          <w:sz w:val="32"/>
          <w:szCs w:val="32"/>
        </w:rPr>
      </w:pPr>
      <w:r>
        <w:rPr>
          <w:rFonts w:hint="eastAsia" w:ascii="宋体" w:hAnsi="宋体"/>
          <w:sz w:val="32"/>
          <w:szCs w:val="32"/>
          <w:lang w:eastAsia="zh-CN"/>
        </w:rPr>
        <w:t>八</w:t>
      </w:r>
      <w:r>
        <w:rPr>
          <w:rFonts w:hint="eastAsia" w:ascii="宋体" w:hAnsi="宋体"/>
          <w:sz w:val="32"/>
          <w:szCs w:val="32"/>
        </w:rPr>
        <w:t>、其他评审相关材料</w:t>
      </w:r>
    </w:p>
    <w:p w14:paraId="47991745">
      <w:pPr>
        <w:ind w:firstLine="640" w:firstLineChars="200"/>
        <w:rPr>
          <w:rFonts w:ascii="宋体" w:hAnsi="宋体"/>
          <w:sz w:val="32"/>
          <w:szCs w:val="32"/>
        </w:rPr>
      </w:pPr>
      <w:r>
        <w:rPr>
          <w:rFonts w:hint="eastAsia" w:ascii="宋体" w:hAnsi="宋体"/>
          <w:sz w:val="32"/>
          <w:szCs w:val="32"/>
          <w:lang w:eastAsia="zh-CN"/>
        </w:rPr>
        <w:t>九</w:t>
      </w:r>
      <w:r>
        <w:rPr>
          <w:rFonts w:hint="eastAsia" w:ascii="宋体" w:hAnsi="宋体"/>
          <w:sz w:val="32"/>
          <w:szCs w:val="32"/>
        </w:rPr>
        <w:t>、其他附表</w:t>
      </w:r>
    </w:p>
    <w:p w14:paraId="49C4B6A2">
      <w:pPr>
        <w:spacing w:line="440" w:lineRule="exact"/>
        <w:ind w:firstLine="480" w:firstLineChars="200"/>
        <w:rPr>
          <w:rFonts w:ascii="宋体" w:hAnsi="宋体"/>
          <w:sz w:val="24"/>
        </w:rPr>
      </w:pPr>
    </w:p>
    <w:p w14:paraId="1A9F4D74">
      <w:pPr>
        <w:spacing w:line="440" w:lineRule="exact"/>
        <w:ind w:firstLine="480" w:firstLineChars="200"/>
        <w:rPr>
          <w:rFonts w:ascii="宋体" w:hAnsi="宋体"/>
          <w:sz w:val="24"/>
        </w:rPr>
      </w:pPr>
    </w:p>
    <w:p w14:paraId="6C6B247E">
      <w:pPr>
        <w:spacing w:line="440" w:lineRule="exact"/>
        <w:ind w:firstLine="480" w:firstLineChars="200"/>
        <w:rPr>
          <w:rFonts w:ascii="宋体" w:hAnsi="宋体"/>
          <w:sz w:val="24"/>
        </w:rPr>
      </w:pPr>
    </w:p>
    <w:p w14:paraId="6563EF4E">
      <w:pPr>
        <w:spacing w:line="440" w:lineRule="exact"/>
        <w:ind w:firstLine="480" w:firstLineChars="200"/>
        <w:rPr>
          <w:rFonts w:ascii="宋体" w:hAnsi="宋体"/>
          <w:sz w:val="24"/>
        </w:rPr>
      </w:pPr>
    </w:p>
    <w:p w14:paraId="45E07527">
      <w:pPr>
        <w:spacing w:line="440" w:lineRule="exact"/>
        <w:ind w:firstLine="480" w:firstLineChars="200"/>
        <w:rPr>
          <w:rFonts w:ascii="宋体" w:hAnsi="宋体"/>
          <w:sz w:val="24"/>
        </w:rPr>
      </w:pPr>
    </w:p>
    <w:p w14:paraId="4EFB2FA2">
      <w:pPr>
        <w:spacing w:line="440" w:lineRule="exact"/>
        <w:ind w:firstLine="480" w:firstLineChars="200"/>
        <w:rPr>
          <w:rFonts w:ascii="宋体" w:hAnsi="宋体"/>
          <w:sz w:val="24"/>
        </w:rPr>
      </w:pPr>
    </w:p>
    <w:p w14:paraId="155F4B39">
      <w:pPr>
        <w:spacing w:line="440" w:lineRule="exact"/>
        <w:ind w:firstLine="480" w:firstLineChars="200"/>
        <w:rPr>
          <w:rFonts w:ascii="宋体" w:hAnsi="宋体"/>
          <w:sz w:val="24"/>
        </w:rPr>
      </w:pPr>
    </w:p>
    <w:p w14:paraId="03D5765E">
      <w:pPr>
        <w:spacing w:line="440" w:lineRule="exact"/>
        <w:ind w:firstLine="480" w:firstLineChars="200"/>
        <w:rPr>
          <w:rFonts w:ascii="宋体" w:hAnsi="宋体"/>
          <w:sz w:val="24"/>
        </w:rPr>
      </w:pPr>
    </w:p>
    <w:p w14:paraId="2F2AB184">
      <w:pPr>
        <w:spacing w:line="440" w:lineRule="exact"/>
        <w:ind w:firstLine="480" w:firstLineChars="200"/>
        <w:rPr>
          <w:rFonts w:ascii="宋体" w:hAnsi="宋体"/>
          <w:sz w:val="24"/>
        </w:rPr>
      </w:pPr>
    </w:p>
    <w:p w14:paraId="13E8E5BB">
      <w:pPr>
        <w:spacing w:line="440" w:lineRule="exact"/>
        <w:ind w:firstLine="480" w:firstLineChars="200"/>
        <w:rPr>
          <w:rFonts w:ascii="宋体" w:hAnsi="宋体"/>
          <w:sz w:val="24"/>
        </w:rPr>
      </w:pPr>
    </w:p>
    <w:p w14:paraId="5A00DA08">
      <w:pPr>
        <w:pStyle w:val="2"/>
        <w:ind w:firstLine="420"/>
      </w:pPr>
    </w:p>
    <w:p w14:paraId="2EE18577">
      <w:pPr>
        <w:pStyle w:val="2"/>
        <w:ind w:firstLine="420"/>
      </w:pPr>
    </w:p>
    <w:p w14:paraId="16058334">
      <w:pPr>
        <w:pStyle w:val="2"/>
        <w:ind w:firstLine="420"/>
      </w:pPr>
    </w:p>
    <w:p w14:paraId="6F36AB27">
      <w:pPr>
        <w:pStyle w:val="2"/>
        <w:ind w:firstLine="420"/>
      </w:pPr>
    </w:p>
    <w:p w14:paraId="68C1E310">
      <w:pPr>
        <w:spacing w:line="440" w:lineRule="exact"/>
        <w:ind w:firstLine="480" w:firstLineChars="200"/>
        <w:rPr>
          <w:rFonts w:ascii="宋体" w:hAnsi="宋体"/>
          <w:sz w:val="24"/>
        </w:rPr>
      </w:pPr>
    </w:p>
    <w:p w14:paraId="7130DC7D">
      <w:pPr>
        <w:spacing w:line="440" w:lineRule="exact"/>
        <w:ind w:firstLine="480" w:firstLineChars="200"/>
        <w:rPr>
          <w:rFonts w:ascii="宋体" w:hAnsi="宋体"/>
          <w:sz w:val="24"/>
        </w:rPr>
      </w:pPr>
    </w:p>
    <w:p w14:paraId="7A879507">
      <w:pPr>
        <w:jc w:val="center"/>
        <w:rPr>
          <w:rFonts w:ascii="宋体" w:hAnsi="宋体"/>
          <w:b/>
          <w:sz w:val="32"/>
          <w:szCs w:val="32"/>
        </w:rPr>
      </w:pPr>
      <w:r>
        <w:rPr>
          <w:rFonts w:hint="eastAsia" w:ascii="宋体" w:hAnsi="宋体"/>
          <w:b/>
          <w:sz w:val="32"/>
          <w:szCs w:val="32"/>
        </w:rPr>
        <w:t>一、供应商情况说明</w:t>
      </w:r>
    </w:p>
    <w:p w14:paraId="3E6D23DB">
      <w:pPr>
        <w:snapToGrid w:val="0"/>
        <w:spacing w:line="560" w:lineRule="exact"/>
        <w:ind w:firstLine="640" w:firstLineChars="200"/>
        <w:rPr>
          <w:rFonts w:ascii="宋体" w:hAnsi="宋体"/>
          <w:sz w:val="32"/>
          <w:szCs w:val="32"/>
        </w:rPr>
      </w:pPr>
    </w:p>
    <w:p w14:paraId="7C055B33">
      <w:pPr>
        <w:snapToGrid w:val="0"/>
        <w:spacing w:line="560" w:lineRule="exact"/>
        <w:ind w:firstLine="640" w:firstLineChars="200"/>
        <w:rPr>
          <w:rFonts w:ascii="宋体" w:hAnsi="宋体"/>
          <w:sz w:val="32"/>
          <w:szCs w:val="32"/>
        </w:rPr>
      </w:pPr>
      <w:r>
        <w:rPr>
          <w:rFonts w:hint="eastAsia" w:ascii="宋体" w:hAnsi="宋体"/>
          <w:sz w:val="32"/>
          <w:szCs w:val="32"/>
        </w:rPr>
        <w:t>供应商简要情况介绍，含供应商规模、技术能力及装备水平等、人员情况、典型项目等。供应商自行以文字形式说明。</w:t>
      </w:r>
    </w:p>
    <w:p w14:paraId="7488C124">
      <w:pPr>
        <w:snapToGrid w:val="0"/>
        <w:spacing w:line="560" w:lineRule="exact"/>
        <w:ind w:firstLine="640" w:firstLineChars="200"/>
        <w:rPr>
          <w:rFonts w:ascii="宋体" w:hAnsi="宋体"/>
          <w:sz w:val="32"/>
          <w:szCs w:val="32"/>
        </w:rPr>
      </w:pPr>
    </w:p>
    <w:p w14:paraId="3D66679B">
      <w:pPr>
        <w:snapToGrid w:val="0"/>
        <w:spacing w:line="560" w:lineRule="exact"/>
        <w:ind w:firstLine="640" w:firstLineChars="200"/>
        <w:rPr>
          <w:rFonts w:ascii="宋体" w:hAnsi="宋体"/>
          <w:sz w:val="32"/>
          <w:szCs w:val="32"/>
        </w:rPr>
      </w:pPr>
    </w:p>
    <w:p w14:paraId="1CA183F2">
      <w:pPr>
        <w:snapToGrid w:val="0"/>
        <w:spacing w:line="560" w:lineRule="exact"/>
        <w:ind w:firstLine="640" w:firstLineChars="200"/>
        <w:rPr>
          <w:rFonts w:ascii="宋体" w:hAnsi="宋体"/>
          <w:sz w:val="32"/>
          <w:szCs w:val="32"/>
        </w:rPr>
      </w:pPr>
    </w:p>
    <w:p w14:paraId="7B4F9E32">
      <w:pPr>
        <w:snapToGrid w:val="0"/>
        <w:spacing w:line="560" w:lineRule="exact"/>
        <w:ind w:firstLine="640" w:firstLineChars="200"/>
        <w:rPr>
          <w:rFonts w:ascii="宋体" w:hAnsi="宋体"/>
          <w:sz w:val="32"/>
          <w:szCs w:val="32"/>
        </w:rPr>
      </w:pPr>
    </w:p>
    <w:p w14:paraId="3874E8B7">
      <w:pPr>
        <w:snapToGrid w:val="0"/>
        <w:spacing w:line="560" w:lineRule="exact"/>
        <w:ind w:firstLine="640" w:firstLineChars="200"/>
        <w:rPr>
          <w:rFonts w:ascii="宋体" w:hAnsi="宋体"/>
          <w:sz w:val="32"/>
          <w:szCs w:val="32"/>
        </w:rPr>
      </w:pPr>
    </w:p>
    <w:p w14:paraId="78107464">
      <w:pPr>
        <w:snapToGrid w:val="0"/>
        <w:spacing w:line="560" w:lineRule="exact"/>
        <w:ind w:firstLine="640" w:firstLineChars="200"/>
        <w:rPr>
          <w:rFonts w:ascii="宋体" w:hAnsi="宋体"/>
          <w:sz w:val="32"/>
          <w:szCs w:val="32"/>
        </w:rPr>
      </w:pPr>
    </w:p>
    <w:p w14:paraId="2A4E1E36">
      <w:pPr>
        <w:snapToGrid w:val="0"/>
        <w:spacing w:line="560" w:lineRule="exact"/>
        <w:ind w:firstLine="640" w:firstLineChars="200"/>
        <w:rPr>
          <w:rFonts w:ascii="宋体" w:hAnsi="宋体"/>
          <w:sz w:val="32"/>
          <w:szCs w:val="32"/>
        </w:rPr>
      </w:pPr>
    </w:p>
    <w:p w14:paraId="11E9B717">
      <w:pPr>
        <w:snapToGrid w:val="0"/>
        <w:spacing w:line="560" w:lineRule="exact"/>
        <w:ind w:firstLine="640" w:firstLineChars="200"/>
        <w:rPr>
          <w:rFonts w:ascii="宋体" w:hAnsi="宋体"/>
          <w:sz w:val="32"/>
          <w:szCs w:val="32"/>
        </w:rPr>
      </w:pPr>
    </w:p>
    <w:p w14:paraId="4E21AD0B">
      <w:pPr>
        <w:snapToGrid w:val="0"/>
        <w:spacing w:line="560" w:lineRule="exact"/>
        <w:ind w:firstLine="640" w:firstLineChars="200"/>
        <w:rPr>
          <w:rFonts w:ascii="宋体" w:hAnsi="宋体"/>
          <w:sz w:val="32"/>
          <w:szCs w:val="32"/>
        </w:rPr>
      </w:pPr>
    </w:p>
    <w:p w14:paraId="7CF867F8">
      <w:pPr>
        <w:snapToGrid w:val="0"/>
        <w:spacing w:line="560" w:lineRule="exact"/>
        <w:ind w:firstLine="640" w:firstLineChars="200"/>
        <w:rPr>
          <w:rFonts w:ascii="宋体" w:hAnsi="宋体"/>
          <w:sz w:val="32"/>
          <w:szCs w:val="32"/>
        </w:rPr>
      </w:pPr>
    </w:p>
    <w:p w14:paraId="60B9814A">
      <w:pPr>
        <w:snapToGrid w:val="0"/>
        <w:spacing w:line="560" w:lineRule="exact"/>
        <w:ind w:firstLine="640" w:firstLineChars="200"/>
        <w:rPr>
          <w:rFonts w:ascii="宋体" w:hAnsi="宋体"/>
          <w:sz w:val="32"/>
          <w:szCs w:val="32"/>
        </w:rPr>
      </w:pPr>
    </w:p>
    <w:p w14:paraId="47A1D8D0">
      <w:pPr>
        <w:snapToGrid w:val="0"/>
        <w:spacing w:line="560" w:lineRule="exact"/>
        <w:ind w:firstLine="640" w:firstLineChars="200"/>
        <w:rPr>
          <w:rFonts w:ascii="宋体" w:hAnsi="宋体"/>
          <w:sz w:val="32"/>
          <w:szCs w:val="32"/>
        </w:rPr>
      </w:pPr>
    </w:p>
    <w:p w14:paraId="270770BE">
      <w:pPr>
        <w:snapToGrid w:val="0"/>
        <w:spacing w:line="560" w:lineRule="exact"/>
        <w:ind w:firstLine="640" w:firstLineChars="200"/>
        <w:rPr>
          <w:rFonts w:ascii="宋体" w:hAnsi="宋体"/>
          <w:sz w:val="32"/>
          <w:szCs w:val="32"/>
        </w:rPr>
      </w:pPr>
    </w:p>
    <w:p w14:paraId="637CDFF2">
      <w:pPr>
        <w:snapToGrid w:val="0"/>
        <w:spacing w:line="560" w:lineRule="exact"/>
        <w:ind w:firstLine="640" w:firstLineChars="200"/>
        <w:rPr>
          <w:rFonts w:ascii="宋体" w:hAnsi="宋体"/>
          <w:sz w:val="32"/>
          <w:szCs w:val="32"/>
        </w:rPr>
      </w:pPr>
    </w:p>
    <w:p w14:paraId="48A82639">
      <w:pPr>
        <w:snapToGrid w:val="0"/>
        <w:spacing w:line="560" w:lineRule="exact"/>
        <w:ind w:firstLine="640" w:firstLineChars="200"/>
        <w:rPr>
          <w:rFonts w:ascii="宋体" w:hAnsi="宋体"/>
          <w:sz w:val="32"/>
          <w:szCs w:val="32"/>
        </w:rPr>
      </w:pPr>
    </w:p>
    <w:p w14:paraId="75CF3457">
      <w:pPr>
        <w:snapToGrid w:val="0"/>
        <w:spacing w:line="560" w:lineRule="exact"/>
        <w:ind w:firstLine="640" w:firstLineChars="200"/>
        <w:rPr>
          <w:rFonts w:ascii="宋体" w:hAnsi="宋体"/>
          <w:sz w:val="32"/>
          <w:szCs w:val="32"/>
        </w:rPr>
      </w:pPr>
    </w:p>
    <w:p w14:paraId="2917F36E">
      <w:pPr>
        <w:snapToGrid w:val="0"/>
        <w:spacing w:line="560" w:lineRule="exact"/>
        <w:ind w:firstLine="640" w:firstLineChars="200"/>
        <w:rPr>
          <w:rFonts w:ascii="宋体" w:hAnsi="宋体"/>
          <w:sz w:val="32"/>
          <w:szCs w:val="32"/>
        </w:rPr>
      </w:pPr>
    </w:p>
    <w:p w14:paraId="16E28653">
      <w:pPr>
        <w:snapToGrid w:val="0"/>
        <w:spacing w:line="560" w:lineRule="exact"/>
        <w:ind w:firstLine="640" w:firstLineChars="200"/>
        <w:rPr>
          <w:rFonts w:ascii="宋体" w:hAnsi="宋体"/>
          <w:sz w:val="32"/>
          <w:szCs w:val="32"/>
        </w:rPr>
      </w:pPr>
    </w:p>
    <w:p w14:paraId="541E82E1">
      <w:pPr>
        <w:pStyle w:val="2"/>
        <w:ind w:firstLine="640"/>
        <w:rPr>
          <w:rFonts w:ascii="宋体" w:hAnsi="宋体"/>
          <w:sz w:val="32"/>
          <w:szCs w:val="32"/>
        </w:rPr>
      </w:pPr>
    </w:p>
    <w:p w14:paraId="5EF3EBA1">
      <w:pPr>
        <w:jc w:val="center"/>
        <w:rPr>
          <w:rFonts w:ascii="宋体" w:hAnsi="宋体"/>
          <w:b/>
          <w:sz w:val="32"/>
          <w:szCs w:val="32"/>
        </w:rPr>
      </w:pPr>
      <w:r>
        <w:rPr>
          <w:rFonts w:hint="eastAsia" w:ascii="宋体" w:hAnsi="宋体"/>
          <w:b/>
          <w:sz w:val="32"/>
          <w:szCs w:val="32"/>
        </w:rPr>
        <w:t>二、资格审查响应对照表</w:t>
      </w:r>
    </w:p>
    <w:tbl>
      <w:tblPr>
        <w:tblStyle w:val="16"/>
        <w:tblW w:w="9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445"/>
        <w:gridCol w:w="1679"/>
        <w:gridCol w:w="1784"/>
      </w:tblGrid>
      <w:tr w14:paraId="6472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7" w:type="dxa"/>
            <w:tcBorders>
              <w:top w:val="single" w:color="auto" w:sz="4" w:space="0"/>
              <w:left w:val="single" w:color="auto" w:sz="4" w:space="0"/>
              <w:bottom w:val="single" w:color="auto" w:sz="4" w:space="0"/>
              <w:right w:val="single" w:color="auto" w:sz="4" w:space="0"/>
            </w:tcBorders>
            <w:vAlign w:val="center"/>
          </w:tcPr>
          <w:p w14:paraId="4EA376C6">
            <w:pPr>
              <w:snapToGrid w:val="0"/>
              <w:spacing w:line="240" w:lineRule="atLeast"/>
              <w:jc w:val="center"/>
              <w:rPr>
                <w:rFonts w:ascii="幼圆" w:eastAsia="幼圆"/>
                <w:b/>
              </w:rPr>
            </w:pPr>
            <w:r>
              <w:rPr>
                <w:rFonts w:hint="eastAsia" w:ascii="幼圆" w:eastAsia="幼圆"/>
                <w:b/>
              </w:rPr>
              <w:t>序号</w:t>
            </w:r>
          </w:p>
        </w:tc>
        <w:tc>
          <w:tcPr>
            <w:tcW w:w="5445" w:type="dxa"/>
            <w:tcBorders>
              <w:top w:val="single" w:color="auto" w:sz="4" w:space="0"/>
              <w:left w:val="single" w:color="auto" w:sz="4" w:space="0"/>
              <w:bottom w:val="single" w:color="auto" w:sz="4" w:space="0"/>
              <w:right w:val="single" w:color="auto" w:sz="4" w:space="0"/>
            </w:tcBorders>
            <w:vAlign w:val="center"/>
          </w:tcPr>
          <w:p w14:paraId="70106A5C">
            <w:pPr>
              <w:snapToGrid w:val="0"/>
              <w:spacing w:line="240" w:lineRule="atLeast"/>
              <w:jc w:val="center"/>
              <w:rPr>
                <w:rFonts w:ascii="幼圆" w:eastAsia="幼圆"/>
                <w:b/>
              </w:rPr>
            </w:pPr>
            <w:r>
              <w:rPr>
                <w:rFonts w:hint="eastAsia" w:ascii="幼圆" w:eastAsia="幼圆"/>
                <w:b/>
              </w:rPr>
              <w:t>资格审查响应内容</w:t>
            </w:r>
          </w:p>
        </w:tc>
        <w:tc>
          <w:tcPr>
            <w:tcW w:w="1679" w:type="dxa"/>
            <w:tcBorders>
              <w:top w:val="single" w:color="auto" w:sz="4" w:space="0"/>
              <w:left w:val="single" w:color="auto" w:sz="4" w:space="0"/>
              <w:bottom w:val="single" w:color="auto" w:sz="4" w:space="0"/>
              <w:right w:val="single" w:color="auto" w:sz="4" w:space="0"/>
            </w:tcBorders>
            <w:vAlign w:val="center"/>
          </w:tcPr>
          <w:p w14:paraId="40CD42DC">
            <w:pPr>
              <w:snapToGrid w:val="0"/>
              <w:spacing w:line="240" w:lineRule="atLeast"/>
              <w:jc w:val="center"/>
              <w:rPr>
                <w:rFonts w:ascii="幼圆" w:eastAsia="幼圆"/>
                <w:b/>
              </w:rPr>
            </w:pPr>
            <w:r>
              <w:rPr>
                <w:rFonts w:hint="eastAsia" w:ascii="幼圆" w:eastAsia="幼圆"/>
                <w:b/>
              </w:rPr>
              <w:t>是否响应</w:t>
            </w:r>
          </w:p>
          <w:p w14:paraId="1D8ABA15">
            <w:pPr>
              <w:snapToGrid w:val="0"/>
              <w:spacing w:line="240" w:lineRule="atLeast"/>
              <w:jc w:val="center"/>
              <w:rPr>
                <w:rFonts w:ascii="幼圆" w:eastAsia="幼圆"/>
                <w:b/>
              </w:rPr>
            </w:pPr>
            <w:r>
              <w:rPr>
                <w:rFonts w:hint="eastAsia" w:ascii="幼圆" w:eastAsia="幼圆"/>
                <w:b/>
              </w:rPr>
              <w:t>（填是或者否）</w:t>
            </w:r>
          </w:p>
        </w:tc>
        <w:tc>
          <w:tcPr>
            <w:tcW w:w="1784" w:type="dxa"/>
            <w:tcBorders>
              <w:top w:val="single" w:color="auto" w:sz="4" w:space="0"/>
              <w:left w:val="single" w:color="auto" w:sz="4" w:space="0"/>
              <w:bottom w:val="single" w:color="auto" w:sz="4" w:space="0"/>
              <w:right w:val="single" w:color="auto" w:sz="4" w:space="0"/>
            </w:tcBorders>
            <w:vAlign w:val="center"/>
          </w:tcPr>
          <w:p w14:paraId="6E116808">
            <w:pPr>
              <w:snapToGrid w:val="0"/>
              <w:spacing w:line="240" w:lineRule="atLeast"/>
              <w:jc w:val="center"/>
              <w:rPr>
                <w:rFonts w:ascii="幼圆" w:eastAsia="幼圆"/>
                <w:b/>
              </w:rPr>
            </w:pPr>
            <w:r>
              <w:rPr>
                <w:rFonts w:hint="eastAsia" w:ascii="幼圆" w:eastAsia="幼圆"/>
                <w:b/>
              </w:rPr>
              <w:t>响应文件中的</w:t>
            </w:r>
          </w:p>
          <w:p w14:paraId="2CD0E1C9">
            <w:pPr>
              <w:snapToGrid w:val="0"/>
              <w:spacing w:line="240" w:lineRule="atLeast"/>
              <w:jc w:val="center"/>
              <w:rPr>
                <w:rFonts w:ascii="幼圆" w:eastAsia="幼圆"/>
                <w:b/>
              </w:rPr>
            </w:pPr>
            <w:r>
              <w:rPr>
                <w:rFonts w:hint="eastAsia" w:ascii="幼圆" w:eastAsia="幼圆"/>
                <w:b/>
              </w:rPr>
              <w:t>页码位置</w:t>
            </w:r>
          </w:p>
        </w:tc>
      </w:tr>
      <w:tr w14:paraId="64CE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7" w:type="dxa"/>
            <w:tcBorders>
              <w:top w:val="single" w:color="auto" w:sz="4" w:space="0"/>
              <w:left w:val="single" w:color="auto" w:sz="4" w:space="0"/>
              <w:bottom w:val="single" w:color="auto" w:sz="4" w:space="0"/>
              <w:right w:val="single" w:color="auto" w:sz="4" w:space="0"/>
            </w:tcBorders>
            <w:vAlign w:val="center"/>
          </w:tcPr>
          <w:p w14:paraId="1C3C72B0">
            <w:pPr>
              <w:jc w:val="center"/>
              <w:rPr>
                <w:rFonts w:ascii="宋体" w:hAnsi="宋体"/>
              </w:rPr>
            </w:pPr>
            <w:r>
              <w:rPr>
                <w:rFonts w:hint="eastAsia" w:ascii="宋体" w:hAnsi="宋体"/>
              </w:rPr>
              <w:t>1</w:t>
            </w:r>
          </w:p>
        </w:tc>
        <w:tc>
          <w:tcPr>
            <w:tcW w:w="5445" w:type="dxa"/>
            <w:tcBorders>
              <w:top w:val="single" w:color="auto" w:sz="4" w:space="0"/>
              <w:left w:val="single" w:color="auto" w:sz="4" w:space="0"/>
              <w:bottom w:val="single" w:color="auto" w:sz="4" w:space="0"/>
              <w:right w:val="single" w:color="auto" w:sz="4" w:space="0"/>
            </w:tcBorders>
            <w:vAlign w:val="center"/>
          </w:tcPr>
          <w:p w14:paraId="56088880">
            <w:pPr>
              <w:spacing w:line="0" w:lineRule="atLeast"/>
              <w:rPr>
                <w:rFonts w:ascii="宋体" w:hAnsi="宋体"/>
                <w:iCs/>
                <w:sz w:val="24"/>
                <w:szCs w:val="24"/>
              </w:rPr>
            </w:pPr>
            <w:r>
              <w:rPr>
                <w:rFonts w:hint="eastAsia"/>
                <w:sz w:val="24"/>
              </w:rPr>
              <w:t>供应商资格声明函</w:t>
            </w:r>
            <w:r>
              <w:rPr>
                <w:rFonts w:hint="eastAsia" w:ascii="宋体" w:hAnsi="宋体"/>
                <w:iCs/>
                <w:sz w:val="24"/>
                <w:szCs w:val="24"/>
              </w:rPr>
              <w:t>（附件一）</w:t>
            </w:r>
          </w:p>
        </w:tc>
        <w:tc>
          <w:tcPr>
            <w:tcW w:w="1679" w:type="dxa"/>
            <w:tcBorders>
              <w:top w:val="single" w:color="auto" w:sz="4" w:space="0"/>
              <w:left w:val="single" w:color="auto" w:sz="4" w:space="0"/>
              <w:bottom w:val="single" w:color="auto" w:sz="4" w:space="0"/>
              <w:right w:val="single" w:color="auto" w:sz="4" w:space="0"/>
            </w:tcBorders>
            <w:vAlign w:val="center"/>
          </w:tcPr>
          <w:p w14:paraId="20698A0B">
            <w:pPr>
              <w:jc w:val="center"/>
              <w:rPr>
                <w:rFonts w:ascii="宋体" w:hAnsi="宋体"/>
                <w:b/>
              </w:rPr>
            </w:pPr>
          </w:p>
        </w:tc>
        <w:tc>
          <w:tcPr>
            <w:tcW w:w="1784" w:type="dxa"/>
            <w:tcBorders>
              <w:top w:val="single" w:color="auto" w:sz="4" w:space="0"/>
              <w:left w:val="single" w:color="auto" w:sz="4" w:space="0"/>
              <w:bottom w:val="single" w:color="auto" w:sz="4" w:space="0"/>
              <w:right w:val="single" w:color="auto" w:sz="4" w:space="0"/>
            </w:tcBorders>
            <w:vAlign w:val="center"/>
          </w:tcPr>
          <w:p w14:paraId="0BE17EEC">
            <w:pPr>
              <w:jc w:val="center"/>
              <w:rPr>
                <w:rFonts w:ascii="宋体" w:hAnsi="宋体"/>
                <w:b/>
              </w:rPr>
            </w:pPr>
          </w:p>
        </w:tc>
      </w:tr>
      <w:tr w14:paraId="154EC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7" w:type="dxa"/>
            <w:tcBorders>
              <w:top w:val="single" w:color="auto" w:sz="4" w:space="0"/>
              <w:left w:val="single" w:color="auto" w:sz="4" w:space="0"/>
              <w:bottom w:val="single" w:color="auto" w:sz="4" w:space="0"/>
              <w:right w:val="single" w:color="auto" w:sz="4" w:space="0"/>
            </w:tcBorders>
            <w:vAlign w:val="center"/>
          </w:tcPr>
          <w:p w14:paraId="6EF4DAD8">
            <w:pPr>
              <w:jc w:val="center"/>
              <w:rPr>
                <w:rFonts w:ascii="宋体" w:hAnsi="宋体"/>
              </w:rPr>
            </w:pPr>
            <w:r>
              <w:rPr>
                <w:rFonts w:hint="eastAsia" w:ascii="宋体" w:hAnsi="宋体"/>
              </w:rPr>
              <w:t>2</w:t>
            </w:r>
          </w:p>
        </w:tc>
        <w:tc>
          <w:tcPr>
            <w:tcW w:w="5445" w:type="dxa"/>
            <w:tcBorders>
              <w:top w:val="single" w:color="auto" w:sz="4" w:space="0"/>
              <w:left w:val="single" w:color="auto" w:sz="4" w:space="0"/>
              <w:bottom w:val="single" w:color="auto" w:sz="4" w:space="0"/>
              <w:right w:val="single" w:color="auto" w:sz="4" w:space="0"/>
            </w:tcBorders>
            <w:vAlign w:val="center"/>
          </w:tcPr>
          <w:p w14:paraId="427C964A">
            <w:pPr>
              <w:snapToGrid w:val="0"/>
              <w:spacing w:line="0" w:lineRule="atLeast"/>
              <w:jc w:val="left"/>
              <w:rPr>
                <w:rFonts w:ascii="宋体" w:hAnsi="宋体"/>
                <w:iCs/>
                <w:sz w:val="24"/>
                <w:szCs w:val="24"/>
              </w:rPr>
            </w:pPr>
            <w:r>
              <w:rPr>
                <w:rFonts w:hint="eastAsia" w:ascii="宋体" w:hAnsi="宋体"/>
                <w:iCs/>
                <w:sz w:val="24"/>
                <w:szCs w:val="24"/>
              </w:rPr>
              <w:t>响应函（附件二）</w:t>
            </w:r>
          </w:p>
        </w:tc>
        <w:tc>
          <w:tcPr>
            <w:tcW w:w="1679" w:type="dxa"/>
            <w:tcBorders>
              <w:top w:val="single" w:color="auto" w:sz="4" w:space="0"/>
              <w:left w:val="single" w:color="auto" w:sz="4" w:space="0"/>
              <w:bottom w:val="single" w:color="auto" w:sz="4" w:space="0"/>
              <w:right w:val="single" w:color="auto" w:sz="4" w:space="0"/>
            </w:tcBorders>
            <w:vAlign w:val="center"/>
          </w:tcPr>
          <w:p w14:paraId="409E7E9B">
            <w:pPr>
              <w:jc w:val="center"/>
              <w:rPr>
                <w:rFonts w:ascii="宋体" w:hAnsi="宋体"/>
              </w:rPr>
            </w:pPr>
          </w:p>
        </w:tc>
        <w:tc>
          <w:tcPr>
            <w:tcW w:w="1784" w:type="dxa"/>
            <w:tcBorders>
              <w:top w:val="single" w:color="auto" w:sz="4" w:space="0"/>
              <w:left w:val="single" w:color="auto" w:sz="4" w:space="0"/>
              <w:bottom w:val="single" w:color="auto" w:sz="4" w:space="0"/>
              <w:right w:val="single" w:color="auto" w:sz="4" w:space="0"/>
            </w:tcBorders>
            <w:vAlign w:val="center"/>
          </w:tcPr>
          <w:p w14:paraId="1B6BE577">
            <w:pPr>
              <w:jc w:val="center"/>
              <w:rPr>
                <w:rFonts w:ascii="宋体" w:hAnsi="宋体"/>
              </w:rPr>
            </w:pPr>
          </w:p>
        </w:tc>
      </w:tr>
      <w:tr w14:paraId="3195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7" w:type="dxa"/>
            <w:tcBorders>
              <w:top w:val="single" w:color="auto" w:sz="4" w:space="0"/>
              <w:left w:val="single" w:color="auto" w:sz="4" w:space="0"/>
              <w:bottom w:val="single" w:color="auto" w:sz="4" w:space="0"/>
              <w:right w:val="single" w:color="auto" w:sz="4" w:space="0"/>
            </w:tcBorders>
            <w:vAlign w:val="center"/>
          </w:tcPr>
          <w:p w14:paraId="09735834">
            <w:pPr>
              <w:jc w:val="center"/>
              <w:rPr>
                <w:rFonts w:ascii="宋体" w:hAnsi="宋体"/>
              </w:rPr>
            </w:pPr>
            <w:r>
              <w:rPr>
                <w:rFonts w:hint="eastAsia" w:ascii="宋体" w:hAnsi="宋体"/>
              </w:rPr>
              <w:t>3</w:t>
            </w:r>
          </w:p>
        </w:tc>
        <w:tc>
          <w:tcPr>
            <w:tcW w:w="5445" w:type="dxa"/>
            <w:tcBorders>
              <w:top w:val="single" w:color="auto" w:sz="4" w:space="0"/>
              <w:left w:val="single" w:color="auto" w:sz="4" w:space="0"/>
              <w:bottom w:val="single" w:color="auto" w:sz="4" w:space="0"/>
              <w:right w:val="single" w:color="auto" w:sz="4" w:space="0"/>
            </w:tcBorders>
            <w:vAlign w:val="center"/>
          </w:tcPr>
          <w:p w14:paraId="290B7CF6">
            <w:pPr>
              <w:snapToGrid w:val="0"/>
              <w:spacing w:line="0" w:lineRule="atLeast"/>
              <w:jc w:val="left"/>
              <w:rPr>
                <w:rFonts w:ascii="宋体" w:hAnsi="宋体"/>
                <w:iCs/>
                <w:sz w:val="24"/>
                <w:szCs w:val="24"/>
              </w:rPr>
            </w:pPr>
            <w:r>
              <w:rPr>
                <w:rFonts w:hint="eastAsia" w:ascii="宋体" w:hAnsi="宋体"/>
                <w:iCs/>
                <w:sz w:val="24"/>
                <w:szCs w:val="24"/>
              </w:rPr>
              <w:t>法定代表人（</w:t>
            </w:r>
            <w:r>
              <w:rPr>
                <w:rFonts w:hint="eastAsia" w:ascii="宋体" w:hAnsi="宋体"/>
                <w:iCs/>
                <w:sz w:val="24"/>
                <w:szCs w:val="24"/>
                <w:lang w:eastAsia="zh-CN"/>
              </w:rPr>
              <w:t>或</w:t>
            </w:r>
            <w:r>
              <w:rPr>
                <w:rFonts w:hint="eastAsia" w:ascii="宋体" w:hAnsi="宋体"/>
                <w:iCs/>
                <w:sz w:val="24"/>
                <w:szCs w:val="24"/>
              </w:rPr>
              <w:t>负责人）资格证明书或者授权委托书（附件三）</w:t>
            </w:r>
          </w:p>
        </w:tc>
        <w:tc>
          <w:tcPr>
            <w:tcW w:w="1679" w:type="dxa"/>
            <w:tcBorders>
              <w:top w:val="single" w:color="auto" w:sz="4" w:space="0"/>
              <w:left w:val="single" w:color="auto" w:sz="4" w:space="0"/>
              <w:bottom w:val="single" w:color="auto" w:sz="4" w:space="0"/>
              <w:right w:val="single" w:color="auto" w:sz="4" w:space="0"/>
            </w:tcBorders>
            <w:vAlign w:val="center"/>
          </w:tcPr>
          <w:p w14:paraId="38C5BA71">
            <w:pPr>
              <w:jc w:val="center"/>
              <w:rPr>
                <w:rFonts w:ascii="宋体" w:hAnsi="宋体"/>
              </w:rPr>
            </w:pPr>
          </w:p>
        </w:tc>
        <w:tc>
          <w:tcPr>
            <w:tcW w:w="1784" w:type="dxa"/>
            <w:tcBorders>
              <w:top w:val="single" w:color="auto" w:sz="4" w:space="0"/>
              <w:left w:val="single" w:color="auto" w:sz="4" w:space="0"/>
              <w:bottom w:val="single" w:color="auto" w:sz="4" w:space="0"/>
              <w:right w:val="single" w:color="auto" w:sz="4" w:space="0"/>
            </w:tcBorders>
            <w:vAlign w:val="center"/>
          </w:tcPr>
          <w:p w14:paraId="148E490F">
            <w:pPr>
              <w:jc w:val="center"/>
              <w:rPr>
                <w:rFonts w:ascii="宋体" w:hAnsi="宋体"/>
              </w:rPr>
            </w:pPr>
          </w:p>
        </w:tc>
      </w:tr>
      <w:tr w14:paraId="52BF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7" w:type="dxa"/>
            <w:tcBorders>
              <w:top w:val="single" w:color="auto" w:sz="4" w:space="0"/>
              <w:left w:val="single" w:color="auto" w:sz="4" w:space="0"/>
              <w:bottom w:val="single" w:color="auto" w:sz="4" w:space="0"/>
              <w:right w:val="single" w:color="auto" w:sz="4" w:space="0"/>
            </w:tcBorders>
            <w:vAlign w:val="center"/>
          </w:tcPr>
          <w:p w14:paraId="5159CBE9">
            <w:pPr>
              <w:jc w:val="center"/>
              <w:rPr>
                <w:rFonts w:ascii="宋体" w:hAnsi="宋体"/>
              </w:rPr>
            </w:pPr>
            <w:r>
              <w:rPr>
                <w:rFonts w:hint="eastAsia" w:ascii="宋体" w:hAnsi="宋体"/>
              </w:rPr>
              <w:t>4</w:t>
            </w:r>
          </w:p>
        </w:tc>
        <w:tc>
          <w:tcPr>
            <w:tcW w:w="5445" w:type="dxa"/>
            <w:tcBorders>
              <w:top w:val="single" w:color="auto" w:sz="4" w:space="0"/>
              <w:left w:val="single" w:color="auto" w:sz="4" w:space="0"/>
              <w:bottom w:val="single" w:color="auto" w:sz="4" w:space="0"/>
              <w:right w:val="single" w:color="auto" w:sz="4" w:space="0"/>
            </w:tcBorders>
            <w:vAlign w:val="center"/>
          </w:tcPr>
          <w:p w14:paraId="7CF091CB">
            <w:pPr>
              <w:snapToGrid w:val="0"/>
              <w:spacing w:line="0" w:lineRule="atLeast"/>
              <w:rPr>
                <w:rFonts w:ascii="宋体" w:hAnsi="宋体"/>
                <w:iCs/>
                <w:sz w:val="24"/>
                <w:szCs w:val="24"/>
              </w:rPr>
            </w:pPr>
            <w:r>
              <w:rPr>
                <w:rFonts w:hint="eastAsia" w:ascii="宋体" w:hAnsi="宋体"/>
                <w:sz w:val="24"/>
              </w:rPr>
              <w:t>供应商资格要求涉及的其它证明材料</w:t>
            </w:r>
          </w:p>
        </w:tc>
        <w:tc>
          <w:tcPr>
            <w:tcW w:w="1679" w:type="dxa"/>
            <w:tcBorders>
              <w:top w:val="single" w:color="auto" w:sz="4" w:space="0"/>
              <w:left w:val="single" w:color="auto" w:sz="4" w:space="0"/>
              <w:bottom w:val="single" w:color="auto" w:sz="4" w:space="0"/>
              <w:right w:val="single" w:color="auto" w:sz="4" w:space="0"/>
            </w:tcBorders>
            <w:vAlign w:val="center"/>
          </w:tcPr>
          <w:p w14:paraId="34160505">
            <w:pPr>
              <w:jc w:val="center"/>
              <w:rPr>
                <w:rFonts w:ascii="宋体" w:hAnsi="宋体"/>
              </w:rPr>
            </w:pPr>
          </w:p>
        </w:tc>
        <w:tc>
          <w:tcPr>
            <w:tcW w:w="1784" w:type="dxa"/>
            <w:tcBorders>
              <w:top w:val="single" w:color="auto" w:sz="4" w:space="0"/>
              <w:left w:val="single" w:color="auto" w:sz="4" w:space="0"/>
              <w:bottom w:val="single" w:color="auto" w:sz="4" w:space="0"/>
              <w:right w:val="single" w:color="auto" w:sz="4" w:space="0"/>
            </w:tcBorders>
            <w:vAlign w:val="center"/>
          </w:tcPr>
          <w:p w14:paraId="4BCB566D">
            <w:pPr>
              <w:jc w:val="center"/>
              <w:rPr>
                <w:rFonts w:ascii="宋体" w:hAnsi="宋体"/>
              </w:rPr>
            </w:pPr>
          </w:p>
        </w:tc>
      </w:tr>
      <w:tr w14:paraId="52BE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7" w:type="dxa"/>
            <w:tcBorders>
              <w:top w:val="single" w:color="auto" w:sz="4" w:space="0"/>
              <w:left w:val="single" w:color="auto" w:sz="4" w:space="0"/>
              <w:bottom w:val="single" w:color="auto" w:sz="4" w:space="0"/>
              <w:right w:val="single" w:color="auto" w:sz="4" w:space="0"/>
            </w:tcBorders>
            <w:vAlign w:val="center"/>
          </w:tcPr>
          <w:p w14:paraId="135DA44E">
            <w:pPr>
              <w:jc w:val="center"/>
              <w:rPr>
                <w:rFonts w:ascii="宋体" w:hAnsi="宋体"/>
              </w:rPr>
            </w:pPr>
          </w:p>
        </w:tc>
        <w:tc>
          <w:tcPr>
            <w:tcW w:w="5445" w:type="dxa"/>
            <w:tcBorders>
              <w:top w:val="single" w:color="auto" w:sz="4" w:space="0"/>
              <w:left w:val="single" w:color="auto" w:sz="4" w:space="0"/>
              <w:bottom w:val="single" w:color="auto" w:sz="4" w:space="0"/>
              <w:right w:val="single" w:color="auto" w:sz="4" w:space="0"/>
            </w:tcBorders>
            <w:vAlign w:val="center"/>
          </w:tcPr>
          <w:p w14:paraId="0A74FA23">
            <w:pPr>
              <w:snapToGrid w:val="0"/>
              <w:spacing w:line="0" w:lineRule="atLeast"/>
              <w:jc w:val="center"/>
              <w:rPr>
                <w:rFonts w:ascii="宋体" w:hAnsi="宋体"/>
                <w:sz w:val="24"/>
              </w:rPr>
            </w:pPr>
            <w:r>
              <w:rPr>
                <w:rFonts w:hint="eastAsia" w:ascii="宋体" w:hAnsi="宋体"/>
                <w:iCs/>
                <w:sz w:val="24"/>
                <w:szCs w:val="24"/>
              </w:rPr>
              <w:t>……</w:t>
            </w:r>
          </w:p>
        </w:tc>
        <w:tc>
          <w:tcPr>
            <w:tcW w:w="1679" w:type="dxa"/>
            <w:tcBorders>
              <w:top w:val="single" w:color="auto" w:sz="4" w:space="0"/>
              <w:left w:val="single" w:color="auto" w:sz="4" w:space="0"/>
              <w:bottom w:val="single" w:color="auto" w:sz="4" w:space="0"/>
              <w:right w:val="single" w:color="auto" w:sz="4" w:space="0"/>
            </w:tcBorders>
            <w:vAlign w:val="center"/>
          </w:tcPr>
          <w:p w14:paraId="44ACD43A">
            <w:pPr>
              <w:jc w:val="center"/>
              <w:rPr>
                <w:rFonts w:ascii="宋体" w:hAnsi="宋体"/>
              </w:rPr>
            </w:pPr>
          </w:p>
        </w:tc>
        <w:tc>
          <w:tcPr>
            <w:tcW w:w="1784" w:type="dxa"/>
            <w:tcBorders>
              <w:top w:val="single" w:color="auto" w:sz="4" w:space="0"/>
              <w:left w:val="single" w:color="auto" w:sz="4" w:space="0"/>
              <w:bottom w:val="single" w:color="auto" w:sz="4" w:space="0"/>
              <w:right w:val="single" w:color="auto" w:sz="4" w:space="0"/>
            </w:tcBorders>
            <w:vAlign w:val="center"/>
          </w:tcPr>
          <w:p w14:paraId="355681CC">
            <w:pPr>
              <w:jc w:val="center"/>
              <w:rPr>
                <w:rFonts w:ascii="宋体" w:hAnsi="宋体"/>
              </w:rPr>
            </w:pPr>
          </w:p>
        </w:tc>
      </w:tr>
    </w:tbl>
    <w:p w14:paraId="690163F2">
      <w:pPr>
        <w:spacing w:line="440" w:lineRule="exact"/>
        <w:ind w:firstLine="480" w:firstLineChars="200"/>
        <w:rPr>
          <w:rFonts w:ascii="宋体" w:hAnsi="宋体"/>
          <w:sz w:val="24"/>
        </w:rPr>
      </w:pPr>
    </w:p>
    <w:p w14:paraId="75643AAA">
      <w:pPr>
        <w:jc w:val="center"/>
        <w:rPr>
          <w:rFonts w:ascii="宋体" w:hAnsi="宋体"/>
          <w:b/>
          <w:sz w:val="32"/>
          <w:szCs w:val="32"/>
        </w:rPr>
      </w:pPr>
      <w:r>
        <w:rPr>
          <w:rFonts w:hint="eastAsia" w:ascii="宋体" w:hAnsi="宋体"/>
          <w:b/>
          <w:sz w:val="32"/>
          <w:szCs w:val="32"/>
        </w:rPr>
        <w:t>三、符合性审查响应对照表</w:t>
      </w:r>
    </w:p>
    <w:tbl>
      <w:tblPr>
        <w:tblStyle w:val="16"/>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559"/>
        <w:gridCol w:w="1680"/>
        <w:gridCol w:w="1785"/>
      </w:tblGrid>
      <w:tr w14:paraId="724F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34" w:type="dxa"/>
            <w:tcBorders>
              <w:top w:val="single" w:color="auto" w:sz="4" w:space="0"/>
              <w:left w:val="single" w:color="auto" w:sz="4" w:space="0"/>
              <w:bottom w:val="single" w:color="auto" w:sz="4" w:space="0"/>
              <w:right w:val="single" w:color="auto" w:sz="4" w:space="0"/>
            </w:tcBorders>
            <w:vAlign w:val="center"/>
          </w:tcPr>
          <w:p w14:paraId="212B8059">
            <w:pPr>
              <w:snapToGrid w:val="0"/>
              <w:spacing w:line="240" w:lineRule="atLeast"/>
              <w:jc w:val="center"/>
              <w:rPr>
                <w:rFonts w:ascii="幼圆" w:eastAsia="幼圆"/>
                <w:b/>
              </w:rPr>
            </w:pPr>
            <w:r>
              <w:rPr>
                <w:rFonts w:hint="eastAsia" w:ascii="幼圆" w:eastAsia="幼圆"/>
                <w:b/>
              </w:rPr>
              <w:t>序号</w:t>
            </w:r>
          </w:p>
        </w:tc>
        <w:tc>
          <w:tcPr>
            <w:tcW w:w="5559" w:type="dxa"/>
            <w:tcBorders>
              <w:top w:val="single" w:color="auto" w:sz="4" w:space="0"/>
              <w:left w:val="single" w:color="auto" w:sz="4" w:space="0"/>
              <w:bottom w:val="single" w:color="auto" w:sz="4" w:space="0"/>
              <w:right w:val="single" w:color="auto" w:sz="4" w:space="0"/>
            </w:tcBorders>
            <w:vAlign w:val="center"/>
          </w:tcPr>
          <w:p w14:paraId="1CE7A216">
            <w:pPr>
              <w:snapToGrid w:val="0"/>
              <w:spacing w:line="240" w:lineRule="atLeast"/>
              <w:jc w:val="center"/>
              <w:rPr>
                <w:rFonts w:ascii="幼圆" w:eastAsia="幼圆"/>
                <w:b/>
              </w:rPr>
            </w:pPr>
            <w:r>
              <w:rPr>
                <w:b/>
                <w:color w:val="000000"/>
                <w:kern w:val="0"/>
                <w:sz w:val="24"/>
              </w:rPr>
              <w:t>审查内容</w:t>
            </w:r>
          </w:p>
        </w:tc>
        <w:tc>
          <w:tcPr>
            <w:tcW w:w="1680" w:type="dxa"/>
            <w:tcBorders>
              <w:top w:val="single" w:color="auto" w:sz="4" w:space="0"/>
              <w:left w:val="single" w:color="auto" w:sz="4" w:space="0"/>
              <w:bottom w:val="single" w:color="auto" w:sz="4" w:space="0"/>
              <w:right w:val="single" w:color="auto" w:sz="4" w:space="0"/>
            </w:tcBorders>
            <w:vAlign w:val="center"/>
          </w:tcPr>
          <w:p w14:paraId="7D41F1F7">
            <w:pPr>
              <w:snapToGrid w:val="0"/>
              <w:spacing w:line="240" w:lineRule="atLeast"/>
              <w:jc w:val="center"/>
              <w:rPr>
                <w:rFonts w:ascii="幼圆" w:eastAsia="幼圆"/>
                <w:b/>
              </w:rPr>
            </w:pPr>
            <w:r>
              <w:rPr>
                <w:rFonts w:hint="eastAsia" w:ascii="幼圆" w:eastAsia="幼圆"/>
                <w:b/>
              </w:rPr>
              <w:t>是否响应</w:t>
            </w:r>
          </w:p>
          <w:p w14:paraId="65EC97F9">
            <w:pPr>
              <w:snapToGrid w:val="0"/>
              <w:spacing w:line="240" w:lineRule="atLeast"/>
              <w:jc w:val="center"/>
              <w:rPr>
                <w:rFonts w:ascii="幼圆" w:eastAsia="幼圆"/>
                <w:b/>
              </w:rPr>
            </w:pPr>
            <w:r>
              <w:rPr>
                <w:rFonts w:hint="eastAsia" w:ascii="幼圆" w:eastAsia="幼圆"/>
                <w:b/>
              </w:rPr>
              <w:t>（填是或者否）</w:t>
            </w:r>
          </w:p>
        </w:tc>
        <w:tc>
          <w:tcPr>
            <w:tcW w:w="1785" w:type="dxa"/>
            <w:tcBorders>
              <w:top w:val="single" w:color="auto" w:sz="4" w:space="0"/>
              <w:left w:val="single" w:color="auto" w:sz="4" w:space="0"/>
              <w:bottom w:val="single" w:color="auto" w:sz="4" w:space="0"/>
              <w:right w:val="single" w:color="auto" w:sz="4" w:space="0"/>
            </w:tcBorders>
            <w:vAlign w:val="center"/>
          </w:tcPr>
          <w:p w14:paraId="408F266A">
            <w:pPr>
              <w:snapToGrid w:val="0"/>
              <w:spacing w:line="240" w:lineRule="atLeast"/>
              <w:jc w:val="center"/>
              <w:rPr>
                <w:rFonts w:ascii="幼圆" w:eastAsia="幼圆"/>
                <w:b/>
              </w:rPr>
            </w:pPr>
            <w:r>
              <w:rPr>
                <w:rFonts w:hint="eastAsia" w:ascii="幼圆" w:eastAsia="幼圆"/>
                <w:b/>
              </w:rPr>
              <w:t>响应文件中的</w:t>
            </w:r>
          </w:p>
          <w:p w14:paraId="4EC18D1E">
            <w:pPr>
              <w:snapToGrid w:val="0"/>
              <w:spacing w:line="240" w:lineRule="atLeast"/>
              <w:jc w:val="center"/>
              <w:rPr>
                <w:rFonts w:ascii="幼圆" w:eastAsia="幼圆"/>
                <w:b/>
              </w:rPr>
            </w:pPr>
            <w:r>
              <w:rPr>
                <w:rFonts w:hint="eastAsia" w:ascii="幼圆" w:eastAsia="幼圆"/>
                <w:b/>
              </w:rPr>
              <w:t>页码位置</w:t>
            </w:r>
          </w:p>
        </w:tc>
      </w:tr>
      <w:tr w14:paraId="283D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4" w:type="dxa"/>
            <w:tcBorders>
              <w:top w:val="single" w:color="auto" w:sz="4" w:space="0"/>
              <w:left w:val="single" w:color="auto" w:sz="4" w:space="0"/>
              <w:bottom w:val="single" w:color="auto" w:sz="4" w:space="0"/>
              <w:right w:val="single" w:color="auto" w:sz="4" w:space="0"/>
            </w:tcBorders>
            <w:vAlign w:val="center"/>
          </w:tcPr>
          <w:p w14:paraId="74822FB4">
            <w:pPr>
              <w:jc w:val="center"/>
              <w:rPr>
                <w:rFonts w:ascii="宋体" w:hAnsi="宋体"/>
                <w:b/>
              </w:rPr>
            </w:pPr>
            <w:r>
              <w:rPr>
                <w:rFonts w:hint="eastAsia" w:ascii="宋体" w:hAnsi="宋体"/>
                <w:b/>
              </w:rPr>
              <w:t>1</w:t>
            </w:r>
          </w:p>
        </w:tc>
        <w:tc>
          <w:tcPr>
            <w:tcW w:w="5559" w:type="dxa"/>
            <w:tcBorders>
              <w:top w:val="single" w:color="auto" w:sz="4" w:space="0"/>
              <w:left w:val="single" w:color="auto" w:sz="4" w:space="0"/>
              <w:bottom w:val="single" w:color="auto" w:sz="4" w:space="0"/>
              <w:right w:val="single" w:color="auto" w:sz="4" w:space="0"/>
            </w:tcBorders>
            <w:vAlign w:val="center"/>
          </w:tcPr>
          <w:p w14:paraId="416D0EFE">
            <w:pPr>
              <w:widowControl/>
              <w:jc w:val="left"/>
              <w:rPr>
                <w:color w:val="000000"/>
                <w:kern w:val="0"/>
                <w:sz w:val="24"/>
              </w:rPr>
            </w:pPr>
            <w:r>
              <w:rPr>
                <w:rFonts w:hint="eastAsia"/>
                <w:sz w:val="24"/>
              </w:rPr>
              <w:t>未</w:t>
            </w:r>
            <w:r>
              <w:rPr>
                <w:sz w:val="24"/>
              </w:rPr>
              <w:t>将一个采购包中的内容拆开响应；</w:t>
            </w:r>
            <w:r>
              <w:rPr>
                <w:rFonts w:hint="eastAsia" w:ascii="宋体" w:hAnsi="宋体"/>
                <w:sz w:val="24"/>
              </w:rPr>
              <w:t>（由评委审查，无需供应商提供材料）</w:t>
            </w:r>
          </w:p>
        </w:tc>
        <w:tc>
          <w:tcPr>
            <w:tcW w:w="1680" w:type="dxa"/>
            <w:tcBorders>
              <w:top w:val="single" w:color="auto" w:sz="4" w:space="0"/>
              <w:left w:val="single" w:color="auto" w:sz="4" w:space="0"/>
              <w:bottom w:val="single" w:color="auto" w:sz="4" w:space="0"/>
              <w:right w:val="single" w:color="auto" w:sz="4" w:space="0"/>
            </w:tcBorders>
            <w:vAlign w:val="center"/>
          </w:tcPr>
          <w:p w14:paraId="0FE4F0D5">
            <w:pPr>
              <w:rPr>
                <w:rFonts w:ascii="宋体" w:hAnsi="宋体"/>
                <w:b/>
              </w:rPr>
            </w:pPr>
          </w:p>
        </w:tc>
        <w:tc>
          <w:tcPr>
            <w:tcW w:w="1785" w:type="dxa"/>
            <w:tcBorders>
              <w:top w:val="single" w:color="auto" w:sz="4" w:space="0"/>
              <w:left w:val="single" w:color="auto" w:sz="4" w:space="0"/>
              <w:bottom w:val="single" w:color="auto" w:sz="4" w:space="0"/>
              <w:right w:val="single" w:color="auto" w:sz="4" w:space="0"/>
            </w:tcBorders>
            <w:vAlign w:val="center"/>
          </w:tcPr>
          <w:p w14:paraId="5CF7C497">
            <w:pPr>
              <w:jc w:val="center"/>
              <w:rPr>
                <w:rFonts w:ascii="宋体" w:hAnsi="宋体"/>
                <w:b/>
              </w:rPr>
            </w:pPr>
            <w:r>
              <w:rPr>
                <w:rFonts w:hint="eastAsia" w:ascii="宋体" w:hAnsi="宋体"/>
                <w:b/>
              </w:rPr>
              <w:t>-</w:t>
            </w:r>
          </w:p>
        </w:tc>
      </w:tr>
      <w:tr w14:paraId="4BFC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4" w:type="dxa"/>
            <w:tcBorders>
              <w:top w:val="single" w:color="auto" w:sz="4" w:space="0"/>
              <w:left w:val="single" w:color="auto" w:sz="4" w:space="0"/>
              <w:bottom w:val="single" w:color="auto" w:sz="4" w:space="0"/>
              <w:right w:val="single" w:color="auto" w:sz="4" w:space="0"/>
            </w:tcBorders>
            <w:vAlign w:val="center"/>
          </w:tcPr>
          <w:p w14:paraId="4503875E">
            <w:pPr>
              <w:jc w:val="center"/>
              <w:rPr>
                <w:rFonts w:hint="eastAsia" w:ascii="宋体" w:hAnsi="宋体" w:eastAsiaTheme="minorEastAsia"/>
                <w:lang w:eastAsia="zh-CN"/>
              </w:rPr>
            </w:pPr>
            <w:r>
              <w:rPr>
                <w:rFonts w:hint="eastAsia" w:ascii="宋体" w:hAnsi="宋体"/>
                <w:lang w:val="en-US" w:eastAsia="zh-CN"/>
              </w:rPr>
              <w:t>2</w:t>
            </w:r>
          </w:p>
        </w:tc>
        <w:tc>
          <w:tcPr>
            <w:tcW w:w="5559" w:type="dxa"/>
            <w:tcBorders>
              <w:top w:val="single" w:color="auto" w:sz="4" w:space="0"/>
              <w:left w:val="single" w:color="auto" w:sz="4" w:space="0"/>
              <w:bottom w:val="single" w:color="auto" w:sz="4" w:space="0"/>
              <w:right w:val="single" w:color="auto" w:sz="4" w:space="0"/>
            </w:tcBorders>
            <w:vAlign w:val="center"/>
          </w:tcPr>
          <w:p w14:paraId="336D05B5">
            <w:pPr>
              <w:widowControl/>
              <w:jc w:val="left"/>
              <w:rPr>
                <w:color w:val="000000"/>
                <w:kern w:val="0"/>
                <w:sz w:val="24"/>
              </w:rPr>
            </w:pPr>
            <w:r>
              <w:rPr>
                <w:color w:val="000000"/>
                <w:kern w:val="0"/>
                <w:sz w:val="24"/>
              </w:rPr>
              <w:t>响应文件中承诺的响应有效期</w:t>
            </w:r>
            <w:r>
              <w:rPr>
                <w:rFonts w:hint="eastAsia"/>
                <w:color w:val="000000"/>
                <w:kern w:val="0"/>
                <w:sz w:val="24"/>
              </w:rPr>
              <w:t>满足</w:t>
            </w:r>
            <w:r>
              <w:rPr>
                <w:color w:val="000000"/>
                <w:kern w:val="0"/>
                <w:sz w:val="24"/>
              </w:rPr>
              <w:t>遴选文件中载明的响应有效期的；</w:t>
            </w:r>
            <w:r>
              <w:rPr>
                <w:rFonts w:hint="eastAsia"/>
                <w:b/>
                <w:color w:val="000000"/>
                <w:kern w:val="0"/>
                <w:sz w:val="24"/>
              </w:rPr>
              <w:t>提供</w:t>
            </w:r>
            <w:r>
              <w:rPr>
                <w:rFonts w:hint="eastAsia" w:ascii="宋体" w:hAnsi="宋体"/>
                <w:b/>
                <w:iCs/>
                <w:sz w:val="24"/>
                <w:szCs w:val="24"/>
              </w:rPr>
              <w:t>响应函</w:t>
            </w:r>
          </w:p>
        </w:tc>
        <w:tc>
          <w:tcPr>
            <w:tcW w:w="1680" w:type="dxa"/>
            <w:tcBorders>
              <w:top w:val="single" w:color="auto" w:sz="4" w:space="0"/>
              <w:left w:val="single" w:color="auto" w:sz="4" w:space="0"/>
              <w:bottom w:val="single" w:color="auto" w:sz="4" w:space="0"/>
              <w:right w:val="single" w:color="auto" w:sz="4" w:space="0"/>
            </w:tcBorders>
            <w:vAlign w:val="center"/>
          </w:tcPr>
          <w:p w14:paraId="7880B217">
            <w:pPr>
              <w:rPr>
                <w:rFonts w:ascii="宋体" w:hAnsi="宋体"/>
              </w:rPr>
            </w:pPr>
          </w:p>
        </w:tc>
        <w:tc>
          <w:tcPr>
            <w:tcW w:w="1785" w:type="dxa"/>
            <w:tcBorders>
              <w:top w:val="single" w:color="auto" w:sz="4" w:space="0"/>
              <w:left w:val="single" w:color="auto" w:sz="4" w:space="0"/>
              <w:bottom w:val="single" w:color="auto" w:sz="4" w:space="0"/>
              <w:right w:val="single" w:color="auto" w:sz="4" w:space="0"/>
            </w:tcBorders>
            <w:vAlign w:val="center"/>
          </w:tcPr>
          <w:p w14:paraId="7C3D052D">
            <w:pPr>
              <w:jc w:val="center"/>
              <w:rPr>
                <w:rFonts w:ascii="宋体" w:hAnsi="宋体"/>
              </w:rPr>
            </w:pPr>
          </w:p>
        </w:tc>
      </w:tr>
      <w:tr w14:paraId="0D06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4" w:type="dxa"/>
            <w:tcBorders>
              <w:top w:val="single" w:color="auto" w:sz="4" w:space="0"/>
              <w:left w:val="single" w:color="auto" w:sz="4" w:space="0"/>
              <w:bottom w:val="single" w:color="auto" w:sz="4" w:space="0"/>
              <w:right w:val="single" w:color="auto" w:sz="4" w:space="0"/>
            </w:tcBorders>
            <w:vAlign w:val="center"/>
          </w:tcPr>
          <w:p w14:paraId="33C85E36">
            <w:pPr>
              <w:jc w:val="center"/>
              <w:rPr>
                <w:rFonts w:hint="eastAsia" w:ascii="宋体" w:hAnsi="宋体" w:eastAsiaTheme="minorEastAsia"/>
                <w:lang w:eastAsia="zh-CN"/>
              </w:rPr>
            </w:pPr>
            <w:r>
              <w:rPr>
                <w:rFonts w:hint="eastAsia" w:ascii="宋体" w:hAnsi="宋体"/>
                <w:lang w:val="en-US" w:eastAsia="zh-CN"/>
              </w:rPr>
              <w:t>3</w:t>
            </w:r>
          </w:p>
        </w:tc>
        <w:tc>
          <w:tcPr>
            <w:tcW w:w="5559" w:type="dxa"/>
            <w:tcBorders>
              <w:top w:val="single" w:color="auto" w:sz="4" w:space="0"/>
              <w:left w:val="single" w:color="auto" w:sz="4" w:space="0"/>
              <w:bottom w:val="single" w:color="auto" w:sz="4" w:space="0"/>
              <w:right w:val="single" w:color="auto" w:sz="4" w:space="0"/>
            </w:tcBorders>
            <w:vAlign w:val="center"/>
          </w:tcPr>
          <w:p w14:paraId="28D30CE5">
            <w:pPr>
              <w:widowControl/>
              <w:jc w:val="left"/>
              <w:rPr>
                <w:color w:val="000000"/>
                <w:kern w:val="0"/>
                <w:sz w:val="24"/>
              </w:rPr>
            </w:pPr>
            <w:r>
              <w:rPr>
                <w:color w:val="000000"/>
                <w:kern w:val="0"/>
                <w:sz w:val="24"/>
              </w:rPr>
              <w:t>按照遴选文件要求签署、加盖公章的；</w:t>
            </w:r>
            <w:r>
              <w:rPr>
                <w:rFonts w:hint="eastAsia" w:ascii="宋体" w:hAnsi="宋体"/>
                <w:sz w:val="24"/>
              </w:rPr>
              <w:t>（由评委审查，无需供应商提供材料）</w:t>
            </w:r>
          </w:p>
        </w:tc>
        <w:tc>
          <w:tcPr>
            <w:tcW w:w="1680" w:type="dxa"/>
            <w:tcBorders>
              <w:top w:val="single" w:color="auto" w:sz="4" w:space="0"/>
              <w:left w:val="single" w:color="auto" w:sz="4" w:space="0"/>
              <w:bottom w:val="single" w:color="auto" w:sz="4" w:space="0"/>
              <w:right w:val="single" w:color="auto" w:sz="4" w:space="0"/>
            </w:tcBorders>
            <w:vAlign w:val="center"/>
          </w:tcPr>
          <w:p w14:paraId="43A26769">
            <w:pPr>
              <w:rPr>
                <w:rFonts w:ascii="宋体" w:hAnsi="宋体"/>
              </w:rPr>
            </w:pPr>
          </w:p>
        </w:tc>
        <w:tc>
          <w:tcPr>
            <w:tcW w:w="1785" w:type="dxa"/>
            <w:tcBorders>
              <w:top w:val="single" w:color="auto" w:sz="4" w:space="0"/>
              <w:left w:val="single" w:color="auto" w:sz="4" w:space="0"/>
              <w:bottom w:val="single" w:color="auto" w:sz="4" w:space="0"/>
              <w:right w:val="single" w:color="auto" w:sz="4" w:space="0"/>
            </w:tcBorders>
            <w:vAlign w:val="center"/>
          </w:tcPr>
          <w:p w14:paraId="48660627">
            <w:pPr>
              <w:jc w:val="center"/>
              <w:rPr>
                <w:rFonts w:ascii="宋体" w:hAnsi="宋体"/>
              </w:rPr>
            </w:pPr>
            <w:r>
              <w:rPr>
                <w:rFonts w:hint="eastAsia" w:ascii="宋体" w:hAnsi="宋体"/>
              </w:rPr>
              <w:t>-</w:t>
            </w:r>
          </w:p>
        </w:tc>
      </w:tr>
      <w:tr w14:paraId="43E3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4" w:type="dxa"/>
            <w:tcBorders>
              <w:top w:val="single" w:color="auto" w:sz="4" w:space="0"/>
              <w:left w:val="single" w:color="auto" w:sz="4" w:space="0"/>
              <w:bottom w:val="single" w:color="auto" w:sz="4" w:space="0"/>
              <w:right w:val="single" w:color="auto" w:sz="4" w:space="0"/>
            </w:tcBorders>
            <w:vAlign w:val="center"/>
          </w:tcPr>
          <w:p w14:paraId="00815862">
            <w:pPr>
              <w:jc w:val="center"/>
              <w:rPr>
                <w:rFonts w:hint="eastAsia" w:ascii="宋体" w:hAnsi="宋体" w:eastAsiaTheme="minorEastAsia"/>
                <w:lang w:eastAsia="zh-CN"/>
              </w:rPr>
            </w:pPr>
            <w:r>
              <w:rPr>
                <w:rFonts w:hint="eastAsia" w:ascii="宋体" w:hAnsi="宋体"/>
                <w:lang w:val="en-US" w:eastAsia="zh-CN"/>
              </w:rPr>
              <w:t>4</w:t>
            </w:r>
          </w:p>
        </w:tc>
        <w:tc>
          <w:tcPr>
            <w:tcW w:w="5559" w:type="dxa"/>
            <w:tcBorders>
              <w:top w:val="single" w:color="auto" w:sz="4" w:space="0"/>
              <w:left w:val="single" w:color="auto" w:sz="4" w:space="0"/>
              <w:bottom w:val="single" w:color="auto" w:sz="4" w:space="0"/>
              <w:right w:val="single" w:color="auto" w:sz="4" w:space="0"/>
            </w:tcBorders>
            <w:vAlign w:val="center"/>
          </w:tcPr>
          <w:p w14:paraId="7D2854EE">
            <w:pPr>
              <w:widowControl/>
              <w:jc w:val="left"/>
              <w:rPr>
                <w:color w:val="000000"/>
                <w:kern w:val="0"/>
                <w:sz w:val="24"/>
              </w:rPr>
            </w:pPr>
            <w:r>
              <w:rPr>
                <w:rFonts w:hint="eastAsia" w:ascii="宋体" w:hAnsi="宋体"/>
                <w:sz w:val="24"/>
              </w:rPr>
              <w:t>遴选文件</w:t>
            </w:r>
            <w:r>
              <w:rPr>
                <w:rFonts w:ascii="宋体" w:hAnsi="宋体"/>
                <w:sz w:val="24"/>
              </w:rPr>
              <w:t>不接受进口产品响应</w:t>
            </w:r>
            <w:r>
              <w:rPr>
                <w:rFonts w:hint="eastAsia" w:ascii="宋体" w:hAnsi="宋体"/>
                <w:sz w:val="24"/>
              </w:rPr>
              <w:t>的内容时</w:t>
            </w:r>
            <w:r>
              <w:rPr>
                <w:rFonts w:ascii="宋体" w:hAnsi="宋体"/>
                <w:sz w:val="24"/>
              </w:rPr>
              <w:t>，</w:t>
            </w:r>
            <w:r>
              <w:rPr>
                <w:rFonts w:hint="eastAsia" w:ascii="宋体" w:hAnsi="宋体"/>
                <w:sz w:val="24"/>
              </w:rPr>
              <w:t>供应商所投产品非进口产品的；（由评委审查，无需供应商提供材料）</w:t>
            </w:r>
          </w:p>
        </w:tc>
        <w:tc>
          <w:tcPr>
            <w:tcW w:w="1680" w:type="dxa"/>
            <w:tcBorders>
              <w:top w:val="single" w:color="auto" w:sz="4" w:space="0"/>
              <w:left w:val="single" w:color="auto" w:sz="4" w:space="0"/>
              <w:bottom w:val="single" w:color="auto" w:sz="4" w:space="0"/>
              <w:right w:val="single" w:color="auto" w:sz="4" w:space="0"/>
            </w:tcBorders>
            <w:vAlign w:val="center"/>
          </w:tcPr>
          <w:p w14:paraId="0F4F2A8C">
            <w:pPr>
              <w:rPr>
                <w:rFonts w:ascii="宋体" w:hAnsi="宋体"/>
              </w:rPr>
            </w:pPr>
          </w:p>
        </w:tc>
        <w:tc>
          <w:tcPr>
            <w:tcW w:w="1785" w:type="dxa"/>
            <w:tcBorders>
              <w:top w:val="single" w:color="auto" w:sz="4" w:space="0"/>
              <w:left w:val="single" w:color="auto" w:sz="4" w:space="0"/>
              <w:bottom w:val="single" w:color="auto" w:sz="4" w:space="0"/>
              <w:right w:val="single" w:color="auto" w:sz="4" w:space="0"/>
            </w:tcBorders>
            <w:vAlign w:val="center"/>
          </w:tcPr>
          <w:p w14:paraId="6B1FF414">
            <w:pPr>
              <w:jc w:val="center"/>
              <w:rPr>
                <w:rFonts w:ascii="宋体" w:hAnsi="宋体"/>
              </w:rPr>
            </w:pPr>
            <w:r>
              <w:rPr>
                <w:rFonts w:hint="eastAsia" w:ascii="宋体" w:hAnsi="宋体"/>
              </w:rPr>
              <w:t>-</w:t>
            </w:r>
          </w:p>
        </w:tc>
      </w:tr>
      <w:tr w14:paraId="03F2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4" w:type="dxa"/>
            <w:tcBorders>
              <w:top w:val="single" w:color="auto" w:sz="4" w:space="0"/>
              <w:left w:val="single" w:color="auto" w:sz="4" w:space="0"/>
              <w:bottom w:val="single" w:color="auto" w:sz="4" w:space="0"/>
              <w:right w:val="single" w:color="auto" w:sz="4" w:space="0"/>
            </w:tcBorders>
            <w:vAlign w:val="center"/>
          </w:tcPr>
          <w:p w14:paraId="0E426CEF">
            <w:pPr>
              <w:jc w:val="center"/>
              <w:rPr>
                <w:rFonts w:hint="eastAsia" w:ascii="宋体" w:hAnsi="宋体" w:eastAsiaTheme="minorEastAsia"/>
                <w:lang w:eastAsia="zh-CN"/>
              </w:rPr>
            </w:pPr>
            <w:r>
              <w:rPr>
                <w:rFonts w:hint="eastAsia" w:ascii="宋体" w:hAnsi="宋体"/>
                <w:lang w:val="en-US" w:eastAsia="zh-CN"/>
              </w:rPr>
              <w:t>5</w:t>
            </w:r>
          </w:p>
        </w:tc>
        <w:tc>
          <w:tcPr>
            <w:tcW w:w="5559" w:type="dxa"/>
            <w:tcBorders>
              <w:top w:val="single" w:color="auto" w:sz="4" w:space="0"/>
              <w:left w:val="single" w:color="auto" w:sz="4" w:space="0"/>
              <w:bottom w:val="single" w:color="auto" w:sz="4" w:space="0"/>
              <w:right w:val="single" w:color="auto" w:sz="4" w:space="0"/>
            </w:tcBorders>
            <w:vAlign w:val="center"/>
          </w:tcPr>
          <w:p w14:paraId="2559C76C">
            <w:pPr>
              <w:widowControl/>
              <w:jc w:val="left"/>
              <w:rPr>
                <w:color w:val="000000"/>
                <w:kern w:val="0"/>
                <w:sz w:val="24"/>
              </w:rPr>
            </w:pPr>
            <w:r>
              <w:rPr>
                <w:color w:val="000000"/>
                <w:sz w:val="24"/>
              </w:rPr>
              <w:t>供应商遵循公平竞争的原则，不存在恶意串通，妨碍其他供应商的竞争行为，不存在损害遴选人或者其他供应商的合法权益情形的；</w:t>
            </w:r>
            <w:r>
              <w:rPr>
                <w:rFonts w:hint="eastAsia" w:ascii="宋体" w:hAnsi="宋体"/>
                <w:sz w:val="24"/>
              </w:rPr>
              <w:t>（由评委审查，无需供应商提供材料）</w:t>
            </w:r>
          </w:p>
        </w:tc>
        <w:tc>
          <w:tcPr>
            <w:tcW w:w="1680" w:type="dxa"/>
            <w:tcBorders>
              <w:top w:val="single" w:color="auto" w:sz="4" w:space="0"/>
              <w:left w:val="single" w:color="auto" w:sz="4" w:space="0"/>
              <w:bottom w:val="single" w:color="auto" w:sz="4" w:space="0"/>
              <w:right w:val="single" w:color="auto" w:sz="4" w:space="0"/>
            </w:tcBorders>
            <w:vAlign w:val="center"/>
          </w:tcPr>
          <w:p w14:paraId="00442F5D">
            <w:pPr>
              <w:rPr>
                <w:rFonts w:ascii="宋体" w:hAnsi="宋体"/>
              </w:rPr>
            </w:pPr>
          </w:p>
        </w:tc>
        <w:tc>
          <w:tcPr>
            <w:tcW w:w="1785" w:type="dxa"/>
            <w:tcBorders>
              <w:top w:val="single" w:color="auto" w:sz="4" w:space="0"/>
              <w:left w:val="single" w:color="auto" w:sz="4" w:space="0"/>
              <w:bottom w:val="single" w:color="auto" w:sz="4" w:space="0"/>
              <w:right w:val="single" w:color="auto" w:sz="4" w:space="0"/>
            </w:tcBorders>
            <w:vAlign w:val="center"/>
          </w:tcPr>
          <w:p w14:paraId="52D9ADF1">
            <w:pPr>
              <w:jc w:val="center"/>
              <w:rPr>
                <w:rFonts w:ascii="宋体" w:hAnsi="宋体"/>
              </w:rPr>
            </w:pPr>
            <w:r>
              <w:rPr>
                <w:rFonts w:hint="eastAsia" w:ascii="宋体" w:hAnsi="宋体"/>
              </w:rPr>
              <w:t>-</w:t>
            </w:r>
          </w:p>
        </w:tc>
      </w:tr>
      <w:tr w14:paraId="569D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4" w:type="dxa"/>
            <w:tcBorders>
              <w:top w:val="single" w:color="auto" w:sz="4" w:space="0"/>
              <w:left w:val="single" w:color="auto" w:sz="4" w:space="0"/>
              <w:bottom w:val="single" w:color="auto" w:sz="4" w:space="0"/>
              <w:right w:val="single" w:color="auto" w:sz="4" w:space="0"/>
            </w:tcBorders>
            <w:vAlign w:val="center"/>
          </w:tcPr>
          <w:p w14:paraId="18C94301">
            <w:pPr>
              <w:jc w:val="center"/>
              <w:rPr>
                <w:rFonts w:hint="eastAsia" w:ascii="宋体" w:hAnsi="宋体" w:eastAsiaTheme="minorEastAsia"/>
                <w:lang w:eastAsia="zh-CN"/>
              </w:rPr>
            </w:pPr>
            <w:r>
              <w:rPr>
                <w:rFonts w:hint="eastAsia" w:ascii="宋体" w:hAnsi="宋体"/>
                <w:lang w:val="en-US" w:eastAsia="zh-CN"/>
              </w:rPr>
              <w:t>6</w:t>
            </w:r>
          </w:p>
        </w:tc>
        <w:tc>
          <w:tcPr>
            <w:tcW w:w="5559" w:type="dxa"/>
            <w:tcBorders>
              <w:top w:val="single" w:color="auto" w:sz="4" w:space="0"/>
              <w:left w:val="single" w:color="auto" w:sz="4" w:space="0"/>
              <w:bottom w:val="single" w:color="auto" w:sz="4" w:space="0"/>
              <w:right w:val="single" w:color="auto" w:sz="4" w:space="0"/>
            </w:tcBorders>
            <w:vAlign w:val="center"/>
          </w:tcPr>
          <w:p w14:paraId="7C1C4391">
            <w:pPr>
              <w:widowControl/>
              <w:jc w:val="left"/>
              <w:rPr>
                <w:color w:val="000000"/>
                <w:kern w:val="0"/>
                <w:sz w:val="24"/>
              </w:rPr>
            </w:pPr>
            <w:r>
              <w:rPr>
                <w:rFonts w:hint="eastAsia" w:ascii="宋体" w:hAnsi="宋体"/>
                <w:color w:val="000000"/>
                <w:sz w:val="24"/>
              </w:rPr>
              <w:t>不存在五.4所列供应商串通响应的情形</w:t>
            </w:r>
            <w:r>
              <w:rPr>
                <w:rFonts w:hint="eastAsia" w:ascii="宋体" w:hAnsi="宋体"/>
                <w:sz w:val="24"/>
              </w:rPr>
              <w:t>（由评委审查，无需供应商提供材料）</w:t>
            </w:r>
          </w:p>
        </w:tc>
        <w:tc>
          <w:tcPr>
            <w:tcW w:w="1680" w:type="dxa"/>
            <w:tcBorders>
              <w:top w:val="single" w:color="auto" w:sz="4" w:space="0"/>
              <w:left w:val="single" w:color="auto" w:sz="4" w:space="0"/>
              <w:bottom w:val="single" w:color="auto" w:sz="4" w:space="0"/>
              <w:right w:val="single" w:color="auto" w:sz="4" w:space="0"/>
            </w:tcBorders>
            <w:vAlign w:val="center"/>
          </w:tcPr>
          <w:p w14:paraId="63591972">
            <w:pPr>
              <w:rPr>
                <w:rFonts w:ascii="宋体" w:hAnsi="宋体"/>
              </w:rPr>
            </w:pPr>
          </w:p>
        </w:tc>
        <w:tc>
          <w:tcPr>
            <w:tcW w:w="1785" w:type="dxa"/>
            <w:tcBorders>
              <w:top w:val="single" w:color="auto" w:sz="4" w:space="0"/>
              <w:left w:val="single" w:color="auto" w:sz="4" w:space="0"/>
              <w:bottom w:val="single" w:color="auto" w:sz="4" w:space="0"/>
              <w:right w:val="single" w:color="auto" w:sz="4" w:space="0"/>
            </w:tcBorders>
            <w:vAlign w:val="center"/>
          </w:tcPr>
          <w:p w14:paraId="6C320959">
            <w:pPr>
              <w:jc w:val="center"/>
              <w:rPr>
                <w:rFonts w:ascii="宋体" w:hAnsi="宋体"/>
              </w:rPr>
            </w:pPr>
            <w:r>
              <w:rPr>
                <w:rFonts w:hint="eastAsia" w:ascii="宋体" w:hAnsi="宋体"/>
              </w:rPr>
              <w:t>-</w:t>
            </w:r>
          </w:p>
        </w:tc>
      </w:tr>
      <w:tr w14:paraId="7D43A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4" w:type="dxa"/>
            <w:tcBorders>
              <w:top w:val="single" w:color="auto" w:sz="4" w:space="0"/>
              <w:left w:val="single" w:color="auto" w:sz="4" w:space="0"/>
              <w:bottom w:val="single" w:color="auto" w:sz="4" w:space="0"/>
              <w:right w:val="single" w:color="auto" w:sz="4" w:space="0"/>
            </w:tcBorders>
            <w:vAlign w:val="center"/>
          </w:tcPr>
          <w:p w14:paraId="7271019F">
            <w:pPr>
              <w:jc w:val="center"/>
              <w:rPr>
                <w:rFonts w:hint="eastAsia" w:ascii="宋体" w:hAnsi="宋体" w:eastAsiaTheme="minorEastAsia"/>
                <w:lang w:eastAsia="zh-CN"/>
              </w:rPr>
            </w:pPr>
            <w:r>
              <w:rPr>
                <w:rFonts w:hint="eastAsia" w:ascii="宋体" w:hAnsi="宋体"/>
                <w:lang w:val="en-US" w:eastAsia="zh-CN"/>
              </w:rPr>
              <w:t>7</w:t>
            </w:r>
          </w:p>
        </w:tc>
        <w:tc>
          <w:tcPr>
            <w:tcW w:w="5559" w:type="dxa"/>
            <w:tcBorders>
              <w:top w:val="single" w:color="auto" w:sz="4" w:space="0"/>
              <w:left w:val="single" w:color="auto" w:sz="4" w:space="0"/>
              <w:bottom w:val="single" w:color="auto" w:sz="4" w:space="0"/>
              <w:right w:val="single" w:color="auto" w:sz="4" w:space="0"/>
            </w:tcBorders>
            <w:vAlign w:val="center"/>
          </w:tcPr>
          <w:p w14:paraId="74582665">
            <w:pPr>
              <w:widowControl/>
              <w:jc w:val="left"/>
              <w:rPr>
                <w:color w:val="000000"/>
                <w:kern w:val="0"/>
                <w:sz w:val="24"/>
              </w:rPr>
            </w:pPr>
            <w:r>
              <w:rPr>
                <w:color w:val="000000"/>
                <w:kern w:val="0"/>
                <w:sz w:val="24"/>
              </w:rPr>
              <w:t>响应文件</w:t>
            </w:r>
            <w:r>
              <w:rPr>
                <w:rFonts w:hint="eastAsia"/>
                <w:color w:val="000000"/>
                <w:kern w:val="0"/>
                <w:sz w:val="24"/>
              </w:rPr>
              <w:t>未</w:t>
            </w:r>
            <w:r>
              <w:rPr>
                <w:color w:val="000000"/>
                <w:kern w:val="0"/>
                <w:sz w:val="24"/>
              </w:rPr>
              <w:t>含有遴选人不能接受的附加条件的；</w:t>
            </w:r>
            <w:r>
              <w:rPr>
                <w:rFonts w:hint="eastAsia" w:ascii="宋体" w:hAnsi="宋体"/>
                <w:sz w:val="24"/>
              </w:rPr>
              <w:t>（由评委审查，无需供应商提供材料）</w:t>
            </w:r>
          </w:p>
        </w:tc>
        <w:tc>
          <w:tcPr>
            <w:tcW w:w="1680" w:type="dxa"/>
            <w:tcBorders>
              <w:top w:val="single" w:color="auto" w:sz="4" w:space="0"/>
              <w:left w:val="single" w:color="auto" w:sz="4" w:space="0"/>
              <w:bottom w:val="single" w:color="auto" w:sz="4" w:space="0"/>
              <w:right w:val="single" w:color="auto" w:sz="4" w:space="0"/>
            </w:tcBorders>
            <w:vAlign w:val="center"/>
          </w:tcPr>
          <w:p w14:paraId="74C5F7C9">
            <w:pPr>
              <w:rPr>
                <w:rFonts w:ascii="宋体" w:hAnsi="宋体"/>
              </w:rPr>
            </w:pPr>
          </w:p>
        </w:tc>
        <w:tc>
          <w:tcPr>
            <w:tcW w:w="1785" w:type="dxa"/>
            <w:tcBorders>
              <w:top w:val="single" w:color="auto" w:sz="4" w:space="0"/>
              <w:left w:val="single" w:color="auto" w:sz="4" w:space="0"/>
              <w:bottom w:val="single" w:color="auto" w:sz="4" w:space="0"/>
              <w:right w:val="single" w:color="auto" w:sz="4" w:space="0"/>
            </w:tcBorders>
            <w:vAlign w:val="center"/>
          </w:tcPr>
          <w:p w14:paraId="69BFC70A">
            <w:pPr>
              <w:jc w:val="center"/>
              <w:rPr>
                <w:rFonts w:ascii="宋体" w:hAnsi="宋体"/>
              </w:rPr>
            </w:pPr>
            <w:r>
              <w:rPr>
                <w:rFonts w:hint="eastAsia" w:ascii="宋体" w:hAnsi="宋体"/>
              </w:rPr>
              <w:t>-</w:t>
            </w:r>
          </w:p>
        </w:tc>
      </w:tr>
      <w:tr w14:paraId="66BF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4" w:type="dxa"/>
            <w:tcBorders>
              <w:top w:val="single" w:color="auto" w:sz="4" w:space="0"/>
              <w:left w:val="single" w:color="auto" w:sz="4" w:space="0"/>
              <w:bottom w:val="single" w:color="auto" w:sz="4" w:space="0"/>
              <w:right w:val="single" w:color="auto" w:sz="4" w:space="0"/>
            </w:tcBorders>
            <w:vAlign w:val="center"/>
          </w:tcPr>
          <w:p w14:paraId="28B2F47E">
            <w:pPr>
              <w:jc w:val="center"/>
              <w:rPr>
                <w:rFonts w:hint="eastAsia" w:ascii="宋体" w:hAnsi="宋体" w:eastAsiaTheme="minorEastAsia"/>
                <w:lang w:eastAsia="zh-CN"/>
              </w:rPr>
            </w:pPr>
            <w:r>
              <w:rPr>
                <w:rFonts w:hint="eastAsia" w:ascii="宋体" w:hAnsi="宋体"/>
                <w:lang w:val="en-US" w:eastAsia="zh-CN"/>
              </w:rPr>
              <w:t>8</w:t>
            </w:r>
          </w:p>
        </w:tc>
        <w:tc>
          <w:tcPr>
            <w:tcW w:w="5559" w:type="dxa"/>
            <w:tcBorders>
              <w:top w:val="single" w:color="auto" w:sz="4" w:space="0"/>
              <w:left w:val="single" w:color="auto" w:sz="4" w:space="0"/>
              <w:bottom w:val="single" w:color="auto" w:sz="4" w:space="0"/>
              <w:right w:val="single" w:color="auto" w:sz="4" w:space="0"/>
            </w:tcBorders>
            <w:vAlign w:val="center"/>
          </w:tcPr>
          <w:p w14:paraId="745A3CD8">
            <w:pPr>
              <w:widowControl/>
              <w:jc w:val="left"/>
              <w:rPr>
                <w:color w:val="000000"/>
                <w:kern w:val="0"/>
                <w:sz w:val="24"/>
              </w:rPr>
            </w:pPr>
            <w:r>
              <w:rPr>
                <w:color w:val="000000"/>
                <w:sz w:val="24"/>
              </w:rPr>
              <w:t>供应商、响应文件</w:t>
            </w:r>
            <w:r>
              <w:rPr>
                <w:rFonts w:hint="eastAsia"/>
                <w:color w:val="000000"/>
                <w:sz w:val="24"/>
              </w:rPr>
              <w:t>不存在</w:t>
            </w:r>
            <w:r>
              <w:rPr>
                <w:color w:val="000000"/>
                <w:sz w:val="24"/>
              </w:rPr>
              <w:t>不符合法律、法规和遴选文件规定的其他无效情形。</w:t>
            </w:r>
            <w:r>
              <w:rPr>
                <w:rFonts w:hint="eastAsia" w:ascii="宋体" w:hAnsi="宋体"/>
                <w:sz w:val="24"/>
              </w:rPr>
              <w:t>（由评委审查，无需供应商提供材料）</w:t>
            </w:r>
          </w:p>
        </w:tc>
        <w:tc>
          <w:tcPr>
            <w:tcW w:w="1680" w:type="dxa"/>
            <w:tcBorders>
              <w:top w:val="single" w:color="auto" w:sz="4" w:space="0"/>
              <w:left w:val="single" w:color="auto" w:sz="4" w:space="0"/>
              <w:bottom w:val="single" w:color="auto" w:sz="4" w:space="0"/>
              <w:right w:val="single" w:color="auto" w:sz="4" w:space="0"/>
            </w:tcBorders>
            <w:vAlign w:val="center"/>
          </w:tcPr>
          <w:p w14:paraId="44DD17B7">
            <w:pPr>
              <w:rPr>
                <w:rFonts w:ascii="宋体" w:hAnsi="宋体"/>
              </w:rPr>
            </w:pPr>
          </w:p>
        </w:tc>
        <w:tc>
          <w:tcPr>
            <w:tcW w:w="1785" w:type="dxa"/>
            <w:tcBorders>
              <w:top w:val="single" w:color="auto" w:sz="4" w:space="0"/>
              <w:left w:val="single" w:color="auto" w:sz="4" w:space="0"/>
              <w:bottom w:val="single" w:color="auto" w:sz="4" w:space="0"/>
              <w:right w:val="single" w:color="auto" w:sz="4" w:space="0"/>
            </w:tcBorders>
            <w:vAlign w:val="center"/>
          </w:tcPr>
          <w:p w14:paraId="70E39B06">
            <w:pPr>
              <w:jc w:val="center"/>
              <w:rPr>
                <w:rFonts w:ascii="宋体" w:hAnsi="宋体"/>
              </w:rPr>
            </w:pPr>
            <w:r>
              <w:rPr>
                <w:rFonts w:hint="eastAsia" w:ascii="宋体" w:hAnsi="宋体"/>
              </w:rPr>
              <w:t>-</w:t>
            </w:r>
          </w:p>
        </w:tc>
      </w:tr>
      <w:tr w14:paraId="772D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4" w:type="dxa"/>
            <w:tcBorders>
              <w:top w:val="single" w:color="auto" w:sz="4" w:space="0"/>
              <w:left w:val="single" w:color="auto" w:sz="4" w:space="0"/>
              <w:bottom w:val="single" w:color="auto" w:sz="4" w:space="0"/>
              <w:right w:val="single" w:color="auto" w:sz="4" w:space="0"/>
            </w:tcBorders>
            <w:vAlign w:val="center"/>
          </w:tcPr>
          <w:p w14:paraId="4DBB0197">
            <w:pPr>
              <w:jc w:val="center"/>
              <w:rPr>
                <w:rFonts w:hint="eastAsia" w:ascii="宋体" w:hAnsi="宋体" w:eastAsiaTheme="minorEastAsia"/>
                <w:lang w:eastAsia="zh-CN"/>
              </w:rPr>
            </w:pPr>
            <w:r>
              <w:rPr>
                <w:rFonts w:hint="eastAsia" w:ascii="宋体" w:hAnsi="宋体"/>
                <w:lang w:val="en-US" w:eastAsia="zh-CN"/>
              </w:rPr>
              <w:t>9</w:t>
            </w:r>
          </w:p>
        </w:tc>
        <w:tc>
          <w:tcPr>
            <w:tcW w:w="5559" w:type="dxa"/>
            <w:tcBorders>
              <w:top w:val="single" w:color="auto" w:sz="4" w:space="0"/>
              <w:left w:val="single" w:color="auto" w:sz="4" w:space="0"/>
              <w:bottom w:val="single" w:color="auto" w:sz="4" w:space="0"/>
              <w:right w:val="single" w:color="auto" w:sz="4" w:space="0"/>
            </w:tcBorders>
            <w:vAlign w:val="center"/>
          </w:tcPr>
          <w:p w14:paraId="1A38E0EA">
            <w:pPr>
              <w:widowControl/>
              <w:jc w:val="left"/>
              <w:rPr>
                <w:color w:val="000000"/>
                <w:kern w:val="0"/>
                <w:sz w:val="24"/>
              </w:rPr>
            </w:pPr>
            <w:r>
              <w:rPr>
                <w:rFonts w:hint="eastAsia"/>
                <w:kern w:val="0"/>
                <w:sz w:val="24"/>
              </w:rPr>
              <w:t>标记为</w:t>
            </w:r>
            <w:r>
              <w:rPr>
                <w:kern w:val="0"/>
                <w:sz w:val="24"/>
              </w:rPr>
              <w:t>“实质性格式”的</w:t>
            </w:r>
            <w:r>
              <w:rPr>
                <w:rFonts w:hint="eastAsia"/>
                <w:kern w:val="0"/>
                <w:sz w:val="24"/>
              </w:rPr>
              <w:t>文件均按</w:t>
            </w:r>
            <w:r>
              <w:rPr>
                <w:kern w:val="0"/>
                <w:sz w:val="24"/>
              </w:rPr>
              <w:t>遴选文件</w:t>
            </w:r>
            <w:r>
              <w:rPr>
                <w:rFonts w:hint="eastAsia"/>
                <w:kern w:val="0"/>
                <w:sz w:val="24"/>
              </w:rPr>
              <w:t>要求提供；</w:t>
            </w:r>
            <w:r>
              <w:rPr>
                <w:rFonts w:hint="eastAsia" w:ascii="宋体" w:hAnsi="宋体"/>
                <w:kern w:val="0"/>
                <w:sz w:val="24"/>
              </w:rPr>
              <w:t>除前面已提供的实质性格式文件以外，</w:t>
            </w:r>
            <w:r>
              <w:rPr>
                <w:rFonts w:hint="eastAsia" w:ascii="宋体" w:hAnsi="宋体"/>
                <w:b/>
                <w:kern w:val="0"/>
                <w:sz w:val="24"/>
              </w:rPr>
              <w:t>还需提供：技术和商务要求响应及偏离表</w:t>
            </w:r>
            <w:r>
              <w:rPr>
                <w:rFonts w:hint="eastAsia" w:ascii="宋体" w:hAnsi="宋体"/>
                <w:kern w:val="0"/>
                <w:sz w:val="24"/>
              </w:rPr>
              <w:t>；</w:t>
            </w:r>
            <w:r>
              <w:rPr>
                <w:rFonts w:ascii="宋体" w:hAnsi="宋体"/>
                <w:sz w:val="24"/>
              </w:rPr>
              <w:t>格式见《响应文件格式》</w:t>
            </w:r>
          </w:p>
        </w:tc>
        <w:tc>
          <w:tcPr>
            <w:tcW w:w="1680" w:type="dxa"/>
            <w:tcBorders>
              <w:top w:val="single" w:color="auto" w:sz="4" w:space="0"/>
              <w:left w:val="single" w:color="auto" w:sz="4" w:space="0"/>
              <w:bottom w:val="single" w:color="auto" w:sz="4" w:space="0"/>
              <w:right w:val="single" w:color="auto" w:sz="4" w:space="0"/>
            </w:tcBorders>
            <w:vAlign w:val="center"/>
          </w:tcPr>
          <w:p w14:paraId="1319296F">
            <w:pPr>
              <w:rPr>
                <w:rFonts w:ascii="宋体" w:hAnsi="宋体"/>
              </w:rPr>
            </w:pPr>
          </w:p>
        </w:tc>
        <w:tc>
          <w:tcPr>
            <w:tcW w:w="1785" w:type="dxa"/>
            <w:tcBorders>
              <w:top w:val="single" w:color="auto" w:sz="4" w:space="0"/>
              <w:left w:val="single" w:color="auto" w:sz="4" w:space="0"/>
              <w:bottom w:val="single" w:color="auto" w:sz="4" w:space="0"/>
              <w:right w:val="single" w:color="auto" w:sz="4" w:space="0"/>
            </w:tcBorders>
            <w:vAlign w:val="center"/>
          </w:tcPr>
          <w:p w14:paraId="4757322F">
            <w:pPr>
              <w:jc w:val="center"/>
              <w:rPr>
                <w:rFonts w:ascii="宋体" w:hAnsi="宋体"/>
              </w:rPr>
            </w:pPr>
          </w:p>
        </w:tc>
      </w:tr>
      <w:tr w14:paraId="7A48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tcBorders>
              <w:top w:val="single" w:color="auto" w:sz="4" w:space="0"/>
              <w:left w:val="single" w:color="auto" w:sz="4" w:space="0"/>
              <w:bottom w:val="single" w:color="auto" w:sz="4" w:space="0"/>
              <w:right w:val="single" w:color="auto" w:sz="4" w:space="0"/>
            </w:tcBorders>
            <w:vAlign w:val="center"/>
          </w:tcPr>
          <w:p w14:paraId="56CBC792">
            <w:pPr>
              <w:jc w:val="center"/>
              <w:rPr>
                <w:rFonts w:ascii="宋体" w:hAnsi="宋体"/>
              </w:rPr>
            </w:pPr>
          </w:p>
        </w:tc>
        <w:tc>
          <w:tcPr>
            <w:tcW w:w="5559" w:type="dxa"/>
            <w:tcBorders>
              <w:top w:val="single" w:color="auto" w:sz="4" w:space="0"/>
              <w:left w:val="single" w:color="auto" w:sz="4" w:space="0"/>
              <w:bottom w:val="single" w:color="auto" w:sz="4" w:space="0"/>
              <w:right w:val="single" w:color="auto" w:sz="4" w:space="0"/>
            </w:tcBorders>
            <w:vAlign w:val="center"/>
          </w:tcPr>
          <w:p w14:paraId="62B40401">
            <w:pPr>
              <w:snapToGrid w:val="0"/>
              <w:spacing w:line="0" w:lineRule="atLeast"/>
              <w:rPr>
                <w:rFonts w:ascii="宋体" w:hAnsi="宋体"/>
                <w:iCs/>
                <w:sz w:val="24"/>
                <w:szCs w:val="24"/>
              </w:rPr>
            </w:pPr>
            <w:r>
              <w:rPr>
                <w:rFonts w:ascii="宋体" w:hAnsi="宋体"/>
                <w:iCs/>
                <w:sz w:val="24"/>
                <w:szCs w:val="24"/>
              </w:rPr>
              <w:t>……</w:t>
            </w:r>
          </w:p>
        </w:tc>
        <w:tc>
          <w:tcPr>
            <w:tcW w:w="1680" w:type="dxa"/>
            <w:tcBorders>
              <w:top w:val="single" w:color="auto" w:sz="4" w:space="0"/>
              <w:left w:val="single" w:color="auto" w:sz="4" w:space="0"/>
              <w:bottom w:val="single" w:color="auto" w:sz="4" w:space="0"/>
              <w:right w:val="single" w:color="auto" w:sz="4" w:space="0"/>
            </w:tcBorders>
            <w:vAlign w:val="center"/>
          </w:tcPr>
          <w:p w14:paraId="2F0A7DA5">
            <w:pPr>
              <w:rPr>
                <w:rFonts w:ascii="宋体" w:hAnsi="宋体"/>
              </w:rPr>
            </w:pPr>
          </w:p>
        </w:tc>
        <w:tc>
          <w:tcPr>
            <w:tcW w:w="1785" w:type="dxa"/>
            <w:tcBorders>
              <w:top w:val="single" w:color="auto" w:sz="4" w:space="0"/>
              <w:left w:val="single" w:color="auto" w:sz="4" w:space="0"/>
              <w:bottom w:val="single" w:color="auto" w:sz="4" w:space="0"/>
              <w:right w:val="single" w:color="auto" w:sz="4" w:space="0"/>
            </w:tcBorders>
            <w:vAlign w:val="center"/>
          </w:tcPr>
          <w:p w14:paraId="4082F045">
            <w:pPr>
              <w:jc w:val="center"/>
              <w:rPr>
                <w:rFonts w:ascii="宋体" w:hAnsi="宋体"/>
              </w:rPr>
            </w:pPr>
          </w:p>
        </w:tc>
      </w:tr>
    </w:tbl>
    <w:p w14:paraId="6FC2C792">
      <w:pPr>
        <w:jc w:val="center"/>
        <w:rPr>
          <w:rFonts w:hint="eastAsia" w:ascii="宋体" w:hAnsi="宋体"/>
          <w:b/>
          <w:sz w:val="32"/>
          <w:szCs w:val="32"/>
        </w:rPr>
      </w:pPr>
      <w:r>
        <w:rPr>
          <w:rFonts w:hint="eastAsia" w:ascii="宋体" w:hAnsi="宋体"/>
          <w:b/>
          <w:sz w:val="32"/>
          <w:szCs w:val="32"/>
        </w:rPr>
        <w:t>四、评分索引表</w:t>
      </w:r>
    </w:p>
    <w:p w14:paraId="3BFFC3DA">
      <w:pPr>
        <w:pStyle w:val="2"/>
      </w:pPr>
    </w:p>
    <w:tbl>
      <w:tblPr>
        <w:tblStyle w:val="16"/>
        <w:tblW w:w="85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3118"/>
        <w:gridCol w:w="4111"/>
      </w:tblGrid>
      <w:tr w14:paraId="02BB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77" w:type="dxa"/>
            <w:tcBorders>
              <w:top w:val="single" w:color="auto" w:sz="4" w:space="0"/>
              <w:left w:val="single" w:color="auto" w:sz="4" w:space="0"/>
              <w:bottom w:val="single" w:color="auto" w:sz="4" w:space="0"/>
              <w:right w:val="single" w:color="auto" w:sz="4" w:space="0"/>
            </w:tcBorders>
            <w:vAlign w:val="center"/>
          </w:tcPr>
          <w:p w14:paraId="1E6F14A4">
            <w:pPr>
              <w:pStyle w:val="27"/>
              <w:shd w:val="clear" w:color="auto" w:fill="FFFFFF"/>
              <w:spacing w:line="265" w:lineRule="atLeast"/>
              <w:ind w:left="0"/>
              <w:jc w:val="center"/>
              <w:rPr>
                <w:rFonts w:ascii="宋体" w:hAnsi="宋体"/>
                <w:b/>
                <w:lang w:eastAsia="zh-CN"/>
              </w:rPr>
            </w:pPr>
            <w:r>
              <w:rPr>
                <w:rFonts w:hint="eastAsia" w:ascii="宋体" w:hAnsi="宋体"/>
                <w:b/>
                <w:lang w:eastAsia="zh-CN"/>
              </w:rPr>
              <w:t>序号</w:t>
            </w:r>
          </w:p>
        </w:tc>
        <w:tc>
          <w:tcPr>
            <w:tcW w:w="3118" w:type="dxa"/>
            <w:tcBorders>
              <w:top w:val="single" w:color="auto" w:sz="4" w:space="0"/>
              <w:left w:val="single" w:color="auto" w:sz="4" w:space="0"/>
              <w:bottom w:val="single" w:color="auto" w:sz="4" w:space="0"/>
              <w:right w:val="single" w:color="auto" w:sz="4" w:space="0"/>
            </w:tcBorders>
            <w:vAlign w:val="center"/>
          </w:tcPr>
          <w:p w14:paraId="2677A0EF">
            <w:pPr>
              <w:pStyle w:val="27"/>
              <w:shd w:val="clear" w:color="auto" w:fill="FFFFFF"/>
              <w:spacing w:line="265" w:lineRule="atLeast"/>
              <w:ind w:left="420"/>
              <w:jc w:val="center"/>
              <w:rPr>
                <w:rFonts w:ascii="宋体" w:hAnsi="宋体"/>
                <w:b/>
                <w:lang w:eastAsia="zh-CN"/>
              </w:rPr>
            </w:pPr>
            <w:r>
              <w:rPr>
                <w:rFonts w:hint="eastAsia" w:ascii="宋体" w:hAnsi="宋体"/>
                <w:b/>
              </w:rPr>
              <w:t>评分</w:t>
            </w:r>
            <w:r>
              <w:rPr>
                <w:rFonts w:hint="eastAsia" w:ascii="宋体" w:hAnsi="宋体"/>
                <w:b/>
                <w:lang w:eastAsia="zh-CN"/>
              </w:rPr>
              <w:t>因素</w:t>
            </w:r>
          </w:p>
        </w:tc>
        <w:tc>
          <w:tcPr>
            <w:tcW w:w="4111" w:type="dxa"/>
            <w:tcBorders>
              <w:top w:val="single" w:color="auto" w:sz="4" w:space="0"/>
              <w:left w:val="single" w:color="auto" w:sz="4" w:space="0"/>
              <w:bottom w:val="single" w:color="auto" w:sz="4" w:space="0"/>
              <w:right w:val="single" w:color="auto" w:sz="4" w:space="0"/>
            </w:tcBorders>
            <w:vAlign w:val="center"/>
          </w:tcPr>
          <w:p w14:paraId="5665C3FE">
            <w:pPr>
              <w:pStyle w:val="27"/>
              <w:shd w:val="clear" w:color="auto" w:fill="FFFFFF"/>
              <w:spacing w:line="265" w:lineRule="atLeast"/>
              <w:ind w:left="420"/>
              <w:jc w:val="center"/>
              <w:rPr>
                <w:rFonts w:ascii="宋体" w:hAnsi="宋体"/>
                <w:b/>
                <w:bCs/>
                <w:lang w:eastAsia="zh-CN"/>
              </w:rPr>
            </w:pPr>
            <w:r>
              <w:rPr>
                <w:rFonts w:hint="eastAsia" w:ascii="宋体" w:hAnsi="宋体"/>
                <w:b/>
                <w:kern w:val="0"/>
                <w:lang w:eastAsia="zh-CN"/>
              </w:rPr>
              <w:t>在响应文件中的页码位置</w:t>
            </w:r>
          </w:p>
        </w:tc>
      </w:tr>
      <w:tr w14:paraId="0ED2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7" w:type="dxa"/>
            <w:tcBorders>
              <w:top w:val="single" w:color="auto" w:sz="4" w:space="0"/>
              <w:left w:val="single" w:color="auto" w:sz="4" w:space="0"/>
              <w:bottom w:val="single" w:color="auto" w:sz="4" w:space="0"/>
              <w:right w:val="single" w:color="auto" w:sz="4" w:space="0"/>
            </w:tcBorders>
          </w:tcPr>
          <w:p w14:paraId="69151EDF">
            <w:pPr>
              <w:pStyle w:val="27"/>
              <w:shd w:val="clear" w:color="auto" w:fill="FFFFFF"/>
              <w:spacing w:line="265" w:lineRule="atLeast"/>
              <w:ind w:left="420"/>
              <w:jc w:val="both"/>
              <w:rPr>
                <w:rFonts w:ascii="宋体" w:hAnsi="宋体"/>
                <w:b/>
                <w:lang w:eastAsia="zh-CN"/>
              </w:rPr>
            </w:pPr>
          </w:p>
        </w:tc>
        <w:tc>
          <w:tcPr>
            <w:tcW w:w="3118" w:type="dxa"/>
            <w:tcBorders>
              <w:top w:val="single" w:color="auto" w:sz="4" w:space="0"/>
              <w:left w:val="single" w:color="auto" w:sz="4" w:space="0"/>
              <w:bottom w:val="single" w:color="auto" w:sz="4" w:space="0"/>
              <w:right w:val="single" w:color="auto" w:sz="4" w:space="0"/>
            </w:tcBorders>
          </w:tcPr>
          <w:p w14:paraId="6A4E49A5">
            <w:pPr>
              <w:pStyle w:val="27"/>
              <w:shd w:val="clear" w:color="auto" w:fill="FFFFFF"/>
              <w:spacing w:line="265" w:lineRule="atLeast"/>
              <w:ind w:left="420"/>
              <w:jc w:val="both"/>
              <w:rPr>
                <w:rFonts w:ascii="宋体" w:hAnsi="宋体"/>
                <w:b/>
                <w:lang w:eastAsia="zh-CN"/>
              </w:rPr>
            </w:pPr>
          </w:p>
        </w:tc>
        <w:tc>
          <w:tcPr>
            <w:tcW w:w="4111" w:type="dxa"/>
            <w:tcBorders>
              <w:top w:val="single" w:color="auto" w:sz="4" w:space="0"/>
              <w:left w:val="single" w:color="auto" w:sz="4" w:space="0"/>
              <w:bottom w:val="single" w:color="auto" w:sz="4" w:space="0"/>
              <w:right w:val="single" w:color="auto" w:sz="4" w:space="0"/>
            </w:tcBorders>
          </w:tcPr>
          <w:p w14:paraId="586C40B7">
            <w:pPr>
              <w:pStyle w:val="27"/>
              <w:shd w:val="clear" w:color="auto" w:fill="FFFFFF"/>
              <w:spacing w:line="265" w:lineRule="atLeast"/>
              <w:ind w:left="420"/>
              <w:jc w:val="both"/>
              <w:rPr>
                <w:rFonts w:ascii="宋体" w:hAnsi="宋体"/>
                <w:b/>
                <w:lang w:eastAsia="zh-CN"/>
              </w:rPr>
            </w:pPr>
          </w:p>
        </w:tc>
      </w:tr>
      <w:tr w14:paraId="2A16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7" w:type="dxa"/>
            <w:tcBorders>
              <w:top w:val="single" w:color="auto" w:sz="4" w:space="0"/>
              <w:left w:val="single" w:color="auto" w:sz="4" w:space="0"/>
              <w:bottom w:val="single" w:color="auto" w:sz="4" w:space="0"/>
              <w:right w:val="single" w:color="auto" w:sz="4" w:space="0"/>
            </w:tcBorders>
          </w:tcPr>
          <w:p w14:paraId="2E60F395">
            <w:pPr>
              <w:pStyle w:val="27"/>
              <w:shd w:val="clear" w:color="auto" w:fill="FFFFFF"/>
              <w:spacing w:line="265" w:lineRule="atLeast"/>
              <w:ind w:left="420"/>
              <w:jc w:val="both"/>
              <w:rPr>
                <w:rFonts w:ascii="宋体" w:hAnsi="宋体"/>
                <w:b/>
                <w:lang w:eastAsia="zh-CN"/>
              </w:rPr>
            </w:pPr>
          </w:p>
        </w:tc>
        <w:tc>
          <w:tcPr>
            <w:tcW w:w="3118" w:type="dxa"/>
            <w:tcBorders>
              <w:top w:val="single" w:color="auto" w:sz="4" w:space="0"/>
              <w:left w:val="single" w:color="auto" w:sz="4" w:space="0"/>
              <w:bottom w:val="single" w:color="auto" w:sz="4" w:space="0"/>
              <w:right w:val="single" w:color="auto" w:sz="4" w:space="0"/>
            </w:tcBorders>
          </w:tcPr>
          <w:p w14:paraId="586D69A7">
            <w:pPr>
              <w:pStyle w:val="27"/>
              <w:shd w:val="clear" w:color="auto" w:fill="FFFFFF"/>
              <w:spacing w:line="265" w:lineRule="atLeast"/>
              <w:ind w:left="420"/>
              <w:jc w:val="both"/>
              <w:rPr>
                <w:rFonts w:ascii="宋体" w:hAnsi="宋体"/>
                <w:b/>
                <w:lang w:eastAsia="zh-CN"/>
              </w:rPr>
            </w:pPr>
          </w:p>
        </w:tc>
        <w:tc>
          <w:tcPr>
            <w:tcW w:w="4111" w:type="dxa"/>
            <w:tcBorders>
              <w:top w:val="single" w:color="auto" w:sz="4" w:space="0"/>
              <w:left w:val="single" w:color="auto" w:sz="4" w:space="0"/>
              <w:bottom w:val="single" w:color="auto" w:sz="4" w:space="0"/>
              <w:right w:val="single" w:color="auto" w:sz="4" w:space="0"/>
            </w:tcBorders>
          </w:tcPr>
          <w:p w14:paraId="787B134A">
            <w:pPr>
              <w:pStyle w:val="27"/>
              <w:shd w:val="clear" w:color="auto" w:fill="FFFFFF"/>
              <w:spacing w:line="265" w:lineRule="atLeast"/>
              <w:ind w:left="420"/>
              <w:jc w:val="both"/>
              <w:rPr>
                <w:rFonts w:ascii="宋体" w:hAnsi="宋体"/>
                <w:b/>
                <w:lang w:eastAsia="zh-CN"/>
              </w:rPr>
            </w:pPr>
          </w:p>
        </w:tc>
      </w:tr>
      <w:tr w14:paraId="49CB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7" w:type="dxa"/>
            <w:tcBorders>
              <w:top w:val="single" w:color="auto" w:sz="4" w:space="0"/>
              <w:left w:val="single" w:color="auto" w:sz="4" w:space="0"/>
              <w:bottom w:val="single" w:color="auto" w:sz="4" w:space="0"/>
              <w:right w:val="single" w:color="auto" w:sz="4" w:space="0"/>
            </w:tcBorders>
          </w:tcPr>
          <w:p w14:paraId="4DE74C30">
            <w:pPr>
              <w:pStyle w:val="27"/>
              <w:shd w:val="clear" w:color="auto" w:fill="FFFFFF"/>
              <w:spacing w:line="265" w:lineRule="atLeast"/>
              <w:ind w:left="420"/>
              <w:jc w:val="both"/>
              <w:rPr>
                <w:rFonts w:ascii="宋体" w:hAnsi="宋体"/>
                <w:b/>
                <w:lang w:eastAsia="zh-CN"/>
              </w:rPr>
            </w:pPr>
          </w:p>
        </w:tc>
        <w:tc>
          <w:tcPr>
            <w:tcW w:w="3118" w:type="dxa"/>
            <w:tcBorders>
              <w:top w:val="single" w:color="auto" w:sz="4" w:space="0"/>
              <w:left w:val="single" w:color="auto" w:sz="4" w:space="0"/>
              <w:bottom w:val="single" w:color="auto" w:sz="4" w:space="0"/>
              <w:right w:val="single" w:color="auto" w:sz="4" w:space="0"/>
            </w:tcBorders>
          </w:tcPr>
          <w:p w14:paraId="3D62BB82">
            <w:pPr>
              <w:pStyle w:val="27"/>
              <w:shd w:val="clear" w:color="auto" w:fill="FFFFFF"/>
              <w:spacing w:line="265" w:lineRule="atLeast"/>
              <w:ind w:left="420"/>
              <w:jc w:val="both"/>
              <w:rPr>
                <w:rFonts w:ascii="宋体" w:hAnsi="宋体"/>
                <w:b/>
                <w:lang w:eastAsia="zh-CN"/>
              </w:rPr>
            </w:pPr>
          </w:p>
        </w:tc>
        <w:tc>
          <w:tcPr>
            <w:tcW w:w="4111" w:type="dxa"/>
            <w:tcBorders>
              <w:top w:val="single" w:color="auto" w:sz="4" w:space="0"/>
              <w:left w:val="single" w:color="auto" w:sz="4" w:space="0"/>
              <w:bottom w:val="single" w:color="auto" w:sz="4" w:space="0"/>
              <w:right w:val="single" w:color="auto" w:sz="4" w:space="0"/>
            </w:tcBorders>
          </w:tcPr>
          <w:p w14:paraId="0FC03D8D">
            <w:pPr>
              <w:pStyle w:val="27"/>
              <w:shd w:val="clear" w:color="auto" w:fill="FFFFFF"/>
              <w:spacing w:line="265" w:lineRule="atLeast"/>
              <w:ind w:left="420"/>
              <w:jc w:val="both"/>
              <w:rPr>
                <w:rFonts w:ascii="宋体" w:hAnsi="宋体"/>
                <w:b/>
                <w:lang w:eastAsia="zh-CN"/>
              </w:rPr>
            </w:pPr>
          </w:p>
        </w:tc>
      </w:tr>
      <w:tr w14:paraId="38E3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7" w:type="dxa"/>
            <w:tcBorders>
              <w:top w:val="single" w:color="auto" w:sz="4" w:space="0"/>
              <w:left w:val="single" w:color="auto" w:sz="4" w:space="0"/>
              <w:bottom w:val="single" w:color="auto" w:sz="4" w:space="0"/>
              <w:right w:val="single" w:color="auto" w:sz="4" w:space="0"/>
            </w:tcBorders>
          </w:tcPr>
          <w:p w14:paraId="212F964B">
            <w:pPr>
              <w:pStyle w:val="27"/>
              <w:shd w:val="clear" w:color="auto" w:fill="FFFFFF"/>
              <w:spacing w:line="265" w:lineRule="atLeast"/>
              <w:ind w:left="420"/>
              <w:jc w:val="both"/>
              <w:rPr>
                <w:rFonts w:ascii="宋体" w:hAnsi="宋体"/>
                <w:b/>
                <w:lang w:eastAsia="zh-CN"/>
              </w:rPr>
            </w:pPr>
          </w:p>
        </w:tc>
        <w:tc>
          <w:tcPr>
            <w:tcW w:w="3118" w:type="dxa"/>
            <w:tcBorders>
              <w:top w:val="single" w:color="auto" w:sz="4" w:space="0"/>
              <w:left w:val="single" w:color="auto" w:sz="4" w:space="0"/>
              <w:bottom w:val="single" w:color="auto" w:sz="4" w:space="0"/>
              <w:right w:val="single" w:color="auto" w:sz="4" w:space="0"/>
            </w:tcBorders>
          </w:tcPr>
          <w:p w14:paraId="39A5867A">
            <w:pPr>
              <w:pStyle w:val="27"/>
              <w:shd w:val="clear" w:color="auto" w:fill="FFFFFF"/>
              <w:spacing w:line="265" w:lineRule="atLeast"/>
              <w:ind w:left="420"/>
              <w:jc w:val="both"/>
              <w:rPr>
                <w:rFonts w:ascii="宋体" w:hAnsi="宋体"/>
                <w:b/>
                <w:lang w:eastAsia="zh-CN"/>
              </w:rPr>
            </w:pPr>
          </w:p>
        </w:tc>
        <w:tc>
          <w:tcPr>
            <w:tcW w:w="4111" w:type="dxa"/>
            <w:tcBorders>
              <w:top w:val="single" w:color="auto" w:sz="4" w:space="0"/>
              <w:left w:val="single" w:color="auto" w:sz="4" w:space="0"/>
              <w:bottom w:val="single" w:color="auto" w:sz="4" w:space="0"/>
              <w:right w:val="single" w:color="auto" w:sz="4" w:space="0"/>
            </w:tcBorders>
          </w:tcPr>
          <w:p w14:paraId="1E24B7E3">
            <w:pPr>
              <w:pStyle w:val="27"/>
              <w:shd w:val="clear" w:color="auto" w:fill="FFFFFF"/>
              <w:spacing w:line="265" w:lineRule="atLeast"/>
              <w:ind w:left="420"/>
              <w:jc w:val="both"/>
              <w:rPr>
                <w:rFonts w:ascii="宋体" w:hAnsi="宋体"/>
                <w:b/>
                <w:lang w:eastAsia="zh-CN"/>
              </w:rPr>
            </w:pPr>
          </w:p>
        </w:tc>
      </w:tr>
      <w:tr w14:paraId="4B18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7" w:type="dxa"/>
            <w:tcBorders>
              <w:top w:val="single" w:color="auto" w:sz="4" w:space="0"/>
              <w:left w:val="single" w:color="auto" w:sz="4" w:space="0"/>
              <w:bottom w:val="single" w:color="auto" w:sz="4" w:space="0"/>
              <w:right w:val="single" w:color="auto" w:sz="4" w:space="0"/>
            </w:tcBorders>
          </w:tcPr>
          <w:p w14:paraId="00BAD2B6">
            <w:pPr>
              <w:pStyle w:val="27"/>
              <w:shd w:val="clear" w:color="auto" w:fill="FFFFFF"/>
              <w:spacing w:line="265" w:lineRule="atLeast"/>
              <w:ind w:left="420"/>
              <w:rPr>
                <w:rFonts w:ascii="宋体" w:hAnsi="宋体"/>
                <w:lang w:eastAsia="zh-CN"/>
              </w:rPr>
            </w:pPr>
          </w:p>
        </w:tc>
        <w:tc>
          <w:tcPr>
            <w:tcW w:w="3118" w:type="dxa"/>
            <w:tcBorders>
              <w:top w:val="single" w:color="auto" w:sz="4" w:space="0"/>
              <w:left w:val="single" w:color="auto" w:sz="4" w:space="0"/>
              <w:bottom w:val="single" w:color="auto" w:sz="4" w:space="0"/>
              <w:right w:val="single" w:color="auto" w:sz="4" w:space="0"/>
            </w:tcBorders>
          </w:tcPr>
          <w:p w14:paraId="1A32429F">
            <w:pPr>
              <w:pStyle w:val="27"/>
              <w:shd w:val="clear" w:color="auto" w:fill="FFFFFF"/>
              <w:spacing w:line="265" w:lineRule="atLeast"/>
              <w:ind w:left="420"/>
              <w:rPr>
                <w:rFonts w:ascii="宋体" w:hAnsi="宋体"/>
                <w:lang w:eastAsia="zh-CN"/>
              </w:rPr>
            </w:pPr>
          </w:p>
        </w:tc>
        <w:tc>
          <w:tcPr>
            <w:tcW w:w="4111" w:type="dxa"/>
            <w:tcBorders>
              <w:top w:val="single" w:color="auto" w:sz="4" w:space="0"/>
              <w:left w:val="single" w:color="auto" w:sz="4" w:space="0"/>
              <w:bottom w:val="single" w:color="auto" w:sz="4" w:space="0"/>
              <w:right w:val="single" w:color="auto" w:sz="4" w:space="0"/>
            </w:tcBorders>
          </w:tcPr>
          <w:p w14:paraId="15329193">
            <w:pPr>
              <w:pStyle w:val="27"/>
              <w:shd w:val="clear" w:color="auto" w:fill="FFFFFF"/>
              <w:spacing w:line="265" w:lineRule="atLeast"/>
              <w:ind w:left="420"/>
              <w:rPr>
                <w:rFonts w:ascii="宋体" w:hAnsi="宋体"/>
                <w:lang w:eastAsia="zh-CN"/>
              </w:rPr>
            </w:pPr>
          </w:p>
        </w:tc>
      </w:tr>
      <w:tr w14:paraId="4C11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7" w:type="dxa"/>
            <w:tcBorders>
              <w:top w:val="single" w:color="auto" w:sz="4" w:space="0"/>
              <w:left w:val="single" w:color="auto" w:sz="4" w:space="0"/>
              <w:bottom w:val="single" w:color="auto" w:sz="4" w:space="0"/>
              <w:right w:val="single" w:color="auto" w:sz="4" w:space="0"/>
            </w:tcBorders>
          </w:tcPr>
          <w:p w14:paraId="049D3441">
            <w:pPr>
              <w:pStyle w:val="27"/>
              <w:shd w:val="clear" w:color="auto" w:fill="FFFFFF"/>
              <w:spacing w:line="265" w:lineRule="atLeast"/>
              <w:ind w:left="420"/>
              <w:rPr>
                <w:rFonts w:ascii="宋体" w:hAnsi="宋体"/>
                <w:lang w:eastAsia="zh-CN"/>
              </w:rPr>
            </w:pPr>
          </w:p>
        </w:tc>
        <w:tc>
          <w:tcPr>
            <w:tcW w:w="3118" w:type="dxa"/>
            <w:tcBorders>
              <w:top w:val="single" w:color="auto" w:sz="4" w:space="0"/>
              <w:left w:val="single" w:color="auto" w:sz="4" w:space="0"/>
              <w:bottom w:val="single" w:color="auto" w:sz="4" w:space="0"/>
              <w:right w:val="single" w:color="auto" w:sz="4" w:space="0"/>
            </w:tcBorders>
          </w:tcPr>
          <w:p w14:paraId="1DEA4A01">
            <w:pPr>
              <w:pStyle w:val="27"/>
              <w:shd w:val="clear" w:color="auto" w:fill="FFFFFF"/>
              <w:spacing w:line="265" w:lineRule="atLeast"/>
              <w:ind w:left="420"/>
              <w:rPr>
                <w:rFonts w:ascii="宋体" w:hAnsi="宋体"/>
                <w:lang w:eastAsia="zh-CN"/>
              </w:rPr>
            </w:pPr>
          </w:p>
        </w:tc>
        <w:tc>
          <w:tcPr>
            <w:tcW w:w="4111" w:type="dxa"/>
            <w:tcBorders>
              <w:top w:val="single" w:color="auto" w:sz="4" w:space="0"/>
              <w:left w:val="single" w:color="auto" w:sz="4" w:space="0"/>
              <w:bottom w:val="single" w:color="auto" w:sz="4" w:space="0"/>
              <w:right w:val="single" w:color="auto" w:sz="4" w:space="0"/>
            </w:tcBorders>
          </w:tcPr>
          <w:p w14:paraId="4025B82B">
            <w:pPr>
              <w:pStyle w:val="27"/>
              <w:shd w:val="clear" w:color="auto" w:fill="FFFFFF"/>
              <w:spacing w:line="265" w:lineRule="atLeast"/>
              <w:ind w:left="420"/>
              <w:rPr>
                <w:rFonts w:ascii="宋体" w:hAnsi="宋体"/>
                <w:lang w:eastAsia="zh-CN"/>
              </w:rPr>
            </w:pPr>
          </w:p>
        </w:tc>
      </w:tr>
      <w:tr w14:paraId="3304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7" w:type="dxa"/>
            <w:tcBorders>
              <w:top w:val="single" w:color="auto" w:sz="4" w:space="0"/>
              <w:left w:val="single" w:color="auto" w:sz="4" w:space="0"/>
              <w:bottom w:val="single" w:color="auto" w:sz="4" w:space="0"/>
              <w:right w:val="single" w:color="auto" w:sz="4" w:space="0"/>
            </w:tcBorders>
          </w:tcPr>
          <w:p w14:paraId="564384DD">
            <w:pPr>
              <w:pStyle w:val="27"/>
              <w:shd w:val="clear" w:color="auto" w:fill="FFFFFF"/>
              <w:spacing w:line="265" w:lineRule="atLeast"/>
              <w:ind w:left="420"/>
              <w:rPr>
                <w:rFonts w:ascii="宋体" w:hAnsi="宋体"/>
                <w:lang w:eastAsia="zh-CN"/>
              </w:rPr>
            </w:pPr>
          </w:p>
        </w:tc>
        <w:tc>
          <w:tcPr>
            <w:tcW w:w="3118" w:type="dxa"/>
            <w:tcBorders>
              <w:top w:val="single" w:color="auto" w:sz="4" w:space="0"/>
              <w:left w:val="single" w:color="auto" w:sz="4" w:space="0"/>
              <w:bottom w:val="single" w:color="auto" w:sz="4" w:space="0"/>
              <w:right w:val="single" w:color="auto" w:sz="4" w:space="0"/>
            </w:tcBorders>
          </w:tcPr>
          <w:p w14:paraId="774D0825">
            <w:pPr>
              <w:pStyle w:val="27"/>
              <w:shd w:val="clear" w:color="auto" w:fill="FFFFFF"/>
              <w:spacing w:line="265" w:lineRule="atLeast"/>
              <w:ind w:left="420"/>
              <w:rPr>
                <w:rFonts w:ascii="宋体" w:hAnsi="宋体"/>
                <w:lang w:eastAsia="zh-CN"/>
              </w:rPr>
            </w:pPr>
          </w:p>
        </w:tc>
        <w:tc>
          <w:tcPr>
            <w:tcW w:w="4111" w:type="dxa"/>
            <w:tcBorders>
              <w:top w:val="single" w:color="auto" w:sz="4" w:space="0"/>
              <w:left w:val="single" w:color="auto" w:sz="4" w:space="0"/>
              <w:bottom w:val="single" w:color="auto" w:sz="4" w:space="0"/>
              <w:right w:val="single" w:color="auto" w:sz="4" w:space="0"/>
            </w:tcBorders>
          </w:tcPr>
          <w:p w14:paraId="613E68ED">
            <w:pPr>
              <w:pStyle w:val="27"/>
              <w:shd w:val="clear" w:color="auto" w:fill="FFFFFF"/>
              <w:spacing w:line="265" w:lineRule="atLeast"/>
              <w:ind w:left="420"/>
              <w:rPr>
                <w:rFonts w:ascii="宋体" w:hAnsi="宋体"/>
                <w:lang w:eastAsia="zh-CN"/>
              </w:rPr>
            </w:pPr>
          </w:p>
        </w:tc>
      </w:tr>
      <w:tr w14:paraId="6B7D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7" w:type="dxa"/>
            <w:tcBorders>
              <w:top w:val="single" w:color="auto" w:sz="4" w:space="0"/>
              <w:left w:val="single" w:color="auto" w:sz="4" w:space="0"/>
              <w:bottom w:val="single" w:color="auto" w:sz="4" w:space="0"/>
              <w:right w:val="single" w:color="auto" w:sz="4" w:space="0"/>
            </w:tcBorders>
          </w:tcPr>
          <w:p w14:paraId="3C1C98D4">
            <w:pPr>
              <w:pStyle w:val="27"/>
              <w:shd w:val="clear" w:color="auto" w:fill="FFFFFF"/>
              <w:spacing w:line="265" w:lineRule="atLeast"/>
              <w:ind w:left="420"/>
              <w:rPr>
                <w:rFonts w:ascii="宋体" w:hAnsi="宋体"/>
                <w:lang w:eastAsia="zh-CN"/>
              </w:rPr>
            </w:pPr>
          </w:p>
        </w:tc>
        <w:tc>
          <w:tcPr>
            <w:tcW w:w="3118" w:type="dxa"/>
            <w:tcBorders>
              <w:top w:val="single" w:color="auto" w:sz="4" w:space="0"/>
              <w:left w:val="single" w:color="auto" w:sz="4" w:space="0"/>
              <w:bottom w:val="single" w:color="auto" w:sz="4" w:space="0"/>
              <w:right w:val="single" w:color="auto" w:sz="4" w:space="0"/>
            </w:tcBorders>
          </w:tcPr>
          <w:p w14:paraId="301FCDA4">
            <w:pPr>
              <w:pStyle w:val="27"/>
              <w:shd w:val="clear" w:color="auto" w:fill="FFFFFF"/>
              <w:spacing w:line="265" w:lineRule="atLeast"/>
              <w:ind w:left="420"/>
              <w:rPr>
                <w:rFonts w:ascii="宋体" w:hAnsi="宋体"/>
                <w:lang w:eastAsia="zh-CN"/>
              </w:rPr>
            </w:pPr>
          </w:p>
        </w:tc>
        <w:tc>
          <w:tcPr>
            <w:tcW w:w="4111" w:type="dxa"/>
            <w:tcBorders>
              <w:top w:val="single" w:color="auto" w:sz="4" w:space="0"/>
              <w:left w:val="single" w:color="auto" w:sz="4" w:space="0"/>
              <w:bottom w:val="single" w:color="auto" w:sz="4" w:space="0"/>
              <w:right w:val="single" w:color="auto" w:sz="4" w:space="0"/>
            </w:tcBorders>
          </w:tcPr>
          <w:p w14:paraId="4F20D123">
            <w:pPr>
              <w:pStyle w:val="27"/>
              <w:shd w:val="clear" w:color="auto" w:fill="FFFFFF"/>
              <w:spacing w:line="265" w:lineRule="atLeast"/>
              <w:ind w:left="420"/>
              <w:rPr>
                <w:rFonts w:ascii="宋体" w:hAnsi="宋体"/>
                <w:lang w:eastAsia="zh-CN"/>
              </w:rPr>
            </w:pPr>
          </w:p>
        </w:tc>
      </w:tr>
      <w:tr w14:paraId="11DA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7" w:type="dxa"/>
            <w:tcBorders>
              <w:top w:val="single" w:color="auto" w:sz="4" w:space="0"/>
              <w:left w:val="single" w:color="auto" w:sz="4" w:space="0"/>
              <w:bottom w:val="single" w:color="auto" w:sz="4" w:space="0"/>
              <w:right w:val="single" w:color="auto" w:sz="4" w:space="0"/>
            </w:tcBorders>
          </w:tcPr>
          <w:p w14:paraId="5B5D5A1A">
            <w:pPr>
              <w:pStyle w:val="27"/>
              <w:shd w:val="clear" w:color="auto" w:fill="FFFFFF"/>
              <w:spacing w:line="265" w:lineRule="atLeast"/>
              <w:ind w:left="420"/>
              <w:rPr>
                <w:rFonts w:ascii="宋体" w:hAnsi="宋体"/>
                <w:lang w:eastAsia="zh-CN"/>
              </w:rPr>
            </w:pPr>
          </w:p>
        </w:tc>
        <w:tc>
          <w:tcPr>
            <w:tcW w:w="3118" w:type="dxa"/>
            <w:tcBorders>
              <w:top w:val="single" w:color="auto" w:sz="4" w:space="0"/>
              <w:left w:val="single" w:color="auto" w:sz="4" w:space="0"/>
              <w:bottom w:val="single" w:color="auto" w:sz="4" w:space="0"/>
              <w:right w:val="single" w:color="auto" w:sz="4" w:space="0"/>
            </w:tcBorders>
          </w:tcPr>
          <w:p w14:paraId="27568C43">
            <w:pPr>
              <w:pStyle w:val="27"/>
              <w:shd w:val="clear" w:color="auto" w:fill="FFFFFF"/>
              <w:spacing w:line="265" w:lineRule="atLeast"/>
              <w:ind w:left="420"/>
              <w:rPr>
                <w:rFonts w:ascii="宋体" w:hAnsi="宋体"/>
                <w:lang w:eastAsia="zh-CN"/>
              </w:rPr>
            </w:pPr>
          </w:p>
        </w:tc>
        <w:tc>
          <w:tcPr>
            <w:tcW w:w="4111" w:type="dxa"/>
            <w:tcBorders>
              <w:top w:val="single" w:color="auto" w:sz="4" w:space="0"/>
              <w:left w:val="single" w:color="auto" w:sz="4" w:space="0"/>
              <w:bottom w:val="single" w:color="auto" w:sz="4" w:space="0"/>
              <w:right w:val="single" w:color="auto" w:sz="4" w:space="0"/>
            </w:tcBorders>
          </w:tcPr>
          <w:p w14:paraId="3E4FA0A2">
            <w:pPr>
              <w:pStyle w:val="27"/>
              <w:shd w:val="clear" w:color="auto" w:fill="FFFFFF"/>
              <w:spacing w:line="265" w:lineRule="atLeast"/>
              <w:ind w:left="420"/>
              <w:rPr>
                <w:rFonts w:ascii="宋体" w:hAnsi="宋体"/>
                <w:lang w:eastAsia="zh-CN"/>
              </w:rPr>
            </w:pPr>
          </w:p>
        </w:tc>
      </w:tr>
      <w:tr w14:paraId="738E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7" w:type="dxa"/>
            <w:tcBorders>
              <w:top w:val="single" w:color="auto" w:sz="4" w:space="0"/>
              <w:left w:val="single" w:color="auto" w:sz="4" w:space="0"/>
              <w:bottom w:val="single" w:color="auto" w:sz="4" w:space="0"/>
              <w:right w:val="single" w:color="auto" w:sz="4" w:space="0"/>
            </w:tcBorders>
          </w:tcPr>
          <w:p w14:paraId="7D4A0721">
            <w:pPr>
              <w:pStyle w:val="27"/>
              <w:shd w:val="clear" w:color="auto" w:fill="FFFFFF"/>
              <w:spacing w:line="265" w:lineRule="atLeast"/>
              <w:ind w:left="420"/>
              <w:rPr>
                <w:rFonts w:ascii="宋体" w:hAnsi="宋体"/>
                <w:lang w:eastAsia="zh-CN"/>
              </w:rPr>
            </w:pPr>
          </w:p>
        </w:tc>
        <w:tc>
          <w:tcPr>
            <w:tcW w:w="3118" w:type="dxa"/>
            <w:tcBorders>
              <w:top w:val="single" w:color="auto" w:sz="4" w:space="0"/>
              <w:left w:val="single" w:color="auto" w:sz="4" w:space="0"/>
              <w:bottom w:val="single" w:color="auto" w:sz="4" w:space="0"/>
              <w:right w:val="single" w:color="auto" w:sz="4" w:space="0"/>
            </w:tcBorders>
          </w:tcPr>
          <w:p w14:paraId="1C0087E8">
            <w:pPr>
              <w:pStyle w:val="27"/>
              <w:shd w:val="clear" w:color="auto" w:fill="FFFFFF"/>
              <w:spacing w:line="265" w:lineRule="atLeast"/>
              <w:ind w:left="420"/>
              <w:rPr>
                <w:rFonts w:ascii="宋体" w:hAnsi="宋体"/>
                <w:lang w:eastAsia="zh-CN"/>
              </w:rPr>
            </w:pPr>
          </w:p>
        </w:tc>
        <w:tc>
          <w:tcPr>
            <w:tcW w:w="4111" w:type="dxa"/>
            <w:tcBorders>
              <w:top w:val="single" w:color="auto" w:sz="4" w:space="0"/>
              <w:left w:val="single" w:color="auto" w:sz="4" w:space="0"/>
              <w:bottom w:val="single" w:color="auto" w:sz="4" w:space="0"/>
              <w:right w:val="single" w:color="auto" w:sz="4" w:space="0"/>
            </w:tcBorders>
          </w:tcPr>
          <w:p w14:paraId="5B6AA021">
            <w:pPr>
              <w:pStyle w:val="27"/>
              <w:shd w:val="clear" w:color="auto" w:fill="FFFFFF"/>
              <w:spacing w:line="265" w:lineRule="atLeast"/>
              <w:ind w:left="420"/>
              <w:rPr>
                <w:rFonts w:ascii="宋体" w:hAnsi="宋体"/>
                <w:lang w:eastAsia="zh-CN"/>
              </w:rPr>
            </w:pPr>
          </w:p>
        </w:tc>
      </w:tr>
      <w:tr w14:paraId="1B07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7" w:type="dxa"/>
            <w:tcBorders>
              <w:top w:val="single" w:color="auto" w:sz="4" w:space="0"/>
              <w:left w:val="single" w:color="auto" w:sz="4" w:space="0"/>
              <w:bottom w:val="single" w:color="auto" w:sz="4" w:space="0"/>
              <w:right w:val="single" w:color="auto" w:sz="4" w:space="0"/>
            </w:tcBorders>
          </w:tcPr>
          <w:p w14:paraId="402A28E0">
            <w:pPr>
              <w:pStyle w:val="27"/>
              <w:shd w:val="clear" w:color="auto" w:fill="FFFFFF"/>
              <w:spacing w:line="265" w:lineRule="atLeast"/>
              <w:ind w:left="420"/>
              <w:rPr>
                <w:rFonts w:ascii="宋体" w:hAnsi="宋体"/>
                <w:lang w:eastAsia="zh-CN"/>
              </w:rPr>
            </w:pPr>
          </w:p>
        </w:tc>
        <w:tc>
          <w:tcPr>
            <w:tcW w:w="3118" w:type="dxa"/>
            <w:tcBorders>
              <w:top w:val="single" w:color="auto" w:sz="4" w:space="0"/>
              <w:left w:val="single" w:color="auto" w:sz="4" w:space="0"/>
              <w:bottom w:val="single" w:color="auto" w:sz="4" w:space="0"/>
              <w:right w:val="single" w:color="auto" w:sz="4" w:space="0"/>
            </w:tcBorders>
          </w:tcPr>
          <w:p w14:paraId="2C6EE5BA">
            <w:pPr>
              <w:pStyle w:val="27"/>
              <w:shd w:val="clear" w:color="auto" w:fill="FFFFFF"/>
              <w:spacing w:line="265" w:lineRule="atLeast"/>
              <w:ind w:left="420"/>
              <w:rPr>
                <w:rFonts w:ascii="宋体" w:hAnsi="宋体"/>
                <w:lang w:eastAsia="zh-CN"/>
              </w:rPr>
            </w:pPr>
          </w:p>
        </w:tc>
        <w:tc>
          <w:tcPr>
            <w:tcW w:w="4111" w:type="dxa"/>
            <w:tcBorders>
              <w:top w:val="single" w:color="auto" w:sz="4" w:space="0"/>
              <w:left w:val="single" w:color="auto" w:sz="4" w:space="0"/>
              <w:bottom w:val="single" w:color="auto" w:sz="4" w:space="0"/>
              <w:right w:val="single" w:color="auto" w:sz="4" w:space="0"/>
            </w:tcBorders>
          </w:tcPr>
          <w:p w14:paraId="356FEDEF">
            <w:pPr>
              <w:pStyle w:val="27"/>
              <w:shd w:val="clear" w:color="auto" w:fill="FFFFFF"/>
              <w:spacing w:line="265" w:lineRule="atLeast"/>
              <w:ind w:left="420"/>
              <w:rPr>
                <w:rFonts w:ascii="宋体" w:hAnsi="宋体"/>
                <w:lang w:eastAsia="zh-CN"/>
              </w:rPr>
            </w:pPr>
          </w:p>
        </w:tc>
      </w:tr>
      <w:tr w14:paraId="12D5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7" w:type="dxa"/>
            <w:tcBorders>
              <w:top w:val="single" w:color="auto" w:sz="4" w:space="0"/>
              <w:left w:val="single" w:color="auto" w:sz="4" w:space="0"/>
              <w:bottom w:val="single" w:color="auto" w:sz="4" w:space="0"/>
              <w:right w:val="single" w:color="auto" w:sz="4" w:space="0"/>
            </w:tcBorders>
          </w:tcPr>
          <w:p w14:paraId="0C0C912F">
            <w:pPr>
              <w:pStyle w:val="27"/>
              <w:shd w:val="clear" w:color="auto" w:fill="FFFFFF"/>
              <w:spacing w:line="265" w:lineRule="atLeast"/>
              <w:ind w:left="420"/>
              <w:rPr>
                <w:rFonts w:ascii="宋体" w:hAnsi="宋体"/>
                <w:lang w:eastAsia="zh-CN"/>
              </w:rPr>
            </w:pPr>
          </w:p>
        </w:tc>
        <w:tc>
          <w:tcPr>
            <w:tcW w:w="3118" w:type="dxa"/>
            <w:tcBorders>
              <w:top w:val="single" w:color="auto" w:sz="4" w:space="0"/>
              <w:left w:val="single" w:color="auto" w:sz="4" w:space="0"/>
              <w:bottom w:val="single" w:color="auto" w:sz="4" w:space="0"/>
              <w:right w:val="single" w:color="auto" w:sz="4" w:space="0"/>
            </w:tcBorders>
          </w:tcPr>
          <w:p w14:paraId="592A77C3">
            <w:pPr>
              <w:pStyle w:val="27"/>
              <w:shd w:val="clear" w:color="auto" w:fill="FFFFFF"/>
              <w:spacing w:line="265" w:lineRule="atLeast"/>
              <w:ind w:left="420"/>
              <w:rPr>
                <w:rFonts w:ascii="宋体" w:hAnsi="宋体"/>
                <w:lang w:eastAsia="zh-CN"/>
              </w:rPr>
            </w:pPr>
          </w:p>
        </w:tc>
        <w:tc>
          <w:tcPr>
            <w:tcW w:w="4111" w:type="dxa"/>
            <w:tcBorders>
              <w:top w:val="single" w:color="auto" w:sz="4" w:space="0"/>
              <w:left w:val="single" w:color="auto" w:sz="4" w:space="0"/>
              <w:bottom w:val="single" w:color="auto" w:sz="4" w:space="0"/>
              <w:right w:val="single" w:color="auto" w:sz="4" w:space="0"/>
            </w:tcBorders>
          </w:tcPr>
          <w:p w14:paraId="4D415CD0">
            <w:pPr>
              <w:pStyle w:val="27"/>
              <w:shd w:val="clear" w:color="auto" w:fill="FFFFFF"/>
              <w:spacing w:line="265" w:lineRule="atLeast"/>
              <w:ind w:left="420"/>
              <w:rPr>
                <w:rFonts w:ascii="宋体" w:hAnsi="宋体"/>
                <w:lang w:eastAsia="zh-CN"/>
              </w:rPr>
            </w:pPr>
          </w:p>
        </w:tc>
      </w:tr>
      <w:tr w14:paraId="46A2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7" w:type="dxa"/>
            <w:tcBorders>
              <w:top w:val="single" w:color="auto" w:sz="4" w:space="0"/>
              <w:left w:val="single" w:color="auto" w:sz="4" w:space="0"/>
              <w:bottom w:val="single" w:color="auto" w:sz="4" w:space="0"/>
              <w:right w:val="single" w:color="auto" w:sz="4" w:space="0"/>
            </w:tcBorders>
          </w:tcPr>
          <w:p w14:paraId="25C4F8F6">
            <w:pPr>
              <w:pStyle w:val="27"/>
              <w:shd w:val="clear" w:color="auto" w:fill="FFFFFF"/>
              <w:spacing w:line="265" w:lineRule="atLeast"/>
              <w:ind w:left="420"/>
              <w:rPr>
                <w:rFonts w:ascii="宋体" w:hAnsi="宋体"/>
                <w:lang w:eastAsia="zh-CN"/>
              </w:rPr>
            </w:pPr>
          </w:p>
        </w:tc>
        <w:tc>
          <w:tcPr>
            <w:tcW w:w="3118" w:type="dxa"/>
            <w:tcBorders>
              <w:top w:val="single" w:color="auto" w:sz="4" w:space="0"/>
              <w:left w:val="single" w:color="auto" w:sz="4" w:space="0"/>
              <w:bottom w:val="single" w:color="auto" w:sz="4" w:space="0"/>
              <w:right w:val="single" w:color="auto" w:sz="4" w:space="0"/>
            </w:tcBorders>
          </w:tcPr>
          <w:p w14:paraId="108FAC4B">
            <w:pPr>
              <w:pStyle w:val="27"/>
              <w:shd w:val="clear" w:color="auto" w:fill="FFFFFF"/>
              <w:spacing w:line="265" w:lineRule="atLeast"/>
              <w:ind w:left="420"/>
              <w:rPr>
                <w:rFonts w:ascii="宋体" w:hAnsi="宋体"/>
                <w:lang w:eastAsia="zh-CN"/>
              </w:rPr>
            </w:pPr>
          </w:p>
        </w:tc>
        <w:tc>
          <w:tcPr>
            <w:tcW w:w="4111" w:type="dxa"/>
            <w:tcBorders>
              <w:top w:val="single" w:color="auto" w:sz="4" w:space="0"/>
              <w:left w:val="single" w:color="auto" w:sz="4" w:space="0"/>
              <w:bottom w:val="single" w:color="auto" w:sz="4" w:space="0"/>
              <w:right w:val="single" w:color="auto" w:sz="4" w:space="0"/>
            </w:tcBorders>
          </w:tcPr>
          <w:p w14:paraId="72D17230">
            <w:pPr>
              <w:pStyle w:val="27"/>
              <w:shd w:val="clear" w:color="auto" w:fill="FFFFFF"/>
              <w:spacing w:line="265" w:lineRule="atLeast"/>
              <w:ind w:left="420"/>
              <w:rPr>
                <w:rFonts w:ascii="宋体" w:hAnsi="宋体"/>
                <w:lang w:eastAsia="zh-CN"/>
              </w:rPr>
            </w:pPr>
          </w:p>
        </w:tc>
      </w:tr>
      <w:tr w14:paraId="1309C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7" w:type="dxa"/>
            <w:tcBorders>
              <w:top w:val="single" w:color="auto" w:sz="4" w:space="0"/>
              <w:left w:val="single" w:color="auto" w:sz="4" w:space="0"/>
              <w:bottom w:val="single" w:color="auto" w:sz="4" w:space="0"/>
              <w:right w:val="single" w:color="auto" w:sz="4" w:space="0"/>
            </w:tcBorders>
          </w:tcPr>
          <w:p w14:paraId="6A75A1E2">
            <w:pPr>
              <w:pStyle w:val="27"/>
              <w:shd w:val="clear" w:color="auto" w:fill="FFFFFF"/>
              <w:spacing w:line="265" w:lineRule="atLeast"/>
              <w:ind w:left="420"/>
              <w:rPr>
                <w:rFonts w:ascii="宋体" w:hAnsi="宋体"/>
                <w:lang w:eastAsia="zh-CN"/>
              </w:rPr>
            </w:pPr>
          </w:p>
        </w:tc>
        <w:tc>
          <w:tcPr>
            <w:tcW w:w="3118" w:type="dxa"/>
            <w:tcBorders>
              <w:top w:val="single" w:color="auto" w:sz="4" w:space="0"/>
              <w:left w:val="single" w:color="auto" w:sz="4" w:space="0"/>
              <w:bottom w:val="single" w:color="auto" w:sz="4" w:space="0"/>
              <w:right w:val="single" w:color="auto" w:sz="4" w:space="0"/>
            </w:tcBorders>
          </w:tcPr>
          <w:p w14:paraId="3DD05490">
            <w:pPr>
              <w:pStyle w:val="27"/>
              <w:shd w:val="clear" w:color="auto" w:fill="FFFFFF"/>
              <w:spacing w:line="265" w:lineRule="atLeast"/>
              <w:ind w:left="420"/>
              <w:rPr>
                <w:rFonts w:ascii="宋体" w:hAnsi="宋体"/>
                <w:lang w:eastAsia="zh-CN"/>
              </w:rPr>
            </w:pPr>
          </w:p>
        </w:tc>
        <w:tc>
          <w:tcPr>
            <w:tcW w:w="4111" w:type="dxa"/>
            <w:tcBorders>
              <w:top w:val="single" w:color="auto" w:sz="4" w:space="0"/>
              <w:left w:val="single" w:color="auto" w:sz="4" w:space="0"/>
              <w:bottom w:val="single" w:color="auto" w:sz="4" w:space="0"/>
              <w:right w:val="single" w:color="auto" w:sz="4" w:space="0"/>
            </w:tcBorders>
          </w:tcPr>
          <w:p w14:paraId="7C48DCA5">
            <w:pPr>
              <w:pStyle w:val="27"/>
              <w:shd w:val="clear" w:color="auto" w:fill="FFFFFF"/>
              <w:spacing w:line="265" w:lineRule="atLeast"/>
              <w:ind w:left="420"/>
              <w:rPr>
                <w:rFonts w:ascii="宋体" w:hAnsi="宋体"/>
                <w:lang w:eastAsia="zh-CN"/>
              </w:rPr>
            </w:pPr>
          </w:p>
        </w:tc>
      </w:tr>
      <w:tr w14:paraId="7142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7" w:type="dxa"/>
            <w:tcBorders>
              <w:top w:val="single" w:color="auto" w:sz="4" w:space="0"/>
              <w:left w:val="single" w:color="auto" w:sz="4" w:space="0"/>
              <w:bottom w:val="single" w:color="auto" w:sz="4" w:space="0"/>
              <w:right w:val="single" w:color="auto" w:sz="4" w:space="0"/>
            </w:tcBorders>
          </w:tcPr>
          <w:p w14:paraId="78626409">
            <w:pPr>
              <w:pStyle w:val="27"/>
              <w:shd w:val="clear" w:color="auto" w:fill="FFFFFF"/>
              <w:spacing w:line="265" w:lineRule="atLeast"/>
              <w:ind w:left="420"/>
              <w:rPr>
                <w:rFonts w:ascii="宋体" w:hAnsi="宋体"/>
                <w:b/>
                <w:bCs/>
                <w:lang w:eastAsia="zh-CN"/>
              </w:rPr>
            </w:pPr>
          </w:p>
        </w:tc>
        <w:tc>
          <w:tcPr>
            <w:tcW w:w="3118" w:type="dxa"/>
            <w:tcBorders>
              <w:top w:val="single" w:color="auto" w:sz="4" w:space="0"/>
              <w:left w:val="single" w:color="auto" w:sz="4" w:space="0"/>
              <w:bottom w:val="single" w:color="auto" w:sz="4" w:space="0"/>
              <w:right w:val="single" w:color="auto" w:sz="4" w:space="0"/>
            </w:tcBorders>
          </w:tcPr>
          <w:p w14:paraId="71A4A886">
            <w:pPr>
              <w:pStyle w:val="27"/>
              <w:shd w:val="clear" w:color="auto" w:fill="FFFFFF"/>
              <w:spacing w:line="265" w:lineRule="atLeast"/>
              <w:ind w:left="420"/>
              <w:rPr>
                <w:rFonts w:ascii="宋体" w:hAnsi="宋体"/>
                <w:b/>
                <w:bCs/>
                <w:lang w:eastAsia="zh-CN"/>
              </w:rPr>
            </w:pPr>
          </w:p>
        </w:tc>
        <w:tc>
          <w:tcPr>
            <w:tcW w:w="4111" w:type="dxa"/>
            <w:tcBorders>
              <w:top w:val="single" w:color="auto" w:sz="4" w:space="0"/>
              <w:left w:val="single" w:color="auto" w:sz="4" w:space="0"/>
              <w:bottom w:val="single" w:color="auto" w:sz="4" w:space="0"/>
              <w:right w:val="single" w:color="auto" w:sz="4" w:space="0"/>
            </w:tcBorders>
          </w:tcPr>
          <w:p w14:paraId="54E2153D">
            <w:pPr>
              <w:pStyle w:val="27"/>
              <w:shd w:val="clear" w:color="auto" w:fill="FFFFFF"/>
              <w:spacing w:line="265" w:lineRule="atLeast"/>
              <w:ind w:left="420"/>
              <w:rPr>
                <w:rFonts w:ascii="宋体" w:hAnsi="宋体"/>
                <w:b/>
                <w:bCs/>
                <w:lang w:eastAsia="zh-CN"/>
              </w:rPr>
            </w:pPr>
          </w:p>
        </w:tc>
      </w:tr>
      <w:tr w14:paraId="49C4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7" w:type="dxa"/>
            <w:tcBorders>
              <w:top w:val="single" w:color="auto" w:sz="4" w:space="0"/>
              <w:left w:val="single" w:color="auto" w:sz="4" w:space="0"/>
              <w:bottom w:val="single" w:color="auto" w:sz="4" w:space="0"/>
              <w:right w:val="single" w:color="auto" w:sz="4" w:space="0"/>
            </w:tcBorders>
          </w:tcPr>
          <w:p w14:paraId="294CD13A">
            <w:pPr>
              <w:pStyle w:val="27"/>
              <w:shd w:val="clear" w:color="auto" w:fill="FFFFFF"/>
              <w:spacing w:line="265" w:lineRule="atLeast"/>
              <w:ind w:left="420"/>
              <w:rPr>
                <w:rFonts w:ascii="宋体" w:hAnsi="宋体"/>
                <w:lang w:eastAsia="zh-CN"/>
              </w:rPr>
            </w:pPr>
          </w:p>
        </w:tc>
        <w:tc>
          <w:tcPr>
            <w:tcW w:w="3118" w:type="dxa"/>
            <w:tcBorders>
              <w:top w:val="single" w:color="auto" w:sz="4" w:space="0"/>
              <w:left w:val="single" w:color="auto" w:sz="4" w:space="0"/>
              <w:bottom w:val="single" w:color="auto" w:sz="4" w:space="0"/>
              <w:right w:val="single" w:color="auto" w:sz="4" w:space="0"/>
            </w:tcBorders>
          </w:tcPr>
          <w:p w14:paraId="0303603C">
            <w:pPr>
              <w:pStyle w:val="27"/>
              <w:shd w:val="clear" w:color="auto" w:fill="FFFFFF"/>
              <w:spacing w:line="265" w:lineRule="atLeast"/>
              <w:ind w:left="420"/>
              <w:rPr>
                <w:rFonts w:ascii="宋体" w:hAnsi="宋体"/>
                <w:lang w:eastAsia="zh-CN"/>
              </w:rPr>
            </w:pPr>
          </w:p>
        </w:tc>
        <w:tc>
          <w:tcPr>
            <w:tcW w:w="4111" w:type="dxa"/>
            <w:tcBorders>
              <w:top w:val="single" w:color="auto" w:sz="4" w:space="0"/>
              <w:left w:val="single" w:color="auto" w:sz="4" w:space="0"/>
              <w:bottom w:val="single" w:color="auto" w:sz="4" w:space="0"/>
              <w:right w:val="single" w:color="auto" w:sz="4" w:space="0"/>
            </w:tcBorders>
          </w:tcPr>
          <w:p w14:paraId="338FA02F">
            <w:pPr>
              <w:pStyle w:val="27"/>
              <w:shd w:val="clear" w:color="auto" w:fill="FFFFFF"/>
              <w:spacing w:line="265" w:lineRule="atLeast"/>
              <w:ind w:left="420"/>
              <w:rPr>
                <w:rFonts w:ascii="宋体" w:hAnsi="宋体"/>
                <w:lang w:eastAsia="zh-CN"/>
              </w:rPr>
            </w:pPr>
          </w:p>
        </w:tc>
      </w:tr>
      <w:tr w14:paraId="675D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7" w:type="dxa"/>
            <w:tcBorders>
              <w:top w:val="single" w:color="auto" w:sz="4" w:space="0"/>
              <w:left w:val="single" w:color="auto" w:sz="4" w:space="0"/>
              <w:bottom w:val="single" w:color="auto" w:sz="4" w:space="0"/>
              <w:right w:val="single" w:color="auto" w:sz="4" w:space="0"/>
            </w:tcBorders>
          </w:tcPr>
          <w:p w14:paraId="19F0929E">
            <w:pPr>
              <w:pStyle w:val="27"/>
              <w:shd w:val="clear" w:color="auto" w:fill="FFFFFF"/>
              <w:spacing w:line="265" w:lineRule="atLeast"/>
              <w:ind w:left="420"/>
              <w:rPr>
                <w:rFonts w:ascii="宋体" w:hAnsi="宋体"/>
                <w:b/>
                <w:bCs/>
                <w:lang w:eastAsia="zh-CN"/>
              </w:rPr>
            </w:pPr>
          </w:p>
        </w:tc>
        <w:tc>
          <w:tcPr>
            <w:tcW w:w="3118" w:type="dxa"/>
            <w:tcBorders>
              <w:top w:val="single" w:color="auto" w:sz="4" w:space="0"/>
              <w:left w:val="single" w:color="auto" w:sz="4" w:space="0"/>
              <w:bottom w:val="single" w:color="auto" w:sz="4" w:space="0"/>
              <w:right w:val="single" w:color="auto" w:sz="4" w:space="0"/>
            </w:tcBorders>
          </w:tcPr>
          <w:p w14:paraId="3D3579B6">
            <w:pPr>
              <w:pStyle w:val="27"/>
              <w:shd w:val="clear" w:color="auto" w:fill="FFFFFF"/>
              <w:spacing w:line="265" w:lineRule="atLeast"/>
              <w:ind w:left="420"/>
              <w:rPr>
                <w:rFonts w:ascii="宋体" w:hAnsi="宋体"/>
                <w:b/>
                <w:bCs/>
                <w:lang w:eastAsia="zh-CN"/>
              </w:rPr>
            </w:pPr>
          </w:p>
        </w:tc>
        <w:tc>
          <w:tcPr>
            <w:tcW w:w="4111" w:type="dxa"/>
            <w:tcBorders>
              <w:top w:val="single" w:color="auto" w:sz="4" w:space="0"/>
              <w:left w:val="single" w:color="auto" w:sz="4" w:space="0"/>
              <w:bottom w:val="single" w:color="auto" w:sz="4" w:space="0"/>
              <w:right w:val="single" w:color="auto" w:sz="4" w:space="0"/>
            </w:tcBorders>
          </w:tcPr>
          <w:p w14:paraId="478B0B71">
            <w:pPr>
              <w:pStyle w:val="27"/>
              <w:shd w:val="clear" w:color="auto" w:fill="FFFFFF"/>
              <w:spacing w:line="265" w:lineRule="atLeast"/>
              <w:ind w:left="420"/>
              <w:rPr>
                <w:rFonts w:ascii="宋体" w:hAnsi="宋体"/>
                <w:b/>
                <w:bCs/>
                <w:lang w:eastAsia="zh-CN"/>
              </w:rPr>
            </w:pPr>
          </w:p>
        </w:tc>
      </w:tr>
    </w:tbl>
    <w:p w14:paraId="035742A3">
      <w:pPr>
        <w:snapToGrid w:val="0"/>
        <w:spacing w:before="50" w:after="50"/>
        <w:rPr>
          <w:rFonts w:ascii="黑体" w:eastAsia="黑体"/>
          <w:sz w:val="44"/>
        </w:rPr>
      </w:pPr>
    </w:p>
    <w:p w14:paraId="45A425DB">
      <w:pPr>
        <w:snapToGrid w:val="0"/>
        <w:spacing w:before="50" w:after="50"/>
        <w:rPr>
          <w:rFonts w:ascii="黑体" w:eastAsia="黑体"/>
          <w:sz w:val="44"/>
        </w:rPr>
      </w:pPr>
    </w:p>
    <w:p w14:paraId="454D16B4">
      <w:pPr>
        <w:snapToGrid w:val="0"/>
        <w:spacing w:before="50" w:after="50"/>
        <w:rPr>
          <w:rFonts w:ascii="黑体" w:eastAsia="黑体"/>
          <w:sz w:val="44"/>
        </w:rPr>
      </w:pPr>
    </w:p>
    <w:p w14:paraId="396CD08E">
      <w:pPr>
        <w:snapToGrid w:val="0"/>
        <w:spacing w:before="50" w:after="50"/>
        <w:rPr>
          <w:rFonts w:ascii="黑体" w:eastAsia="黑体"/>
          <w:sz w:val="44"/>
        </w:rPr>
      </w:pPr>
    </w:p>
    <w:p w14:paraId="1E89B746">
      <w:pPr>
        <w:snapToGrid w:val="0"/>
        <w:spacing w:before="50" w:after="50"/>
        <w:rPr>
          <w:rFonts w:ascii="黑体" w:eastAsia="黑体"/>
          <w:sz w:val="44"/>
        </w:rPr>
      </w:pPr>
    </w:p>
    <w:p w14:paraId="3B1EBD4C">
      <w:pPr>
        <w:snapToGrid w:val="0"/>
        <w:spacing w:before="50" w:after="50"/>
        <w:rPr>
          <w:rFonts w:ascii="黑体" w:eastAsia="黑体"/>
          <w:sz w:val="44"/>
        </w:rPr>
      </w:pPr>
    </w:p>
    <w:p w14:paraId="2550E7CD">
      <w:pPr>
        <w:snapToGrid w:val="0"/>
        <w:spacing w:before="50" w:after="50"/>
        <w:rPr>
          <w:rFonts w:ascii="黑体" w:eastAsia="黑体"/>
          <w:sz w:val="44"/>
        </w:rPr>
      </w:pPr>
    </w:p>
    <w:p w14:paraId="2BD9591F">
      <w:pPr>
        <w:snapToGrid w:val="0"/>
        <w:spacing w:before="50" w:after="50"/>
        <w:rPr>
          <w:rFonts w:ascii="黑体" w:eastAsia="黑体"/>
          <w:sz w:val="44"/>
        </w:rPr>
      </w:pPr>
    </w:p>
    <w:p w14:paraId="4C3CD633">
      <w:pPr>
        <w:snapToGrid w:val="0"/>
        <w:spacing w:before="50" w:after="50"/>
        <w:rPr>
          <w:rFonts w:ascii="黑体" w:eastAsia="黑体"/>
          <w:sz w:val="44"/>
        </w:rPr>
      </w:pPr>
    </w:p>
    <w:p w14:paraId="2448AA2F">
      <w:pPr>
        <w:snapToGrid w:val="0"/>
        <w:spacing w:before="50" w:after="50"/>
        <w:rPr>
          <w:rFonts w:ascii="黑体" w:eastAsia="黑体"/>
          <w:sz w:val="44"/>
        </w:rPr>
      </w:pPr>
    </w:p>
    <w:p w14:paraId="7B2EF6CA">
      <w:pPr>
        <w:jc w:val="center"/>
        <w:rPr>
          <w:rFonts w:hint="eastAsia" w:ascii="宋体" w:hAnsi="宋体"/>
          <w:b/>
          <w:sz w:val="32"/>
          <w:szCs w:val="32"/>
        </w:rPr>
      </w:pPr>
    </w:p>
    <w:p w14:paraId="12B597EE">
      <w:pPr>
        <w:jc w:val="center"/>
        <w:rPr>
          <w:rFonts w:hint="eastAsia" w:ascii="宋体" w:hAnsi="宋体"/>
          <w:b/>
          <w:sz w:val="32"/>
          <w:szCs w:val="32"/>
        </w:rPr>
      </w:pPr>
      <w:r>
        <w:rPr>
          <w:rFonts w:hint="eastAsia" w:ascii="宋体" w:hAnsi="宋体"/>
          <w:b/>
          <w:sz w:val="32"/>
          <w:szCs w:val="32"/>
        </w:rPr>
        <w:t>五、资格证明文件要求</w:t>
      </w:r>
    </w:p>
    <w:p w14:paraId="04CB0396">
      <w:pPr>
        <w:pStyle w:val="2"/>
      </w:pPr>
    </w:p>
    <w:p w14:paraId="5B924A8B">
      <w:pPr>
        <w:snapToGrid w:val="0"/>
        <w:spacing w:before="50" w:after="50" w:line="360" w:lineRule="auto"/>
        <w:ind w:firstLine="602" w:firstLineChars="200"/>
        <w:rPr>
          <w:rFonts w:ascii="宋体" w:hAnsi="宋体" w:eastAsia="仿宋_GB2312"/>
          <w:sz w:val="30"/>
          <w:szCs w:val="30"/>
        </w:rPr>
      </w:pPr>
      <w:r>
        <w:rPr>
          <w:rFonts w:hint="eastAsia" w:ascii="宋体" w:hAnsi="宋体"/>
          <w:b/>
          <w:bCs/>
          <w:sz w:val="30"/>
          <w:szCs w:val="30"/>
        </w:rPr>
        <w:t>1、资格证明文件目录</w:t>
      </w:r>
    </w:p>
    <w:p w14:paraId="1642A278">
      <w:pPr>
        <w:snapToGrid w:val="0"/>
        <w:spacing w:before="50" w:after="156" w:afterLines="50" w:line="360" w:lineRule="auto"/>
        <w:ind w:firstLine="562" w:firstLineChars="200"/>
        <w:jc w:val="left"/>
        <w:rPr>
          <w:rFonts w:ascii="宋体" w:hAnsi="宋体"/>
          <w:b/>
          <w:sz w:val="28"/>
          <w:szCs w:val="28"/>
        </w:rPr>
      </w:pPr>
      <w:r>
        <w:rPr>
          <w:rFonts w:hint="eastAsia" w:ascii="宋体" w:hAnsi="宋体"/>
          <w:b/>
          <w:sz w:val="28"/>
          <w:szCs w:val="28"/>
        </w:rPr>
        <w:t xml:space="preserve">文件1  </w:t>
      </w:r>
      <w:r>
        <w:rPr>
          <w:rFonts w:hint="eastAsia" w:ascii="宋体" w:hAnsi="宋体"/>
          <w:sz w:val="28"/>
          <w:szCs w:val="28"/>
        </w:rPr>
        <w:t>供应商资格声明函（格式见附件一，原件，如供应商组成联合体响应，参加联合体的各方均需加盖公章）</w:t>
      </w:r>
    </w:p>
    <w:p w14:paraId="155FA59F">
      <w:pPr>
        <w:snapToGrid w:val="0"/>
        <w:spacing w:before="50" w:after="156" w:afterLines="50" w:line="360" w:lineRule="auto"/>
        <w:ind w:firstLine="562" w:firstLineChars="200"/>
        <w:jc w:val="left"/>
        <w:rPr>
          <w:rFonts w:ascii="宋体" w:hAnsi="宋体"/>
          <w:sz w:val="28"/>
          <w:szCs w:val="28"/>
        </w:rPr>
      </w:pPr>
      <w:r>
        <w:rPr>
          <w:rFonts w:hint="eastAsia" w:ascii="宋体" w:hAnsi="宋体"/>
          <w:b/>
          <w:sz w:val="28"/>
          <w:szCs w:val="28"/>
        </w:rPr>
        <w:t xml:space="preserve">文件2  </w:t>
      </w:r>
      <w:r>
        <w:rPr>
          <w:rFonts w:hint="eastAsia" w:ascii="宋体" w:hAnsi="宋体"/>
          <w:sz w:val="28"/>
          <w:szCs w:val="28"/>
        </w:rPr>
        <w:t>响应函（</w:t>
      </w:r>
      <w:r>
        <w:rPr>
          <w:rFonts w:hint="eastAsia" w:ascii="宋体" w:hAnsi="宋体" w:cs="Arial"/>
          <w:sz w:val="28"/>
          <w:szCs w:val="28"/>
        </w:rPr>
        <w:t>格式见附件二，</w:t>
      </w:r>
      <w:r>
        <w:rPr>
          <w:rFonts w:hint="eastAsia" w:ascii="宋体" w:hAnsi="宋体"/>
          <w:sz w:val="28"/>
          <w:szCs w:val="28"/>
        </w:rPr>
        <w:t>原件，</w:t>
      </w:r>
      <w:r>
        <w:rPr>
          <w:rFonts w:hint="eastAsia" w:ascii="宋体" w:hAnsi="宋体" w:cs="Arial"/>
          <w:sz w:val="28"/>
          <w:szCs w:val="28"/>
        </w:rPr>
        <w:t>如供应商组成联合体响应，参加联合体的各方均需</w:t>
      </w:r>
      <w:r>
        <w:rPr>
          <w:rFonts w:hint="eastAsia" w:ascii="宋体" w:hAnsi="宋体"/>
          <w:sz w:val="28"/>
          <w:szCs w:val="28"/>
        </w:rPr>
        <w:t>加盖公章）</w:t>
      </w:r>
    </w:p>
    <w:p w14:paraId="116177F1">
      <w:pPr>
        <w:snapToGrid w:val="0"/>
        <w:spacing w:before="50" w:after="156" w:afterLines="50" w:line="360" w:lineRule="auto"/>
        <w:ind w:firstLine="562" w:firstLineChars="200"/>
        <w:jc w:val="left"/>
        <w:rPr>
          <w:rFonts w:ascii="宋体" w:hAnsi="宋体"/>
          <w:b/>
          <w:sz w:val="28"/>
          <w:szCs w:val="28"/>
        </w:rPr>
      </w:pPr>
      <w:r>
        <w:rPr>
          <w:rFonts w:hint="eastAsia" w:ascii="宋体" w:hAnsi="宋体"/>
          <w:b/>
          <w:sz w:val="28"/>
          <w:szCs w:val="28"/>
        </w:rPr>
        <w:t xml:space="preserve">文件3  </w:t>
      </w:r>
      <w:r>
        <w:rPr>
          <w:rFonts w:hint="eastAsia" w:ascii="宋体" w:hAnsi="宋体"/>
          <w:sz w:val="28"/>
          <w:szCs w:val="28"/>
        </w:rPr>
        <w:t>法定代表人（</w:t>
      </w:r>
      <w:r>
        <w:rPr>
          <w:rFonts w:hint="eastAsia" w:ascii="宋体" w:hAnsi="宋体"/>
          <w:sz w:val="28"/>
          <w:szCs w:val="28"/>
          <w:lang w:eastAsia="zh-CN"/>
        </w:rPr>
        <w:t>或</w:t>
      </w:r>
      <w:r>
        <w:rPr>
          <w:rFonts w:hint="eastAsia" w:ascii="宋体" w:hAnsi="宋体"/>
          <w:sz w:val="28"/>
          <w:szCs w:val="28"/>
        </w:rPr>
        <w:t>负责人）资格证明书（</w:t>
      </w:r>
      <w:r>
        <w:rPr>
          <w:rFonts w:hint="eastAsia" w:ascii="宋体" w:hAnsi="宋体" w:cs="Arial"/>
          <w:sz w:val="28"/>
          <w:szCs w:val="28"/>
        </w:rPr>
        <w:t>格式见附件三，</w:t>
      </w:r>
      <w:r>
        <w:rPr>
          <w:rFonts w:hint="eastAsia" w:ascii="宋体" w:hAnsi="宋体"/>
          <w:sz w:val="28"/>
          <w:szCs w:val="28"/>
        </w:rPr>
        <w:t>原件，</w:t>
      </w:r>
      <w:r>
        <w:rPr>
          <w:rFonts w:hint="eastAsia" w:ascii="宋体" w:hAnsi="宋体" w:cs="Arial"/>
          <w:sz w:val="28"/>
          <w:szCs w:val="28"/>
        </w:rPr>
        <w:t>如供应商组成联合体响应，参加联合体的各方均需</w:t>
      </w:r>
      <w:r>
        <w:rPr>
          <w:rFonts w:hint="eastAsia" w:ascii="宋体" w:hAnsi="宋体"/>
          <w:sz w:val="28"/>
          <w:szCs w:val="28"/>
        </w:rPr>
        <w:t>加盖公章）</w:t>
      </w:r>
    </w:p>
    <w:p w14:paraId="63430E59">
      <w:pPr>
        <w:snapToGrid w:val="0"/>
        <w:spacing w:before="50" w:after="156" w:afterLines="50" w:line="360" w:lineRule="auto"/>
        <w:ind w:firstLine="562" w:firstLineChars="200"/>
        <w:jc w:val="left"/>
        <w:rPr>
          <w:rFonts w:ascii="宋体" w:hAnsi="宋体"/>
          <w:sz w:val="28"/>
          <w:szCs w:val="28"/>
        </w:rPr>
      </w:pPr>
      <w:r>
        <w:rPr>
          <w:rFonts w:hint="eastAsia" w:ascii="宋体" w:hAnsi="宋体"/>
          <w:b/>
          <w:sz w:val="28"/>
          <w:szCs w:val="28"/>
        </w:rPr>
        <w:t>或者</w:t>
      </w:r>
      <w:r>
        <w:rPr>
          <w:rFonts w:hint="eastAsia" w:ascii="宋体" w:hAnsi="宋体"/>
          <w:sz w:val="28"/>
          <w:szCs w:val="28"/>
        </w:rPr>
        <w:t>法人（</w:t>
      </w:r>
      <w:r>
        <w:rPr>
          <w:rFonts w:hint="eastAsia" w:ascii="宋体" w:hAnsi="宋体"/>
          <w:sz w:val="28"/>
          <w:szCs w:val="28"/>
          <w:lang w:eastAsia="zh-CN"/>
        </w:rPr>
        <w:t>或</w:t>
      </w:r>
      <w:r>
        <w:rPr>
          <w:rFonts w:hint="eastAsia" w:ascii="宋体" w:hAnsi="宋体"/>
          <w:sz w:val="28"/>
          <w:szCs w:val="28"/>
        </w:rPr>
        <w:t>负责人）授权委托书（</w:t>
      </w:r>
      <w:r>
        <w:rPr>
          <w:rFonts w:hint="eastAsia" w:ascii="宋体" w:hAnsi="宋体" w:cs="Arial"/>
          <w:sz w:val="28"/>
          <w:szCs w:val="28"/>
        </w:rPr>
        <w:t>格式见附件三，</w:t>
      </w:r>
      <w:r>
        <w:rPr>
          <w:rFonts w:hint="eastAsia" w:ascii="宋体" w:hAnsi="宋体"/>
          <w:sz w:val="28"/>
          <w:szCs w:val="28"/>
        </w:rPr>
        <w:t>原件，</w:t>
      </w:r>
      <w:r>
        <w:rPr>
          <w:rFonts w:hint="eastAsia" w:ascii="宋体" w:hAnsi="宋体" w:cs="Arial"/>
          <w:sz w:val="28"/>
          <w:szCs w:val="28"/>
        </w:rPr>
        <w:t>如供应商组成联合体响应，参加联合体的各方均需</w:t>
      </w:r>
      <w:r>
        <w:rPr>
          <w:rFonts w:hint="eastAsia" w:ascii="宋体" w:hAnsi="宋体"/>
          <w:sz w:val="28"/>
          <w:szCs w:val="28"/>
        </w:rPr>
        <w:t>加盖公章）</w:t>
      </w:r>
    </w:p>
    <w:p w14:paraId="1E8A5635">
      <w:pPr>
        <w:snapToGrid w:val="0"/>
        <w:spacing w:before="50" w:after="156" w:afterLines="50" w:line="360" w:lineRule="auto"/>
        <w:ind w:firstLine="562" w:firstLineChars="200"/>
        <w:jc w:val="left"/>
        <w:rPr>
          <w:rFonts w:ascii="宋体" w:hAnsi="宋体"/>
          <w:sz w:val="28"/>
          <w:szCs w:val="28"/>
        </w:rPr>
      </w:pPr>
      <w:r>
        <w:rPr>
          <w:rFonts w:hint="eastAsia" w:ascii="宋体" w:hAnsi="宋体"/>
          <w:b/>
          <w:sz w:val="28"/>
          <w:szCs w:val="28"/>
        </w:rPr>
        <w:t xml:space="preserve">文件4  </w:t>
      </w:r>
      <w:r>
        <w:rPr>
          <w:rFonts w:hint="eastAsia" w:ascii="宋体" w:hAnsi="宋体"/>
          <w:sz w:val="28"/>
          <w:szCs w:val="28"/>
        </w:rPr>
        <w:t>供应商资格要求涉及的其它证明材料（《中华人民共和国经营保险业务许可证》复印件</w:t>
      </w:r>
      <w:r>
        <w:rPr>
          <w:rFonts w:hint="eastAsia" w:ascii="宋体" w:hAnsi="宋体"/>
          <w:sz w:val="28"/>
          <w:szCs w:val="28"/>
          <w:lang w:eastAsia="zh-CN"/>
        </w:rPr>
        <w:t>、当期有效的《政策性农业保险再保险标准协议》复印件或中农再出具的情况说明、苏银保监办〔2021〕28号文件复印件、总公司的法人企业授权书</w:t>
      </w:r>
      <w:r>
        <w:rPr>
          <w:rFonts w:hint="eastAsia" w:ascii="宋体" w:hAnsi="宋体"/>
          <w:sz w:val="28"/>
          <w:szCs w:val="28"/>
        </w:rPr>
        <w:t>）</w:t>
      </w:r>
    </w:p>
    <w:p w14:paraId="3C19FBFB">
      <w:pPr>
        <w:snapToGrid w:val="0"/>
        <w:spacing w:before="50" w:after="156" w:afterLines="50" w:line="360" w:lineRule="auto"/>
        <w:ind w:firstLine="562" w:firstLineChars="200"/>
        <w:jc w:val="left"/>
        <w:rPr>
          <w:rFonts w:ascii="宋体" w:hAnsi="宋体"/>
          <w:sz w:val="28"/>
          <w:szCs w:val="28"/>
        </w:rPr>
      </w:pPr>
      <w:r>
        <w:rPr>
          <w:rFonts w:hint="eastAsia" w:ascii="宋体" w:hAnsi="宋体"/>
          <w:b/>
          <w:sz w:val="28"/>
          <w:szCs w:val="28"/>
        </w:rPr>
        <w:t>以上资格证明文件中要求加盖公章的，必须加盖公章；如供应商组成联合体参加响应，则联合体各方均须加盖公章，否则视为无效响应。</w:t>
      </w:r>
    </w:p>
    <w:p w14:paraId="4BE4A606">
      <w:pPr>
        <w:pStyle w:val="5"/>
        <w:ind w:firstLine="480"/>
        <w:rPr>
          <w:rFonts w:ascii="宋体" w:hAnsi="宋体"/>
          <w:szCs w:val="24"/>
        </w:rPr>
      </w:pPr>
    </w:p>
    <w:p w14:paraId="54F2377F">
      <w:pPr>
        <w:pStyle w:val="5"/>
        <w:ind w:firstLine="480"/>
        <w:rPr>
          <w:rFonts w:ascii="宋体" w:hAnsi="宋体"/>
          <w:szCs w:val="24"/>
        </w:rPr>
      </w:pPr>
    </w:p>
    <w:p w14:paraId="6B47DC39">
      <w:pPr>
        <w:pStyle w:val="5"/>
        <w:ind w:firstLine="480"/>
        <w:rPr>
          <w:rFonts w:ascii="宋体" w:hAnsi="宋体"/>
          <w:szCs w:val="24"/>
        </w:rPr>
      </w:pPr>
    </w:p>
    <w:p w14:paraId="3ED875C9">
      <w:pPr>
        <w:pStyle w:val="5"/>
        <w:ind w:firstLine="480"/>
        <w:rPr>
          <w:rFonts w:ascii="宋体" w:hAnsi="宋体"/>
          <w:szCs w:val="24"/>
        </w:rPr>
      </w:pPr>
    </w:p>
    <w:p w14:paraId="112B7C42">
      <w:pPr>
        <w:pStyle w:val="5"/>
        <w:ind w:firstLine="480"/>
        <w:rPr>
          <w:rFonts w:ascii="宋体" w:hAnsi="宋体"/>
          <w:szCs w:val="24"/>
        </w:rPr>
      </w:pPr>
    </w:p>
    <w:p w14:paraId="4C4ABA74">
      <w:pPr>
        <w:pStyle w:val="5"/>
        <w:ind w:firstLine="480"/>
        <w:rPr>
          <w:rFonts w:ascii="宋体" w:hAnsi="宋体"/>
          <w:szCs w:val="24"/>
        </w:rPr>
      </w:pPr>
    </w:p>
    <w:p w14:paraId="69DFE31B">
      <w:pPr>
        <w:pStyle w:val="5"/>
        <w:ind w:firstLine="480"/>
        <w:rPr>
          <w:rFonts w:ascii="宋体" w:hAnsi="宋体"/>
          <w:szCs w:val="24"/>
        </w:rPr>
      </w:pPr>
    </w:p>
    <w:p w14:paraId="4D188363">
      <w:pPr>
        <w:pStyle w:val="5"/>
        <w:ind w:firstLine="480"/>
        <w:rPr>
          <w:rFonts w:ascii="宋体" w:hAnsi="宋体"/>
          <w:szCs w:val="24"/>
        </w:rPr>
      </w:pPr>
    </w:p>
    <w:p w14:paraId="40753B1E">
      <w:pPr>
        <w:pStyle w:val="5"/>
        <w:ind w:firstLine="480"/>
        <w:rPr>
          <w:rFonts w:ascii="宋体" w:hAnsi="宋体"/>
          <w:szCs w:val="24"/>
        </w:rPr>
      </w:pPr>
    </w:p>
    <w:p w14:paraId="1DC205DB">
      <w:pPr>
        <w:widowControl/>
        <w:adjustRightInd w:val="0"/>
        <w:snapToGrid w:val="0"/>
        <w:spacing w:before="156" w:beforeLines="50" w:line="360" w:lineRule="auto"/>
        <w:jc w:val="left"/>
        <w:rPr>
          <w:rFonts w:ascii="宋体" w:hAnsi="宋体"/>
          <w:b/>
          <w:bCs/>
          <w:sz w:val="24"/>
        </w:rPr>
      </w:pPr>
      <w:r>
        <w:rPr>
          <w:rFonts w:hint="eastAsia" w:ascii="宋体" w:hAnsi="宋体"/>
          <w:b/>
          <w:bCs/>
          <w:sz w:val="24"/>
        </w:rPr>
        <w:t>附件一：</w:t>
      </w:r>
      <w:r>
        <w:rPr>
          <w:color w:val="000000"/>
          <w:sz w:val="24"/>
          <w:szCs w:val="20"/>
        </w:rPr>
        <w:t>（实质性格式）</w:t>
      </w:r>
    </w:p>
    <w:p w14:paraId="37675596">
      <w:pPr>
        <w:widowControl/>
        <w:adjustRightInd w:val="0"/>
        <w:snapToGrid w:val="0"/>
        <w:spacing w:before="156" w:beforeLines="50" w:line="360" w:lineRule="auto"/>
        <w:jc w:val="center"/>
        <w:rPr>
          <w:rFonts w:ascii="宋体" w:hAnsi="宋体" w:cs="宋体"/>
          <w:szCs w:val="21"/>
        </w:rPr>
      </w:pPr>
      <w:r>
        <w:rPr>
          <w:rFonts w:hint="eastAsia" w:ascii="宋体" w:hAnsi="宋体" w:cs="宋体"/>
          <w:b/>
          <w:sz w:val="28"/>
          <w:szCs w:val="28"/>
        </w:rPr>
        <w:t>供应商资格声明函</w:t>
      </w:r>
    </w:p>
    <w:p w14:paraId="124B29B8">
      <w:pPr>
        <w:pStyle w:val="5"/>
        <w:spacing w:line="460" w:lineRule="exact"/>
        <w:ind w:firstLine="480"/>
      </w:pPr>
    </w:p>
    <w:p w14:paraId="680A108F">
      <w:pPr>
        <w:pStyle w:val="5"/>
        <w:spacing w:line="460" w:lineRule="exact"/>
        <w:ind w:firstLine="480"/>
        <w:rPr>
          <w:u w:val="single"/>
        </w:rPr>
      </w:pPr>
      <w:r>
        <w:rPr>
          <w:rFonts w:hint="eastAsia"/>
        </w:rPr>
        <w:t>致：</w:t>
      </w:r>
      <w:r>
        <w:rPr>
          <w:rFonts w:hint="eastAsia"/>
          <w:u w:val="single"/>
        </w:rPr>
        <w:t>（遴选人名称）</w:t>
      </w:r>
    </w:p>
    <w:p w14:paraId="652A1ED4">
      <w:pPr>
        <w:pStyle w:val="5"/>
        <w:spacing w:line="460" w:lineRule="exact"/>
        <w:ind w:firstLine="480"/>
      </w:pPr>
    </w:p>
    <w:p w14:paraId="1BEDA5E7">
      <w:pPr>
        <w:pStyle w:val="5"/>
        <w:spacing w:line="460" w:lineRule="exact"/>
        <w:ind w:firstLine="480"/>
      </w:pPr>
      <w:r>
        <w:rPr>
          <w:rFonts w:hint="eastAsia"/>
        </w:rPr>
        <w:t>按照相关法律法规和遴选文件的规定，我单位郑重声明如下：</w:t>
      </w:r>
    </w:p>
    <w:p w14:paraId="07023E34">
      <w:pPr>
        <w:pStyle w:val="5"/>
        <w:spacing w:line="460" w:lineRule="exact"/>
        <w:ind w:firstLine="480"/>
      </w:pPr>
      <w:r>
        <w:rPr>
          <w:rFonts w:hint="eastAsia"/>
        </w:rPr>
        <w:t>一、我单位是按照中华人民共和国法律规定登记注册的，注册地点为</w:t>
      </w:r>
      <w:r>
        <w:rPr>
          <w:rFonts w:hint="eastAsia"/>
          <w:u w:val="single"/>
        </w:rPr>
        <w:t xml:space="preserve">         </w:t>
      </w:r>
      <w:r>
        <w:rPr>
          <w:rFonts w:hint="eastAsia"/>
        </w:rPr>
        <w:t>，全称为</w:t>
      </w:r>
      <w:r>
        <w:rPr>
          <w:rFonts w:hint="eastAsia"/>
          <w:u w:val="single"/>
        </w:rPr>
        <w:t xml:space="preserve">        </w:t>
      </w:r>
      <w:r>
        <w:rPr>
          <w:rFonts w:hint="eastAsia"/>
        </w:rPr>
        <w:t>，统一社会信用代码为</w:t>
      </w:r>
      <w:r>
        <w:rPr>
          <w:rFonts w:hint="eastAsia"/>
          <w:u w:val="single"/>
        </w:rPr>
        <w:t xml:space="preserve">           </w:t>
      </w:r>
      <w:r>
        <w:rPr>
          <w:rFonts w:hint="eastAsia"/>
        </w:rPr>
        <w:t xml:space="preserve"> ，法定代表人（单位负责人）为</w:t>
      </w:r>
      <w:r>
        <w:rPr>
          <w:rFonts w:hint="eastAsia"/>
          <w:u w:val="single"/>
        </w:rPr>
        <w:t xml:space="preserve">         </w:t>
      </w:r>
      <w:r>
        <w:rPr>
          <w:rFonts w:hint="eastAsia"/>
        </w:rPr>
        <w:t>，具有独立承担民事责任的能力。</w:t>
      </w:r>
      <w:r>
        <w:rPr>
          <w:rFonts w:hint="eastAsia"/>
          <w:b/>
        </w:rPr>
        <w:t>（如属于分公司经总公司授权参与项目，由总公司承担民事责任的，需提供总公司项目授权书）</w:t>
      </w:r>
      <w:r>
        <w:rPr>
          <w:rFonts w:hint="eastAsia"/>
        </w:rPr>
        <w:t>。</w:t>
      </w:r>
    </w:p>
    <w:p w14:paraId="7C18F59A">
      <w:pPr>
        <w:pStyle w:val="5"/>
        <w:spacing w:line="460" w:lineRule="exact"/>
        <w:ind w:firstLine="480"/>
      </w:pPr>
      <w:r>
        <w:rPr>
          <w:rFonts w:hint="eastAsia"/>
        </w:rPr>
        <w:t>二、我单位具有良好的商业信誉（指供应商经营状况良好，无本资格声明第十条情形）和健全的财务会计制度。</w:t>
      </w:r>
    </w:p>
    <w:p w14:paraId="6493154C">
      <w:pPr>
        <w:pStyle w:val="5"/>
        <w:spacing w:line="460" w:lineRule="exact"/>
        <w:ind w:firstLine="480"/>
      </w:pPr>
      <w:r>
        <w:rPr>
          <w:rFonts w:hint="eastAsia"/>
        </w:rPr>
        <w:t>三、我单位依法进行纳税和社会保险申报并实际履行了义务。</w:t>
      </w:r>
    </w:p>
    <w:p w14:paraId="79A4E44A">
      <w:pPr>
        <w:pStyle w:val="5"/>
        <w:spacing w:line="460" w:lineRule="exact"/>
        <w:ind w:firstLine="480"/>
      </w:pPr>
      <w:r>
        <w:rPr>
          <w:rFonts w:hint="eastAsia"/>
        </w:rPr>
        <w:t>四、我单位具有履行本项目遴选合同所必需的设备和专业技术能力，并具有履行合同的良好</w:t>
      </w:r>
      <w:r>
        <w:t>记录</w:t>
      </w:r>
      <w:r>
        <w:rPr>
          <w:rFonts w:hint="eastAsia"/>
        </w:rPr>
        <w:t>。为履行本项遴选合同我单位具备如下主要设备和主要专业技术能力：</w:t>
      </w:r>
    </w:p>
    <w:p w14:paraId="45D6E95D">
      <w:pPr>
        <w:pStyle w:val="5"/>
        <w:spacing w:line="460" w:lineRule="exact"/>
        <w:ind w:firstLine="480"/>
      </w:pPr>
      <w:r>
        <w:rPr>
          <w:rFonts w:hint="eastAsia"/>
        </w:rPr>
        <w:t>主要设备有：</w:t>
      </w:r>
      <w:r>
        <w:rPr>
          <w:u w:val="single"/>
        </w:rPr>
        <w:t xml:space="preserve">            </w:t>
      </w:r>
    </w:p>
    <w:p w14:paraId="60C35FA3">
      <w:pPr>
        <w:pStyle w:val="5"/>
        <w:spacing w:line="460" w:lineRule="exact"/>
        <w:ind w:firstLine="480"/>
      </w:pPr>
      <w:r>
        <w:rPr>
          <w:rFonts w:hint="eastAsia"/>
        </w:rPr>
        <w:t>主要专业技术能力有</w:t>
      </w:r>
      <w:r>
        <w:rPr>
          <w:rFonts w:hint="eastAsia"/>
          <w:u w:val="single"/>
        </w:rPr>
        <w:t xml:space="preserve">                 </w:t>
      </w:r>
    </w:p>
    <w:p w14:paraId="4238DBAA">
      <w:pPr>
        <w:pStyle w:val="5"/>
        <w:spacing w:line="460" w:lineRule="exact"/>
        <w:ind w:firstLine="480"/>
      </w:pPr>
      <w:r>
        <w:rPr>
          <w:rFonts w:hint="eastAsia"/>
        </w:rPr>
        <w:t>五、我单位在参加项目遴选活动前三年内，在经营活动中，未因违法经营受到刑事处罚或者责令停产停业、吊销许可证或者执照、较大数额罚款等行政处罚。其中较大数额罚款是指：200万元及以上；法律、法规、规章、国务院有关行政主管部门对“较大数额罚款”标准另有规定的，从其规定。</w:t>
      </w:r>
    </w:p>
    <w:p w14:paraId="1A4FCE5E">
      <w:pPr>
        <w:pStyle w:val="5"/>
        <w:spacing w:line="460" w:lineRule="exact"/>
        <w:ind w:firstLine="480"/>
      </w:pPr>
      <w:r>
        <w:rPr>
          <w:rFonts w:hint="eastAsia"/>
        </w:rPr>
        <w:t>六、我单位具备法律、行政法规规定的其他条件。</w:t>
      </w:r>
    </w:p>
    <w:p w14:paraId="02ACBC2D">
      <w:pPr>
        <w:pStyle w:val="5"/>
        <w:spacing w:line="460" w:lineRule="exact"/>
        <w:ind w:firstLine="480"/>
      </w:pPr>
      <w:r>
        <w:rPr>
          <w:rFonts w:hint="eastAsia"/>
        </w:rPr>
        <w:t>七、与我单位存在“单位负责人为同一人或者存在直接控股、管理关系”的其他单位信息如下（如无此情形的，填写“无”）：</w:t>
      </w:r>
    </w:p>
    <w:p w14:paraId="37BBBD86">
      <w:pPr>
        <w:pStyle w:val="5"/>
        <w:spacing w:line="460" w:lineRule="exact"/>
        <w:ind w:firstLine="480"/>
      </w:pPr>
      <w:r>
        <w:rPr>
          <w:rFonts w:hint="eastAsia"/>
        </w:rPr>
        <w:t>1、与我单位的法定代表人（单位负责人）为同一人的其他单位如下：</w:t>
      </w:r>
      <w:r>
        <w:rPr>
          <w:rFonts w:hint="eastAsia"/>
          <w:u w:val="single"/>
        </w:rPr>
        <w:t xml:space="preserve">     </w:t>
      </w:r>
      <w:r>
        <w:rPr>
          <w:rFonts w:hint="eastAsia"/>
        </w:rPr>
        <w:t xml:space="preserve">          </w:t>
      </w:r>
    </w:p>
    <w:p w14:paraId="386299D8">
      <w:pPr>
        <w:pStyle w:val="5"/>
        <w:spacing w:line="460" w:lineRule="exact"/>
        <w:ind w:firstLine="480"/>
      </w:pPr>
      <w:r>
        <w:rPr>
          <w:rFonts w:hint="eastAsia"/>
        </w:rPr>
        <w:t>2、我单位直接控股的其他单位如下：</w:t>
      </w:r>
      <w:r>
        <w:rPr>
          <w:rFonts w:hint="eastAsia"/>
          <w:u w:val="single"/>
        </w:rPr>
        <w:t xml:space="preserve">                    </w:t>
      </w:r>
      <w:r>
        <w:rPr>
          <w:rFonts w:hint="eastAsia"/>
        </w:rPr>
        <w:t xml:space="preserve"> </w:t>
      </w:r>
    </w:p>
    <w:p w14:paraId="39B4CDFC">
      <w:pPr>
        <w:pStyle w:val="5"/>
        <w:spacing w:line="460" w:lineRule="exact"/>
        <w:ind w:firstLine="480"/>
      </w:pPr>
      <w:r>
        <w:rPr>
          <w:rFonts w:hint="eastAsia"/>
        </w:rPr>
        <w:t>3、与我单位存在管理关系的其他单位如下：</w:t>
      </w:r>
      <w:r>
        <w:rPr>
          <w:rFonts w:hint="eastAsia"/>
          <w:u w:val="single"/>
        </w:rPr>
        <w:t xml:space="preserve">              </w:t>
      </w:r>
      <w:r>
        <w:rPr>
          <w:rFonts w:hint="eastAsia"/>
        </w:rPr>
        <w:t xml:space="preserve"> </w:t>
      </w:r>
    </w:p>
    <w:p w14:paraId="684F0034">
      <w:pPr>
        <w:pStyle w:val="5"/>
        <w:spacing w:line="460" w:lineRule="exact"/>
        <w:ind w:firstLine="480"/>
      </w:pPr>
      <w:r>
        <w:rPr>
          <w:rFonts w:hint="eastAsia"/>
        </w:rPr>
        <w:t>八、</w:t>
      </w:r>
      <w:r>
        <w:t>我</w:t>
      </w:r>
      <w:r>
        <w:rPr>
          <w:rFonts w:hint="eastAsia"/>
        </w:rPr>
        <w:t>单位</w:t>
      </w:r>
      <w:r>
        <w:t>不属于为本项目提供整体设计、规范编制或者项目管理、监理、检测等服务的供应商。</w:t>
      </w:r>
    </w:p>
    <w:p w14:paraId="39C7CBEB">
      <w:pPr>
        <w:pStyle w:val="5"/>
        <w:spacing w:line="460" w:lineRule="exact"/>
        <w:ind w:firstLine="480"/>
      </w:pPr>
      <w:r>
        <w:rPr>
          <w:rFonts w:hint="eastAsia"/>
        </w:rPr>
        <w:t>九、</w:t>
      </w:r>
      <w:r>
        <w:t>我单位无</w:t>
      </w:r>
      <w:r>
        <w:rPr>
          <w:rFonts w:hint="eastAsia"/>
        </w:rPr>
        <w:t>其他严重违法违规行为。</w:t>
      </w:r>
    </w:p>
    <w:p w14:paraId="783D08DD">
      <w:pPr>
        <w:pStyle w:val="5"/>
        <w:spacing w:line="460" w:lineRule="exact"/>
        <w:ind w:firstLine="480"/>
      </w:pPr>
      <w:bookmarkStart w:id="82" w:name="OLE_LINK36"/>
      <w:bookmarkStart w:id="83" w:name="OLE_LINK37"/>
      <w:r>
        <w:rPr>
          <w:rFonts w:hint="eastAsia"/>
        </w:rPr>
        <w:t>十、我单位符合苏财金〔2024〕144号、常财农〔2025〕7号文件的规定。</w:t>
      </w:r>
    </w:p>
    <w:bookmarkEnd w:id="82"/>
    <w:bookmarkEnd w:id="83"/>
    <w:p w14:paraId="36CE654D">
      <w:pPr>
        <w:pStyle w:val="5"/>
        <w:spacing w:line="460" w:lineRule="exact"/>
        <w:ind w:firstLine="480"/>
      </w:pPr>
      <w:r>
        <w:rPr>
          <w:rFonts w:hint="eastAsia"/>
        </w:rPr>
        <w:t>我单位保证上述声明的事项都是真实的，如有虚假，我单位愿意承担相应的法律责任，并承担因此所造成的一切损失。</w:t>
      </w:r>
    </w:p>
    <w:p w14:paraId="2711066D">
      <w:pPr>
        <w:pStyle w:val="5"/>
        <w:spacing w:line="460" w:lineRule="exact"/>
        <w:ind w:firstLine="480"/>
      </w:pPr>
    </w:p>
    <w:p w14:paraId="53305A10">
      <w:pPr>
        <w:pStyle w:val="5"/>
        <w:spacing w:line="460" w:lineRule="exact"/>
        <w:ind w:firstLine="480"/>
      </w:pPr>
    </w:p>
    <w:p w14:paraId="00FC092F">
      <w:pPr>
        <w:pStyle w:val="5"/>
        <w:spacing w:line="460" w:lineRule="exact"/>
        <w:ind w:firstLine="480"/>
      </w:pPr>
      <w:r>
        <w:rPr>
          <w:rFonts w:hint="eastAsia"/>
        </w:rPr>
        <w:t>                                    供应商：（加盖公章）</w:t>
      </w:r>
    </w:p>
    <w:p w14:paraId="5FF8FCBB">
      <w:pPr>
        <w:pStyle w:val="5"/>
        <w:spacing w:line="460" w:lineRule="exact"/>
        <w:ind w:firstLine="480"/>
      </w:pPr>
      <w:r>
        <w:rPr>
          <w:rFonts w:hint="eastAsia"/>
        </w:rPr>
        <w:t>                                   法定代表人（或负责人）签字或盖章：</w:t>
      </w:r>
    </w:p>
    <w:p w14:paraId="6E0475A9">
      <w:pPr>
        <w:pStyle w:val="5"/>
        <w:spacing w:line="460" w:lineRule="exact"/>
        <w:ind w:firstLine="4920" w:firstLineChars="2050"/>
      </w:pPr>
    </w:p>
    <w:p w14:paraId="3C22D6FF">
      <w:pPr>
        <w:pStyle w:val="5"/>
        <w:spacing w:line="460" w:lineRule="exact"/>
        <w:ind w:firstLine="4920" w:firstLineChars="2050"/>
      </w:pPr>
      <w:r>
        <w:rPr>
          <w:rFonts w:hint="eastAsia"/>
        </w:rPr>
        <w:t>日期：    年    月    日</w:t>
      </w:r>
    </w:p>
    <w:p w14:paraId="1F9EBF31">
      <w:pPr>
        <w:spacing w:line="360" w:lineRule="auto"/>
        <w:rPr>
          <w:rFonts w:ascii="宋体" w:hAnsi="宋体"/>
          <w:b/>
          <w:bCs/>
          <w:sz w:val="24"/>
        </w:rPr>
      </w:pPr>
    </w:p>
    <w:p w14:paraId="28198A60">
      <w:pPr>
        <w:spacing w:line="360" w:lineRule="auto"/>
        <w:rPr>
          <w:rFonts w:ascii="宋体" w:hAnsi="宋体"/>
          <w:b/>
          <w:bCs/>
          <w:sz w:val="24"/>
        </w:rPr>
      </w:pPr>
    </w:p>
    <w:p w14:paraId="16967CB0">
      <w:pPr>
        <w:spacing w:line="360" w:lineRule="auto"/>
        <w:rPr>
          <w:rFonts w:ascii="宋体" w:hAnsi="宋体"/>
          <w:b/>
          <w:bCs/>
          <w:sz w:val="24"/>
        </w:rPr>
      </w:pPr>
    </w:p>
    <w:p w14:paraId="263A3A17">
      <w:pPr>
        <w:spacing w:line="360" w:lineRule="auto"/>
        <w:rPr>
          <w:rFonts w:ascii="宋体" w:hAnsi="宋体"/>
          <w:b/>
          <w:bCs/>
          <w:sz w:val="24"/>
        </w:rPr>
      </w:pPr>
    </w:p>
    <w:p w14:paraId="22D34924">
      <w:pPr>
        <w:spacing w:line="360" w:lineRule="auto"/>
        <w:rPr>
          <w:rFonts w:ascii="宋体" w:hAnsi="宋体"/>
          <w:b/>
          <w:bCs/>
          <w:sz w:val="24"/>
        </w:rPr>
      </w:pPr>
    </w:p>
    <w:p w14:paraId="1EA9BA2E">
      <w:pPr>
        <w:spacing w:line="360" w:lineRule="auto"/>
        <w:rPr>
          <w:rFonts w:ascii="宋体" w:hAnsi="宋体"/>
          <w:b/>
          <w:bCs/>
          <w:sz w:val="24"/>
        </w:rPr>
      </w:pPr>
    </w:p>
    <w:p w14:paraId="705830DA">
      <w:pPr>
        <w:spacing w:line="360" w:lineRule="auto"/>
        <w:rPr>
          <w:rFonts w:ascii="宋体" w:hAnsi="宋体"/>
          <w:b/>
          <w:bCs/>
          <w:sz w:val="24"/>
        </w:rPr>
      </w:pPr>
    </w:p>
    <w:p w14:paraId="0257199A">
      <w:pPr>
        <w:spacing w:line="360" w:lineRule="auto"/>
        <w:rPr>
          <w:rFonts w:ascii="宋体" w:hAnsi="宋体"/>
          <w:b/>
          <w:bCs/>
          <w:sz w:val="24"/>
        </w:rPr>
      </w:pPr>
    </w:p>
    <w:p w14:paraId="627DECE7">
      <w:pPr>
        <w:spacing w:line="360" w:lineRule="auto"/>
        <w:rPr>
          <w:rFonts w:ascii="宋体" w:hAnsi="宋体"/>
          <w:b/>
          <w:bCs/>
          <w:sz w:val="24"/>
        </w:rPr>
      </w:pPr>
    </w:p>
    <w:p w14:paraId="13F65076">
      <w:pPr>
        <w:spacing w:line="360" w:lineRule="auto"/>
        <w:rPr>
          <w:rFonts w:ascii="宋体" w:hAnsi="宋体"/>
          <w:b/>
          <w:bCs/>
          <w:sz w:val="24"/>
        </w:rPr>
      </w:pPr>
    </w:p>
    <w:p w14:paraId="6B79709E">
      <w:pPr>
        <w:spacing w:line="360" w:lineRule="auto"/>
        <w:rPr>
          <w:rFonts w:ascii="宋体" w:hAnsi="宋体"/>
          <w:b/>
          <w:bCs/>
          <w:sz w:val="24"/>
        </w:rPr>
      </w:pPr>
    </w:p>
    <w:p w14:paraId="2CE24E9E">
      <w:pPr>
        <w:spacing w:line="360" w:lineRule="auto"/>
        <w:rPr>
          <w:rFonts w:ascii="宋体" w:hAnsi="宋体"/>
          <w:b/>
          <w:bCs/>
          <w:sz w:val="24"/>
        </w:rPr>
      </w:pPr>
    </w:p>
    <w:p w14:paraId="00EEC890">
      <w:pPr>
        <w:spacing w:line="360" w:lineRule="auto"/>
        <w:rPr>
          <w:rFonts w:ascii="宋体" w:hAnsi="宋体"/>
          <w:b/>
          <w:bCs/>
          <w:sz w:val="24"/>
        </w:rPr>
      </w:pPr>
    </w:p>
    <w:p w14:paraId="6390E286">
      <w:pPr>
        <w:spacing w:line="360" w:lineRule="auto"/>
        <w:rPr>
          <w:rFonts w:ascii="宋体" w:hAnsi="宋体"/>
          <w:b/>
          <w:bCs/>
          <w:sz w:val="24"/>
        </w:rPr>
      </w:pPr>
    </w:p>
    <w:p w14:paraId="484F20F2">
      <w:pPr>
        <w:spacing w:line="360" w:lineRule="auto"/>
        <w:rPr>
          <w:rFonts w:ascii="宋体" w:hAnsi="宋体"/>
          <w:b/>
          <w:bCs/>
          <w:sz w:val="24"/>
        </w:rPr>
      </w:pPr>
    </w:p>
    <w:p w14:paraId="1EAFC94B">
      <w:pPr>
        <w:spacing w:line="360" w:lineRule="auto"/>
        <w:rPr>
          <w:rFonts w:ascii="宋体" w:hAnsi="宋体"/>
          <w:b/>
          <w:bCs/>
          <w:sz w:val="24"/>
        </w:rPr>
      </w:pPr>
    </w:p>
    <w:p w14:paraId="58CA12DE">
      <w:pPr>
        <w:spacing w:line="360" w:lineRule="auto"/>
        <w:rPr>
          <w:rFonts w:ascii="宋体" w:hAnsi="宋体"/>
          <w:b/>
          <w:bCs/>
          <w:sz w:val="24"/>
        </w:rPr>
      </w:pPr>
    </w:p>
    <w:p w14:paraId="026F0CC1">
      <w:pPr>
        <w:pStyle w:val="2"/>
      </w:pPr>
    </w:p>
    <w:p w14:paraId="76DE5AF7">
      <w:pPr>
        <w:spacing w:line="360" w:lineRule="auto"/>
        <w:rPr>
          <w:rFonts w:ascii="宋体" w:hAnsi="宋体"/>
          <w:b/>
          <w:sz w:val="24"/>
        </w:rPr>
      </w:pPr>
      <w:r>
        <w:rPr>
          <w:rFonts w:hint="eastAsia" w:ascii="宋体" w:hAnsi="宋体"/>
          <w:b/>
          <w:sz w:val="24"/>
        </w:rPr>
        <w:t>附件二：</w:t>
      </w:r>
      <w:r>
        <w:rPr>
          <w:color w:val="000000"/>
          <w:sz w:val="24"/>
          <w:szCs w:val="20"/>
        </w:rPr>
        <w:t>（实质性格式）</w:t>
      </w:r>
    </w:p>
    <w:p w14:paraId="4B54AA9E">
      <w:pPr>
        <w:spacing w:line="360" w:lineRule="auto"/>
        <w:jc w:val="center"/>
        <w:rPr>
          <w:b/>
          <w:color w:val="000000"/>
          <w:sz w:val="36"/>
          <w:szCs w:val="36"/>
        </w:rPr>
      </w:pPr>
      <w:r>
        <w:rPr>
          <w:rFonts w:hint="eastAsia"/>
          <w:b/>
          <w:color w:val="000000"/>
          <w:sz w:val="36"/>
          <w:szCs w:val="36"/>
        </w:rPr>
        <w:t>响应函</w:t>
      </w:r>
    </w:p>
    <w:p w14:paraId="62716309">
      <w:pPr>
        <w:pStyle w:val="5"/>
        <w:spacing w:line="460" w:lineRule="exact"/>
        <w:ind w:firstLine="480"/>
        <w:rPr>
          <w:u w:val="single"/>
        </w:rPr>
      </w:pPr>
      <w:r>
        <w:rPr>
          <w:rFonts w:hint="eastAsia"/>
        </w:rPr>
        <w:t>致：</w:t>
      </w:r>
      <w:r>
        <w:rPr>
          <w:rFonts w:hint="eastAsia"/>
          <w:u w:val="single"/>
        </w:rPr>
        <w:t>（遴选人名称）</w:t>
      </w:r>
    </w:p>
    <w:p w14:paraId="32F132A7">
      <w:pPr>
        <w:tabs>
          <w:tab w:val="left" w:pos="5580"/>
        </w:tabs>
        <w:spacing w:line="360" w:lineRule="auto"/>
        <w:rPr>
          <w:color w:val="000000"/>
          <w:sz w:val="24"/>
          <w:szCs w:val="20"/>
        </w:rPr>
      </w:pPr>
    </w:p>
    <w:p w14:paraId="6A30F719">
      <w:pPr>
        <w:tabs>
          <w:tab w:val="left" w:pos="5580"/>
        </w:tabs>
        <w:spacing w:line="360" w:lineRule="auto"/>
        <w:ind w:firstLine="408"/>
        <w:rPr>
          <w:color w:val="000000"/>
          <w:sz w:val="24"/>
          <w:szCs w:val="20"/>
        </w:rPr>
      </w:pPr>
      <w:r>
        <w:rPr>
          <w:color w:val="000000"/>
          <w:sz w:val="24"/>
          <w:szCs w:val="20"/>
        </w:rPr>
        <w:t>我方参加你方就___________（项目名称，项目编号/包号）组织的遴选活动，并对此项目进行响应。</w:t>
      </w:r>
    </w:p>
    <w:p w14:paraId="73847064">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已详细审查全部遴选文件</w:t>
      </w:r>
      <w:r>
        <w:rPr>
          <w:color w:val="000000"/>
          <w:sz w:val="24"/>
          <w:szCs w:val="20"/>
        </w:rPr>
        <w:t>，自愿参与响应并承诺如下：</w:t>
      </w:r>
    </w:p>
    <w:p w14:paraId="3AD8A543">
      <w:pPr>
        <w:tabs>
          <w:tab w:val="left" w:pos="720"/>
          <w:tab w:val="left" w:pos="900"/>
        </w:tabs>
        <w:spacing w:line="360" w:lineRule="auto"/>
        <w:ind w:left="360" w:firstLine="72" w:firstLineChars="30"/>
        <w:rPr>
          <w:color w:val="000000"/>
          <w:sz w:val="24"/>
          <w:szCs w:val="20"/>
        </w:rPr>
      </w:pPr>
      <w:r>
        <w:rPr>
          <w:color w:val="000000"/>
          <w:sz w:val="24"/>
          <w:szCs w:val="20"/>
        </w:rPr>
        <w:t>（1）本</w:t>
      </w:r>
      <w:r>
        <w:rPr>
          <w:rFonts w:hint="eastAsia"/>
          <w:color w:val="000000"/>
          <w:sz w:val="24"/>
          <w:szCs w:val="20"/>
        </w:rPr>
        <w:t>响应</w:t>
      </w:r>
      <w:r>
        <w:rPr>
          <w:color w:val="000000"/>
          <w:sz w:val="24"/>
          <w:szCs w:val="20"/>
        </w:rPr>
        <w:t>有效期为自提交响应文件的截止之日起</w:t>
      </w:r>
      <w:r>
        <w:rPr>
          <w:rFonts w:hint="eastAsia"/>
          <w:sz w:val="24"/>
        </w:rPr>
        <w:t>60</w:t>
      </w:r>
      <w:r>
        <w:rPr>
          <w:color w:val="000000"/>
          <w:sz w:val="24"/>
          <w:szCs w:val="20"/>
        </w:rPr>
        <w:t>个日历日。</w:t>
      </w:r>
    </w:p>
    <w:p w14:paraId="2448DBC6">
      <w:pPr>
        <w:tabs>
          <w:tab w:val="left" w:pos="720"/>
          <w:tab w:val="left" w:pos="900"/>
        </w:tabs>
        <w:spacing w:line="360" w:lineRule="auto"/>
        <w:ind w:left="360" w:firstLine="72" w:firstLineChars="30"/>
        <w:rPr>
          <w:color w:val="000000"/>
          <w:sz w:val="24"/>
          <w:szCs w:val="20"/>
        </w:rPr>
      </w:pPr>
      <w:r>
        <w:rPr>
          <w:color w:val="000000"/>
          <w:sz w:val="24"/>
          <w:szCs w:val="20"/>
        </w:rPr>
        <w:t>（2）除遴选需求偏离表列出的偏离外，我方响应遴选文件的全部要求。</w:t>
      </w:r>
    </w:p>
    <w:p w14:paraId="1A240C01">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14:paraId="73ED4A5E">
      <w:pPr>
        <w:tabs>
          <w:tab w:val="left" w:pos="5580"/>
        </w:tabs>
        <w:spacing w:line="360" w:lineRule="auto"/>
        <w:ind w:firstLine="420" w:firstLineChars="175"/>
        <w:rPr>
          <w:color w:val="000000"/>
          <w:sz w:val="24"/>
          <w:szCs w:val="20"/>
        </w:rPr>
      </w:pPr>
      <w:r>
        <w:rPr>
          <w:rFonts w:hint="eastAsia"/>
          <w:color w:val="000000"/>
          <w:sz w:val="24"/>
          <w:szCs w:val="20"/>
        </w:rPr>
        <w:t>（4）</w:t>
      </w:r>
      <w:r>
        <w:rPr>
          <w:color w:val="000000"/>
          <w:sz w:val="24"/>
          <w:szCs w:val="20"/>
        </w:rPr>
        <w:t>我方</w:t>
      </w:r>
      <w:r>
        <w:rPr>
          <w:rFonts w:hint="eastAsia"/>
          <w:color w:val="000000"/>
          <w:sz w:val="24"/>
          <w:szCs w:val="20"/>
        </w:rPr>
        <w:t>完全理解贵方不一定将合同授予最低报价的供应商。</w:t>
      </w:r>
    </w:p>
    <w:p w14:paraId="714AE757">
      <w:pPr>
        <w:tabs>
          <w:tab w:val="left" w:pos="5580"/>
        </w:tabs>
        <w:spacing w:line="360" w:lineRule="auto"/>
        <w:ind w:firstLine="420" w:firstLineChars="175"/>
        <w:rPr>
          <w:color w:val="000000"/>
          <w:sz w:val="24"/>
        </w:rPr>
      </w:pPr>
      <w:r>
        <w:rPr>
          <w:color w:val="000000"/>
          <w:sz w:val="24"/>
          <w:szCs w:val="20"/>
        </w:rPr>
        <w:t>（</w:t>
      </w:r>
      <w:r>
        <w:rPr>
          <w:rFonts w:hint="eastAsia"/>
          <w:color w:val="000000"/>
          <w:sz w:val="24"/>
          <w:szCs w:val="20"/>
        </w:rPr>
        <w:t>5</w:t>
      </w:r>
      <w:r>
        <w:rPr>
          <w:color w:val="000000"/>
          <w:sz w:val="24"/>
          <w:szCs w:val="20"/>
        </w:rPr>
        <w:t>）如我方成交，我方将在法律规定的期限内与你方签订合同，按照遴选文件要求提交履约保证金，并在合同约定的期限内完成合同规定的全部义务。</w:t>
      </w:r>
    </w:p>
    <w:p w14:paraId="6199E3B9">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14:paraId="67C2186E">
      <w:pPr>
        <w:spacing w:line="360" w:lineRule="auto"/>
        <w:ind w:firstLine="480" w:firstLineChars="200"/>
        <w:rPr>
          <w:color w:val="000000"/>
          <w:sz w:val="24"/>
        </w:rPr>
      </w:pPr>
      <w:r>
        <w:rPr>
          <w:color w:val="000000"/>
          <w:sz w:val="24"/>
        </w:rPr>
        <w:t>与本响应有关的一切正式往来信函请寄：</w:t>
      </w:r>
    </w:p>
    <w:p w14:paraId="1C302734">
      <w:pPr>
        <w:tabs>
          <w:tab w:val="left" w:pos="5580"/>
        </w:tabs>
        <w:spacing w:line="360" w:lineRule="auto"/>
        <w:ind w:left="420"/>
        <w:rPr>
          <w:color w:val="000000"/>
          <w:sz w:val="24"/>
          <w:szCs w:val="20"/>
        </w:rPr>
      </w:pPr>
    </w:p>
    <w:p w14:paraId="7E5CB74D">
      <w:pPr>
        <w:tabs>
          <w:tab w:val="left" w:pos="5580"/>
        </w:tabs>
        <w:spacing w:line="360" w:lineRule="auto"/>
        <w:ind w:left="420"/>
        <w:rPr>
          <w:color w:val="000000"/>
          <w:sz w:val="24"/>
          <w:szCs w:val="20"/>
        </w:rPr>
      </w:pPr>
      <w:r>
        <w:rPr>
          <w:color w:val="000000"/>
          <w:sz w:val="24"/>
          <w:szCs w:val="20"/>
        </w:rPr>
        <w:t>地址_________________________</w:t>
      </w:r>
      <w:r>
        <w:rPr>
          <w:rFonts w:hint="eastAsia"/>
          <w:color w:val="000000"/>
          <w:sz w:val="24"/>
          <w:szCs w:val="20"/>
        </w:rPr>
        <w:t xml:space="preserve">    </w:t>
      </w:r>
      <w:r>
        <w:rPr>
          <w:color w:val="000000"/>
          <w:sz w:val="24"/>
          <w:szCs w:val="20"/>
        </w:rPr>
        <w:t>传真____________________________</w:t>
      </w:r>
    </w:p>
    <w:p w14:paraId="45F0F4C4">
      <w:pPr>
        <w:tabs>
          <w:tab w:val="left" w:pos="5580"/>
        </w:tabs>
        <w:spacing w:line="360" w:lineRule="auto"/>
        <w:ind w:left="420"/>
        <w:rPr>
          <w:color w:val="000000"/>
          <w:sz w:val="24"/>
          <w:szCs w:val="20"/>
        </w:rPr>
      </w:pPr>
      <w:r>
        <w:rPr>
          <w:color w:val="000000"/>
          <w:sz w:val="24"/>
          <w:szCs w:val="20"/>
        </w:rPr>
        <w:t>电话_________________________</w:t>
      </w:r>
      <w:r>
        <w:rPr>
          <w:rFonts w:hint="eastAsia"/>
          <w:color w:val="000000"/>
          <w:sz w:val="24"/>
          <w:szCs w:val="20"/>
        </w:rPr>
        <w:t xml:space="preserve">    </w:t>
      </w:r>
      <w:r>
        <w:rPr>
          <w:color w:val="000000"/>
          <w:sz w:val="24"/>
          <w:szCs w:val="20"/>
        </w:rPr>
        <w:t>电子函件________________________</w:t>
      </w:r>
    </w:p>
    <w:p w14:paraId="47EADD57">
      <w:pPr>
        <w:tabs>
          <w:tab w:val="left" w:pos="5580"/>
        </w:tabs>
        <w:spacing w:line="360" w:lineRule="auto"/>
        <w:ind w:left="420"/>
        <w:rPr>
          <w:color w:val="000000"/>
          <w:sz w:val="24"/>
          <w:szCs w:val="20"/>
        </w:rPr>
      </w:pPr>
    </w:p>
    <w:p w14:paraId="183A4027">
      <w:pPr>
        <w:tabs>
          <w:tab w:val="left" w:pos="5580"/>
        </w:tabs>
        <w:spacing w:line="360" w:lineRule="auto"/>
        <w:ind w:left="420"/>
        <w:rPr>
          <w:color w:val="000000"/>
          <w:sz w:val="24"/>
          <w:szCs w:val="20"/>
        </w:rPr>
      </w:pPr>
      <w:r>
        <w:rPr>
          <w:color w:val="000000"/>
          <w:sz w:val="24"/>
          <w:szCs w:val="20"/>
        </w:rPr>
        <w:t>供应商名称（加盖公章） ___________</w:t>
      </w:r>
    </w:p>
    <w:p w14:paraId="0DBBE114">
      <w:pPr>
        <w:tabs>
          <w:tab w:val="left" w:pos="5580"/>
        </w:tabs>
        <w:spacing w:line="360" w:lineRule="auto"/>
        <w:ind w:left="420"/>
        <w:rPr>
          <w:color w:val="000000"/>
          <w:sz w:val="24"/>
          <w:szCs w:val="20"/>
        </w:rPr>
      </w:pPr>
      <w:r>
        <w:rPr>
          <w:color w:val="000000"/>
          <w:sz w:val="24"/>
          <w:szCs w:val="20"/>
        </w:rPr>
        <w:t xml:space="preserve">日期：_____年______月______日    </w:t>
      </w:r>
    </w:p>
    <w:p w14:paraId="7BB6659F">
      <w:pPr>
        <w:spacing w:line="440" w:lineRule="exact"/>
        <w:rPr>
          <w:rFonts w:ascii="宋体" w:hAnsi="宋体"/>
          <w:sz w:val="24"/>
        </w:rPr>
      </w:pPr>
    </w:p>
    <w:p w14:paraId="1F658F28">
      <w:pPr>
        <w:spacing w:line="440" w:lineRule="exact"/>
        <w:rPr>
          <w:rFonts w:ascii="宋体" w:hAnsi="宋体"/>
          <w:sz w:val="24"/>
        </w:rPr>
      </w:pPr>
    </w:p>
    <w:p w14:paraId="1631B7E4">
      <w:pPr>
        <w:spacing w:line="360" w:lineRule="auto"/>
        <w:rPr>
          <w:rFonts w:ascii="宋体" w:hAnsi="宋体"/>
          <w:b/>
          <w:sz w:val="24"/>
        </w:rPr>
      </w:pPr>
    </w:p>
    <w:p w14:paraId="0C686ED0">
      <w:pPr>
        <w:spacing w:line="360" w:lineRule="auto"/>
        <w:rPr>
          <w:rFonts w:ascii="宋体" w:hAnsi="宋体"/>
          <w:b/>
          <w:sz w:val="24"/>
        </w:rPr>
      </w:pPr>
    </w:p>
    <w:p w14:paraId="051F68B1">
      <w:pPr>
        <w:pStyle w:val="2"/>
        <w:rPr>
          <w:rFonts w:ascii="宋体" w:hAnsi="宋体"/>
          <w:b/>
          <w:sz w:val="24"/>
        </w:rPr>
      </w:pPr>
    </w:p>
    <w:p w14:paraId="1781ADE9">
      <w:pPr>
        <w:pStyle w:val="2"/>
        <w:rPr>
          <w:rFonts w:ascii="宋体" w:hAnsi="宋体"/>
          <w:b/>
          <w:sz w:val="24"/>
        </w:rPr>
      </w:pPr>
    </w:p>
    <w:p w14:paraId="1D6FD1E5">
      <w:pPr>
        <w:spacing w:line="360" w:lineRule="auto"/>
        <w:rPr>
          <w:rFonts w:ascii="宋体" w:hAnsi="宋体"/>
          <w:b/>
          <w:sz w:val="24"/>
        </w:rPr>
      </w:pPr>
    </w:p>
    <w:p w14:paraId="4C850C47">
      <w:pPr>
        <w:spacing w:line="360" w:lineRule="auto"/>
        <w:rPr>
          <w:rFonts w:ascii="宋体" w:hAnsi="宋体"/>
          <w:b/>
          <w:sz w:val="24"/>
        </w:rPr>
      </w:pPr>
      <w:r>
        <w:rPr>
          <w:rFonts w:hint="eastAsia" w:ascii="宋体" w:hAnsi="宋体"/>
          <w:b/>
          <w:sz w:val="24"/>
        </w:rPr>
        <w:t>附件三：</w:t>
      </w:r>
      <w:r>
        <w:rPr>
          <w:color w:val="000000"/>
          <w:sz w:val="24"/>
          <w:szCs w:val="20"/>
        </w:rPr>
        <w:t>（实质性格式）</w:t>
      </w:r>
    </w:p>
    <w:p w14:paraId="15B746B0">
      <w:pPr>
        <w:spacing w:line="360" w:lineRule="auto"/>
        <w:jc w:val="center"/>
        <w:rPr>
          <w:rFonts w:ascii="宋体" w:hAnsi="宋体"/>
          <w:b/>
          <w:sz w:val="32"/>
          <w:szCs w:val="32"/>
        </w:rPr>
      </w:pPr>
    </w:p>
    <w:p w14:paraId="2734EC5E">
      <w:pPr>
        <w:spacing w:line="360" w:lineRule="auto"/>
        <w:jc w:val="center"/>
        <w:rPr>
          <w:rFonts w:ascii="宋体" w:hAnsi="宋体"/>
          <w:b/>
          <w:sz w:val="32"/>
          <w:szCs w:val="32"/>
        </w:rPr>
      </w:pPr>
      <w:r>
        <w:rPr>
          <w:rFonts w:hint="eastAsia" w:ascii="宋体" w:hAnsi="宋体"/>
          <w:b/>
          <w:sz w:val="32"/>
          <w:szCs w:val="32"/>
        </w:rPr>
        <w:t>法定代表人</w:t>
      </w:r>
      <w:r>
        <w:rPr>
          <w:rFonts w:hint="eastAsia" w:ascii="宋体" w:hAnsi="宋体"/>
          <w:b/>
          <w:sz w:val="32"/>
          <w:szCs w:val="32"/>
          <w:lang w:eastAsia="zh-CN"/>
        </w:rPr>
        <w:t>（或负责人）</w:t>
      </w:r>
      <w:r>
        <w:rPr>
          <w:rFonts w:hint="eastAsia" w:ascii="宋体" w:hAnsi="宋体"/>
          <w:b/>
          <w:sz w:val="32"/>
          <w:szCs w:val="32"/>
        </w:rPr>
        <w:t>资格证明书</w:t>
      </w:r>
    </w:p>
    <w:p w14:paraId="345C8D31">
      <w:pPr>
        <w:spacing w:line="560" w:lineRule="exact"/>
        <w:rPr>
          <w:rFonts w:ascii="宋体" w:hAnsi="宋体"/>
          <w:sz w:val="24"/>
        </w:rPr>
      </w:pPr>
      <w:r>
        <w:rPr>
          <w:rFonts w:hint="eastAsia" w:ascii="宋体" w:hAnsi="宋体"/>
          <w:sz w:val="24"/>
        </w:rPr>
        <w:t>单位名称：</w:t>
      </w:r>
    </w:p>
    <w:p w14:paraId="5DA16FBC">
      <w:pPr>
        <w:spacing w:line="560" w:lineRule="exact"/>
        <w:rPr>
          <w:rFonts w:ascii="宋体" w:hAnsi="宋体"/>
          <w:sz w:val="24"/>
        </w:rPr>
      </w:pPr>
      <w:r>
        <w:rPr>
          <w:rFonts w:hint="eastAsia" w:ascii="宋体" w:hAnsi="宋体"/>
          <w:sz w:val="24"/>
        </w:rPr>
        <w:t>地址：</w:t>
      </w:r>
    </w:p>
    <w:p w14:paraId="15485E75">
      <w:pPr>
        <w:spacing w:line="560" w:lineRule="exact"/>
        <w:rPr>
          <w:rFonts w:ascii="宋体" w:hAnsi="宋体"/>
          <w:sz w:val="24"/>
        </w:rPr>
      </w:pPr>
      <w:r>
        <w:rPr>
          <w:rFonts w:hint="eastAsia" w:ascii="宋体" w:hAnsi="宋体"/>
          <w:sz w:val="24"/>
        </w:rPr>
        <w:t>姓名：     性别：       年龄：      职务：</w:t>
      </w:r>
    </w:p>
    <w:p w14:paraId="145C7C35">
      <w:pPr>
        <w:spacing w:line="560" w:lineRule="exact"/>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 xml:space="preserve"> 的法定代表人（或负责人）。为实施 </w:t>
      </w:r>
      <w:r>
        <w:rPr>
          <w:rFonts w:hint="eastAsia" w:ascii="宋体" w:hAnsi="宋体"/>
          <w:sz w:val="24"/>
          <w:u w:val="single"/>
        </w:rPr>
        <w:t xml:space="preserve">           （）</w:t>
      </w:r>
      <w:r>
        <w:rPr>
          <w:rFonts w:hint="eastAsia" w:ascii="宋体" w:hAnsi="宋体"/>
          <w:sz w:val="24"/>
        </w:rPr>
        <w:t>的工作，签署上述项目的响应文件、进行合同谈判、签署合同和处理与之有关的一切事务。</w:t>
      </w:r>
    </w:p>
    <w:p w14:paraId="3B15BE98">
      <w:pPr>
        <w:spacing w:line="560" w:lineRule="exact"/>
        <w:rPr>
          <w:rFonts w:ascii="宋体" w:hAnsi="宋体"/>
          <w:sz w:val="24"/>
        </w:rPr>
      </w:pPr>
      <w:r>
        <w:rPr>
          <w:rFonts w:hint="eastAsia" w:ascii="宋体" w:hAnsi="宋体"/>
          <w:sz w:val="24"/>
        </w:rPr>
        <w:t>特此证明。</w:t>
      </w:r>
    </w:p>
    <w:p w14:paraId="4C3D8FAE">
      <w:pPr>
        <w:spacing w:line="560" w:lineRule="exact"/>
        <w:rPr>
          <w:rFonts w:ascii="宋体" w:hAnsi="宋体"/>
          <w:sz w:val="24"/>
        </w:rPr>
      </w:pPr>
    </w:p>
    <w:p w14:paraId="70BDE478">
      <w:pPr>
        <w:spacing w:line="560" w:lineRule="exact"/>
        <w:rPr>
          <w:rFonts w:ascii="宋体" w:hAnsi="宋体"/>
          <w:sz w:val="24"/>
        </w:rPr>
      </w:pPr>
    </w:p>
    <w:p w14:paraId="3FF2BCC4">
      <w:pPr>
        <w:spacing w:line="560" w:lineRule="exact"/>
        <w:rPr>
          <w:rFonts w:ascii="宋体" w:hAnsi="宋体"/>
          <w:sz w:val="24"/>
        </w:rPr>
      </w:pPr>
      <w:r>
        <w:rPr>
          <w:rFonts w:hint="eastAsia" w:ascii="宋体" w:hAnsi="宋体"/>
          <w:sz w:val="24"/>
        </w:rPr>
        <w:t>                   供应商：（公章）</w:t>
      </w:r>
    </w:p>
    <w:p w14:paraId="5E4077B4">
      <w:pPr>
        <w:spacing w:line="560" w:lineRule="exact"/>
        <w:rPr>
          <w:rFonts w:ascii="宋体" w:hAnsi="宋体"/>
          <w:sz w:val="24"/>
        </w:rPr>
      </w:pPr>
      <w:r>
        <w:rPr>
          <w:rFonts w:hint="eastAsia" w:ascii="宋体" w:hAnsi="宋体"/>
          <w:sz w:val="24"/>
        </w:rPr>
        <w:t>                       法定代表人（或负责人）签字或盖章：</w:t>
      </w:r>
    </w:p>
    <w:p w14:paraId="6A3D1FB0">
      <w:pPr>
        <w:spacing w:line="560" w:lineRule="exact"/>
        <w:ind w:firstLine="4320" w:firstLineChars="1800"/>
        <w:rPr>
          <w:rFonts w:ascii="宋体" w:hAnsi="宋体"/>
          <w:sz w:val="24"/>
        </w:rPr>
      </w:pPr>
      <w:r>
        <w:rPr>
          <w:rFonts w:hint="eastAsia" w:ascii="宋体" w:hAnsi="宋体"/>
          <w:sz w:val="24"/>
        </w:rPr>
        <w:t>日期：    年    月    日</w:t>
      </w:r>
    </w:p>
    <w:p w14:paraId="45F580F9">
      <w:pPr>
        <w:tabs>
          <w:tab w:val="left" w:pos="6045"/>
        </w:tabs>
        <w:snapToGrid w:val="0"/>
        <w:spacing w:line="560" w:lineRule="exact"/>
        <w:ind w:left="240" w:hanging="240" w:hangingChars="100"/>
        <w:rPr>
          <w:rFonts w:ascii="宋体" w:hAnsi="宋体"/>
          <w:sz w:val="24"/>
        </w:rPr>
      </w:pPr>
    </w:p>
    <w:p w14:paraId="1B929A00">
      <w:pPr>
        <w:snapToGrid w:val="0"/>
        <w:spacing w:line="560" w:lineRule="exact"/>
        <w:rPr>
          <w:rFonts w:ascii="宋体" w:hAnsi="宋体"/>
          <w:sz w:val="24"/>
        </w:rPr>
      </w:pPr>
      <w:r>
        <w:rPr>
          <w:rFonts w:hint="eastAsia" w:ascii="宋体" w:hAnsi="宋体" w:cs="宋体"/>
          <w:sz w:val="24"/>
        </w:rPr>
        <w:t> </w:t>
      </w:r>
    </w:p>
    <w:p w14:paraId="622AAEEA">
      <w:pPr>
        <w:snapToGrid w:val="0"/>
        <w:spacing w:line="560" w:lineRule="exact"/>
        <w:rPr>
          <w:rFonts w:ascii="宋体" w:hAnsi="宋体"/>
          <w:b/>
          <w:sz w:val="24"/>
        </w:rPr>
      </w:pPr>
    </w:p>
    <w:p w14:paraId="1A853AB3">
      <w:pPr>
        <w:spacing w:line="560" w:lineRule="exact"/>
        <w:rPr>
          <w:rFonts w:ascii="宋体" w:hAnsi="宋体"/>
          <w:sz w:val="24"/>
        </w:rPr>
      </w:pPr>
      <w:r>
        <w:rPr>
          <w:rFonts w:hint="eastAsia" w:ascii="宋体" w:hAnsi="宋体"/>
          <w:sz w:val="24"/>
        </w:rPr>
        <w:t>法定代表人（或负责人）身份证</w:t>
      </w:r>
    </w:p>
    <w:p w14:paraId="0429A9E4">
      <w:pPr>
        <w:spacing w:line="560" w:lineRule="exact"/>
        <w:rPr>
          <w:rFonts w:ascii="宋体" w:hAnsi="宋体"/>
          <w:sz w:val="24"/>
        </w:rPr>
      </w:pPr>
      <w:r>
        <w:rPr>
          <w:rFonts w:hint="eastAsia" w:ascii="宋体" w:hAnsi="宋体"/>
          <w:sz w:val="24"/>
        </w:rPr>
        <w:t>（复印件）粘贴处</w:t>
      </w:r>
    </w:p>
    <w:p w14:paraId="4D674088">
      <w:pPr>
        <w:snapToGrid w:val="0"/>
        <w:spacing w:line="360" w:lineRule="auto"/>
        <w:rPr>
          <w:rFonts w:ascii="宋体" w:hAnsi="宋体"/>
          <w:b/>
          <w:sz w:val="24"/>
          <w:szCs w:val="28"/>
        </w:rPr>
      </w:pPr>
    </w:p>
    <w:p w14:paraId="259DAD2A"/>
    <w:p w14:paraId="2D08E49F">
      <w:pPr>
        <w:spacing w:line="360" w:lineRule="auto"/>
        <w:rPr>
          <w:rFonts w:ascii="宋体" w:hAnsi="宋体"/>
          <w:sz w:val="24"/>
        </w:rPr>
      </w:pPr>
      <w:r>
        <w:rPr>
          <w:rFonts w:hint="eastAsia" w:ascii="宋体" w:hAnsi="宋体"/>
          <w:sz w:val="24"/>
        </w:rPr>
        <w:t>备注：</w:t>
      </w:r>
    </w:p>
    <w:p w14:paraId="771E3525">
      <w:pPr>
        <w:spacing w:line="360" w:lineRule="auto"/>
        <w:rPr>
          <w:b/>
          <w:bCs/>
        </w:rPr>
      </w:pPr>
      <w:r>
        <w:rPr>
          <w:rFonts w:hint="eastAsia" w:ascii="宋体" w:hAnsi="宋体"/>
          <w:sz w:val="24"/>
        </w:rPr>
        <w:t>1、法定代表人（或负责人）参加响应的，提供法定代表人（或负责人）资格证明和本人身份证原件。</w:t>
      </w:r>
    </w:p>
    <w:p w14:paraId="0794E08C">
      <w:pPr>
        <w:rPr>
          <w:rFonts w:hint="eastAsia"/>
          <w:b/>
          <w:sz w:val="24"/>
          <w:szCs w:val="24"/>
        </w:rPr>
      </w:pPr>
    </w:p>
    <w:p w14:paraId="5CE9C6A6">
      <w:pPr>
        <w:rPr>
          <w:b/>
          <w:bCs/>
          <w:sz w:val="24"/>
          <w:szCs w:val="24"/>
        </w:rPr>
      </w:pPr>
      <w:r>
        <w:rPr>
          <w:rFonts w:hint="eastAsia"/>
          <w:b/>
          <w:sz w:val="24"/>
          <w:szCs w:val="24"/>
        </w:rPr>
        <w:t>附件三：</w:t>
      </w:r>
      <w:r>
        <w:rPr>
          <w:color w:val="000000"/>
          <w:sz w:val="24"/>
          <w:szCs w:val="24"/>
        </w:rPr>
        <w:t>（实质性格式）</w:t>
      </w:r>
    </w:p>
    <w:p w14:paraId="0F76B20A">
      <w:pPr>
        <w:spacing w:line="412" w:lineRule="auto"/>
        <w:jc w:val="center"/>
        <w:rPr>
          <w:rFonts w:ascii="宋体" w:hAnsi="宋体"/>
          <w:b/>
          <w:sz w:val="32"/>
          <w:szCs w:val="32"/>
        </w:rPr>
      </w:pPr>
      <w:r>
        <w:rPr>
          <w:rFonts w:hint="eastAsia" w:ascii="宋体" w:hAnsi="宋体"/>
          <w:b/>
          <w:sz w:val="32"/>
          <w:szCs w:val="32"/>
        </w:rPr>
        <w:t>授权委托书</w:t>
      </w:r>
    </w:p>
    <w:p w14:paraId="5798D40B">
      <w:pPr>
        <w:spacing w:line="360" w:lineRule="auto"/>
        <w:ind w:firstLine="480" w:firstLineChars="200"/>
        <w:rPr>
          <w:rFonts w:ascii="宋体" w:hAnsi="宋体"/>
          <w:sz w:val="24"/>
        </w:rPr>
      </w:pPr>
      <w:r>
        <w:rPr>
          <w:rFonts w:hint="eastAsia" w:ascii="宋体" w:hAnsi="宋体"/>
          <w:sz w:val="24"/>
        </w:rPr>
        <w:t>本授权委托书声明：___________________________（供应商名称）的_______________________（法定代表人或负责人姓名、职务）代表供应商授权_______________________（被授权人的姓名、职务）为</w:t>
      </w:r>
      <w:r>
        <w:rPr>
          <w:rFonts w:hint="eastAsia" w:ascii="宋体" w:hAnsi="宋体"/>
          <w:sz w:val="24"/>
          <w:u w:val="single"/>
        </w:rPr>
        <w:t xml:space="preserve">           （）</w:t>
      </w:r>
      <w:r>
        <w:rPr>
          <w:rFonts w:hint="eastAsia" w:ascii="宋体" w:hAnsi="宋体"/>
          <w:sz w:val="24"/>
        </w:rPr>
        <w:t>项目响应的合法代理人，全权负责参加本次政府遴选项目的响应、签订合约以及与之相关的各项工作。本供应商对代理人的所有签字负全部责任。</w:t>
      </w:r>
    </w:p>
    <w:p w14:paraId="1D0B7C7F">
      <w:pPr>
        <w:spacing w:line="360" w:lineRule="auto"/>
        <w:ind w:firstLine="480" w:firstLineChars="200"/>
        <w:rPr>
          <w:rFonts w:ascii="宋体" w:hAnsi="宋体"/>
          <w:sz w:val="24"/>
        </w:rPr>
      </w:pPr>
      <w:r>
        <w:rPr>
          <w:rFonts w:hint="eastAsia" w:ascii="宋体" w:hAnsi="宋体"/>
          <w:sz w:val="24"/>
        </w:rPr>
        <w:t>本授权书于__________年_______月________日签字生效，特此声明。</w:t>
      </w:r>
    </w:p>
    <w:p w14:paraId="5CB3C716">
      <w:pPr>
        <w:spacing w:line="360" w:lineRule="auto"/>
        <w:rPr>
          <w:rFonts w:ascii="宋体" w:hAnsi="宋体"/>
          <w:sz w:val="24"/>
        </w:rPr>
      </w:pPr>
    </w:p>
    <w:p w14:paraId="77E9849C">
      <w:pPr>
        <w:snapToGrid w:val="0"/>
        <w:spacing w:line="360" w:lineRule="auto"/>
        <w:rPr>
          <w:rFonts w:ascii="宋体" w:hAnsi="宋体"/>
          <w:sz w:val="24"/>
        </w:rPr>
      </w:pPr>
      <w:r>
        <w:rPr>
          <w:rFonts w:hint="eastAsia" w:ascii="宋体" w:hAnsi="宋体"/>
          <w:sz w:val="24"/>
        </w:rPr>
        <w:t>法定代表人（或负责人）签字或盖章：            日期：</w:t>
      </w:r>
    </w:p>
    <w:p w14:paraId="54914AE8">
      <w:pPr>
        <w:snapToGrid w:val="0"/>
        <w:spacing w:line="360" w:lineRule="auto"/>
        <w:rPr>
          <w:rFonts w:ascii="宋体" w:hAnsi="宋体"/>
          <w:sz w:val="24"/>
        </w:rPr>
      </w:pPr>
      <w:r>
        <w:rPr>
          <w:rFonts w:hint="eastAsia" w:ascii="宋体" w:hAnsi="宋体"/>
          <w:sz w:val="24"/>
        </w:rPr>
        <w:t>职务：                            联系电话：</w:t>
      </w:r>
    </w:p>
    <w:p w14:paraId="64F39865">
      <w:pPr>
        <w:snapToGrid w:val="0"/>
        <w:spacing w:line="360" w:lineRule="auto"/>
        <w:rPr>
          <w:rFonts w:ascii="宋体" w:hAnsi="宋体"/>
          <w:sz w:val="24"/>
        </w:rPr>
      </w:pPr>
      <w:r>
        <w:rPr>
          <w:rFonts w:hint="eastAsia" w:ascii="宋体" w:hAnsi="宋体"/>
          <w:sz w:val="24"/>
        </w:rPr>
        <w:t>单位名称：                         地址：</w:t>
      </w:r>
    </w:p>
    <w:p w14:paraId="702A4D08">
      <w:pPr>
        <w:snapToGrid w:val="0"/>
        <w:spacing w:line="360" w:lineRule="auto"/>
        <w:rPr>
          <w:rFonts w:ascii="宋体" w:hAnsi="宋体"/>
          <w:sz w:val="24"/>
        </w:rPr>
      </w:pPr>
      <w:r>
        <w:rPr>
          <w:rFonts w:hint="eastAsia" w:ascii="宋体" w:hAnsi="宋体"/>
          <w:sz w:val="24"/>
        </w:rPr>
        <w:t>身份证号码：</w:t>
      </w:r>
    </w:p>
    <w:p w14:paraId="21DA0CCA">
      <w:pPr>
        <w:snapToGrid w:val="0"/>
        <w:spacing w:line="360" w:lineRule="auto"/>
        <w:rPr>
          <w:rFonts w:ascii="宋体" w:hAnsi="宋体"/>
          <w:sz w:val="24"/>
        </w:rPr>
      </w:pPr>
      <w:r>
        <w:rPr>
          <w:rFonts w:hint="eastAsia" w:ascii="宋体" w:hAnsi="宋体"/>
          <w:sz w:val="24"/>
        </w:rPr>
        <w:t>委托代理人：                               日期：</w:t>
      </w:r>
    </w:p>
    <w:p w14:paraId="452975FA">
      <w:pPr>
        <w:snapToGrid w:val="0"/>
        <w:spacing w:line="360" w:lineRule="auto"/>
        <w:rPr>
          <w:rFonts w:ascii="宋体" w:hAnsi="宋体"/>
          <w:sz w:val="24"/>
        </w:rPr>
      </w:pPr>
      <w:r>
        <w:rPr>
          <w:rFonts w:hint="eastAsia" w:ascii="宋体" w:hAnsi="宋体"/>
          <w:sz w:val="24"/>
        </w:rPr>
        <w:t>职务：                           联系电话：</w:t>
      </w:r>
    </w:p>
    <w:p w14:paraId="629FD46E">
      <w:pPr>
        <w:snapToGrid w:val="0"/>
        <w:spacing w:line="360" w:lineRule="auto"/>
        <w:rPr>
          <w:rFonts w:ascii="宋体" w:hAnsi="宋体"/>
          <w:sz w:val="24"/>
        </w:rPr>
      </w:pPr>
      <w:r>
        <w:rPr>
          <w:rFonts w:hint="eastAsia" w:ascii="宋体" w:hAnsi="宋体"/>
          <w:sz w:val="24"/>
        </w:rPr>
        <w:t>单位名称：                         地址：</w:t>
      </w:r>
    </w:p>
    <w:p w14:paraId="28A56D48">
      <w:pPr>
        <w:snapToGrid w:val="0"/>
        <w:spacing w:line="360" w:lineRule="auto"/>
        <w:rPr>
          <w:rFonts w:ascii="宋体" w:hAnsi="宋体"/>
          <w:sz w:val="24"/>
        </w:rPr>
      </w:pPr>
      <w:r>
        <w:rPr>
          <w:rFonts w:hint="eastAsia" w:ascii="宋体" w:hAnsi="宋体"/>
          <w:sz w:val="24"/>
        </w:rPr>
        <w:t>身份证号码：</w:t>
      </w:r>
    </w:p>
    <w:p w14:paraId="6D5E3D84">
      <w:pPr>
        <w:snapToGrid w:val="0"/>
        <w:spacing w:line="360" w:lineRule="auto"/>
        <w:rPr>
          <w:rFonts w:ascii="宋体" w:hAnsi="宋体"/>
          <w:sz w:val="24"/>
        </w:rPr>
      </w:pPr>
      <w:r>
        <w:rPr>
          <w:rFonts w:hint="eastAsia" w:ascii="宋体" w:hAnsi="宋体"/>
          <w:sz w:val="24"/>
        </w:rPr>
        <w:t xml:space="preserve">供应商公章： </w:t>
      </w:r>
    </w:p>
    <w:p w14:paraId="536AF367">
      <w:pPr>
        <w:snapToGrid w:val="0"/>
        <w:spacing w:line="360" w:lineRule="auto"/>
        <w:rPr>
          <w:rFonts w:ascii="宋体" w:hAnsi="宋体"/>
          <w:sz w:val="24"/>
        </w:rPr>
      </w:pPr>
      <w:r>
        <w:rPr>
          <w:rFonts w:hint="eastAsia" w:ascii="宋体" w:hAnsi="宋体"/>
          <w:sz w:val="24"/>
        </w:rPr>
        <w:t>地址：                        联系电话：</w:t>
      </w:r>
    </w:p>
    <w:p w14:paraId="49089966">
      <w:pPr>
        <w:snapToGrid w:val="0"/>
        <w:spacing w:line="360" w:lineRule="auto"/>
        <w:rPr>
          <w:rFonts w:ascii="宋体" w:hAnsi="宋体"/>
          <w:sz w:val="24"/>
        </w:rPr>
      </w:pPr>
      <w:r>
        <w:rPr>
          <w:rFonts w:hint="eastAsia" w:ascii="宋体" w:hAnsi="宋体"/>
          <w:sz w:val="24"/>
        </w:rPr>
        <w:t>传真：                          邮编：</w:t>
      </w:r>
    </w:p>
    <w:p w14:paraId="69F1B5DE">
      <w:pPr>
        <w:snapToGrid w:val="0"/>
        <w:spacing w:line="360" w:lineRule="auto"/>
        <w:rPr>
          <w:rFonts w:ascii="宋体" w:hAnsi="宋体"/>
          <w:sz w:val="24"/>
        </w:rPr>
      </w:pPr>
    </w:p>
    <w:p w14:paraId="78DB015A">
      <w:pPr>
        <w:snapToGrid w:val="0"/>
        <w:spacing w:line="360" w:lineRule="auto"/>
        <w:rPr>
          <w:rFonts w:ascii="宋体" w:hAnsi="宋体"/>
          <w:sz w:val="24"/>
        </w:rPr>
      </w:pPr>
      <w:r>
        <w:rPr>
          <w:rFonts w:hint="eastAsia" w:ascii="宋体" w:hAnsi="宋体"/>
          <w:sz w:val="24"/>
        </w:rPr>
        <w:t>代理人身份证</w:t>
      </w:r>
    </w:p>
    <w:p w14:paraId="04CFD5A1">
      <w:pPr>
        <w:snapToGrid w:val="0"/>
        <w:spacing w:line="360" w:lineRule="auto"/>
        <w:rPr>
          <w:rFonts w:ascii="宋体" w:hAnsi="宋体"/>
          <w:sz w:val="24"/>
        </w:rPr>
      </w:pPr>
      <w:r>
        <w:rPr>
          <w:rFonts w:hint="eastAsia" w:ascii="宋体" w:hAnsi="宋体"/>
          <w:sz w:val="24"/>
        </w:rPr>
        <w:t>（复印件）粘贴处</w:t>
      </w:r>
    </w:p>
    <w:p w14:paraId="344345C0">
      <w:pPr>
        <w:spacing w:line="360" w:lineRule="auto"/>
        <w:rPr>
          <w:rFonts w:ascii="宋体" w:hAnsi="宋体"/>
          <w:sz w:val="24"/>
        </w:rPr>
      </w:pPr>
    </w:p>
    <w:p w14:paraId="13D79C70">
      <w:pPr>
        <w:spacing w:line="360" w:lineRule="auto"/>
        <w:rPr>
          <w:rFonts w:ascii="宋体" w:hAnsi="宋体"/>
          <w:sz w:val="24"/>
        </w:rPr>
      </w:pPr>
      <w:r>
        <w:rPr>
          <w:rFonts w:hint="eastAsia" w:ascii="宋体" w:hAnsi="宋体"/>
          <w:sz w:val="24"/>
        </w:rPr>
        <w:t>备注：</w:t>
      </w:r>
    </w:p>
    <w:p w14:paraId="51992551">
      <w:pPr>
        <w:spacing w:line="360" w:lineRule="auto"/>
        <w:rPr>
          <w:rFonts w:ascii="宋体" w:hAnsi="宋体"/>
          <w:sz w:val="24"/>
        </w:rPr>
      </w:pPr>
      <w:r>
        <w:rPr>
          <w:rFonts w:hint="eastAsia" w:ascii="宋体" w:hAnsi="宋体"/>
          <w:sz w:val="24"/>
        </w:rPr>
        <w:t>1、委托代理人参加响应的，提供授权委托书和本人身份证原件。</w:t>
      </w:r>
    </w:p>
    <w:p w14:paraId="7B3969D7">
      <w:pPr>
        <w:spacing w:line="440" w:lineRule="exact"/>
        <w:rPr>
          <w:rFonts w:ascii="宋体" w:hAnsi="宋体"/>
          <w:sz w:val="24"/>
        </w:rPr>
      </w:pPr>
    </w:p>
    <w:p w14:paraId="649E6001"/>
    <w:p w14:paraId="16A18113">
      <w:pPr>
        <w:pStyle w:val="2"/>
      </w:pPr>
    </w:p>
    <w:p w14:paraId="4541B2AC">
      <w:pPr>
        <w:pStyle w:val="2"/>
      </w:pPr>
    </w:p>
    <w:bookmarkEnd w:id="79"/>
    <w:bookmarkEnd w:id="80"/>
    <w:bookmarkEnd w:id="81"/>
    <w:p w14:paraId="2FFE1E73">
      <w:pPr>
        <w:jc w:val="center"/>
        <w:rPr>
          <w:rFonts w:ascii="宋体" w:hAnsi="宋体"/>
          <w:b/>
          <w:sz w:val="32"/>
          <w:szCs w:val="32"/>
        </w:rPr>
      </w:pPr>
      <w:bookmarkStart w:id="84" w:name="_Toc120614284"/>
      <w:r>
        <w:rPr>
          <w:rFonts w:hint="eastAsia" w:ascii="宋体" w:hAnsi="宋体"/>
          <w:b/>
          <w:sz w:val="32"/>
          <w:szCs w:val="32"/>
          <w:lang w:eastAsia="zh-CN"/>
        </w:rPr>
        <w:t>六</w:t>
      </w:r>
      <w:r>
        <w:rPr>
          <w:rFonts w:hint="eastAsia" w:ascii="宋体" w:hAnsi="宋体"/>
          <w:b/>
          <w:sz w:val="32"/>
          <w:szCs w:val="32"/>
        </w:rPr>
        <w:t>、技术和商务要求响应及偏离表</w:t>
      </w:r>
      <w:r>
        <w:rPr>
          <w:color w:val="000000"/>
          <w:sz w:val="24"/>
          <w:szCs w:val="20"/>
        </w:rPr>
        <w:t>（实质性格式）</w:t>
      </w:r>
    </w:p>
    <w:p w14:paraId="42E2F6F9">
      <w:pPr>
        <w:jc w:val="center"/>
        <w:rPr>
          <w:rFonts w:ascii="宋体" w:hAnsi="宋体"/>
          <w:b/>
          <w:sz w:val="32"/>
          <w:szCs w:val="32"/>
        </w:rPr>
      </w:pPr>
    </w:p>
    <w:tbl>
      <w:tblPr>
        <w:tblStyle w:val="16"/>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3291"/>
        <w:gridCol w:w="2852"/>
        <w:gridCol w:w="1308"/>
        <w:gridCol w:w="1173"/>
      </w:tblGrid>
      <w:tr w14:paraId="06AC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69" w:type="dxa"/>
            <w:gridSpan w:val="5"/>
            <w:vAlign w:val="center"/>
          </w:tcPr>
          <w:p w14:paraId="18297617">
            <w:pPr>
              <w:adjustRightInd w:val="0"/>
              <w:snapToGrid w:val="0"/>
              <w:jc w:val="left"/>
              <w:rPr>
                <w:b/>
                <w:color w:val="000000"/>
                <w:sz w:val="24"/>
              </w:rPr>
            </w:pPr>
            <w:r>
              <w:rPr>
                <w:rFonts w:hint="eastAsia"/>
                <w:b/>
                <w:color w:val="000000"/>
                <w:sz w:val="24"/>
              </w:rPr>
              <w:t>对本项目技术和商务要求条款的偏离情况（请进行勾选）：</w:t>
            </w:r>
          </w:p>
          <w:p w14:paraId="09A41CB6">
            <w:pPr>
              <w:adjustRightInd w:val="0"/>
              <w:snapToGrid w:val="0"/>
              <w:jc w:val="left"/>
              <w:rPr>
                <w:b/>
                <w:color w:val="000000"/>
                <w:sz w:val="24"/>
              </w:rPr>
            </w:pPr>
            <w:r>
              <w:rPr>
                <w:b/>
                <w:color w:val="000000"/>
                <w:sz w:val="24"/>
              </w:rPr>
              <w:t>□无偏离</w:t>
            </w:r>
            <w:r>
              <w:rPr>
                <w:color w:val="000000"/>
                <w:sz w:val="24"/>
              </w:rPr>
              <w:t>（如无偏离，仅勾选无偏离即可）</w:t>
            </w:r>
          </w:p>
          <w:p w14:paraId="77EE291D">
            <w:pPr>
              <w:rPr>
                <w:rFonts w:ascii="宋体" w:hAnsi="宋体"/>
                <w:sz w:val="24"/>
                <w:szCs w:val="24"/>
              </w:rPr>
            </w:pPr>
            <w:r>
              <w:rPr>
                <w:b/>
                <w:color w:val="000000"/>
                <w:sz w:val="24"/>
              </w:rPr>
              <w:t>□有偏离</w:t>
            </w:r>
            <w:r>
              <w:rPr>
                <w:color w:val="000000"/>
                <w:sz w:val="24"/>
              </w:rPr>
              <w:t>（如有</w:t>
            </w:r>
            <w:r>
              <w:rPr>
                <w:rFonts w:hint="eastAsia"/>
                <w:color w:val="000000"/>
                <w:sz w:val="24"/>
              </w:rPr>
              <w:t>超出或者</w:t>
            </w:r>
            <w:r>
              <w:rPr>
                <w:color w:val="000000"/>
                <w:sz w:val="24"/>
              </w:rPr>
              <w:t>偏离，则须在本表中对</w:t>
            </w:r>
            <w:r>
              <w:rPr>
                <w:rFonts w:hint="eastAsia"/>
                <w:color w:val="000000"/>
                <w:sz w:val="24"/>
              </w:rPr>
              <w:t>超出或者</w:t>
            </w:r>
            <w:r>
              <w:rPr>
                <w:color w:val="000000"/>
                <w:sz w:val="24"/>
              </w:rPr>
              <w:t>偏离项逐一列明</w:t>
            </w:r>
            <w:r>
              <w:rPr>
                <w:rFonts w:hint="eastAsia"/>
                <w:color w:val="000000"/>
                <w:sz w:val="24"/>
              </w:rPr>
              <w:t>，无偏离的无需列出</w:t>
            </w:r>
            <w:r>
              <w:rPr>
                <w:color w:val="000000"/>
                <w:sz w:val="24"/>
              </w:rPr>
              <w:t>）</w:t>
            </w:r>
          </w:p>
        </w:tc>
      </w:tr>
      <w:tr w14:paraId="324B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5" w:type="dxa"/>
            <w:vAlign w:val="center"/>
          </w:tcPr>
          <w:p w14:paraId="14E6BA28">
            <w:pPr>
              <w:jc w:val="center"/>
              <w:rPr>
                <w:rFonts w:ascii="宋体" w:hAnsi="宋体"/>
                <w:sz w:val="24"/>
                <w:szCs w:val="24"/>
              </w:rPr>
            </w:pPr>
            <w:r>
              <w:rPr>
                <w:rFonts w:hint="eastAsia" w:ascii="宋体" w:hAnsi="宋体"/>
                <w:sz w:val="24"/>
                <w:szCs w:val="24"/>
              </w:rPr>
              <w:t>序号</w:t>
            </w:r>
          </w:p>
        </w:tc>
        <w:tc>
          <w:tcPr>
            <w:tcW w:w="3291" w:type="dxa"/>
            <w:vAlign w:val="center"/>
          </w:tcPr>
          <w:p w14:paraId="728050F8">
            <w:pPr>
              <w:jc w:val="center"/>
              <w:rPr>
                <w:rFonts w:ascii="宋体" w:hAnsi="宋体"/>
                <w:sz w:val="24"/>
                <w:szCs w:val="24"/>
              </w:rPr>
            </w:pPr>
            <w:r>
              <w:rPr>
                <w:rFonts w:hint="eastAsia" w:ascii="宋体" w:hAnsi="宋体"/>
                <w:sz w:val="24"/>
                <w:szCs w:val="24"/>
              </w:rPr>
              <w:t>遴选文件要求</w:t>
            </w:r>
          </w:p>
        </w:tc>
        <w:tc>
          <w:tcPr>
            <w:tcW w:w="2852" w:type="dxa"/>
            <w:vAlign w:val="center"/>
          </w:tcPr>
          <w:p w14:paraId="3FAF1C06">
            <w:pPr>
              <w:jc w:val="center"/>
              <w:rPr>
                <w:rFonts w:ascii="宋体" w:hAnsi="宋体"/>
                <w:sz w:val="24"/>
                <w:szCs w:val="24"/>
              </w:rPr>
            </w:pPr>
            <w:r>
              <w:rPr>
                <w:rFonts w:hint="eastAsia" w:ascii="宋体" w:hAnsi="宋体"/>
                <w:sz w:val="24"/>
                <w:szCs w:val="24"/>
              </w:rPr>
              <w:t>响应情况</w:t>
            </w:r>
          </w:p>
        </w:tc>
        <w:tc>
          <w:tcPr>
            <w:tcW w:w="1308" w:type="dxa"/>
            <w:vAlign w:val="center"/>
          </w:tcPr>
          <w:p w14:paraId="3BD2FB9B">
            <w:pPr>
              <w:jc w:val="center"/>
              <w:rPr>
                <w:rFonts w:ascii="宋体" w:hAnsi="宋体"/>
                <w:sz w:val="24"/>
                <w:szCs w:val="24"/>
              </w:rPr>
            </w:pPr>
            <w:r>
              <w:rPr>
                <w:rFonts w:hint="eastAsia" w:ascii="宋体" w:hAnsi="宋体"/>
                <w:sz w:val="24"/>
                <w:szCs w:val="24"/>
              </w:rPr>
              <w:t>超出、</w:t>
            </w:r>
          </w:p>
          <w:p w14:paraId="280B3297">
            <w:pPr>
              <w:jc w:val="center"/>
              <w:rPr>
                <w:rFonts w:ascii="宋体" w:hAnsi="宋体"/>
                <w:sz w:val="24"/>
                <w:szCs w:val="24"/>
              </w:rPr>
            </w:pPr>
            <w:r>
              <w:rPr>
                <w:rFonts w:hint="eastAsia" w:ascii="宋体" w:hAnsi="宋体"/>
                <w:sz w:val="24"/>
                <w:szCs w:val="24"/>
              </w:rPr>
              <w:t>或偏离</w:t>
            </w:r>
          </w:p>
        </w:tc>
        <w:tc>
          <w:tcPr>
            <w:tcW w:w="1173" w:type="dxa"/>
            <w:vAlign w:val="center"/>
          </w:tcPr>
          <w:p w14:paraId="50A0970F">
            <w:pPr>
              <w:jc w:val="center"/>
              <w:rPr>
                <w:rFonts w:ascii="宋体" w:hAnsi="宋体"/>
                <w:sz w:val="24"/>
                <w:szCs w:val="24"/>
              </w:rPr>
            </w:pPr>
            <w:r>
              <w:rPr>
                <w:rFonts w:hint="eastAsia" w:ascii="宋体" w:hAnsi="宋体"/>
                <w:sz w:val="24"/>
                <w:szCs w:val="24"/>
              </w:rPr>
              <w:t>证明</w:t>
            </w:r>
          </w:p>
          <w:p w14:paraId="3BCFE9E0">
            <w:pPr>
              <w:jc w:val="center"/>
              <w:rPr>
                <w:rFonts w:ascii="宋体" w:hAnsi="宋体"/>
                <w:sz w:val="24"/>
                <w:szCs w:val="24"/>
              </w:rPr>
            </w:pPr>
            <w:r>
              <w:rPr>
                <w:rFonts w:hint="eastAsia" w:ascii="宋体" w:hAnsi="宋体"/>
                <w:sz w:val="24"/>
                <w:szCs w:val="24"/>
              </w:rPr>
              <w:t>材料</w:t>
            </w:r>
          </w:p>
        </w:tc>
      </w:tr>
      <w:tr w14:paraId="2BDF2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tcPr>
          <w:p w14:paraId="28707E2D">
            <w:pPr>
              <w:jc w:val="center"/>
              <w:rPr>
                <w:rFonts w:ascii="宋体" w:hAnsi="宋体"/>
                <w:sz w:val="24"/>
                <w:szCs w:val="24"/>
              </w:rPr>
            </w:pPr>
          </w:p>
        </w:tc>
        <w:tc>
          <w:tcPr>
            <w:tcW w:w="3291" w:type="dxa"/>
          </w:tcPr>
          <w:p w14:paraId="7EA544DB">
            <w:pPr>
              <w:jc w:val="center"/>
              <w:rPr>
                <w:rFonts w:ascii="宋体" w:hAnsi="宋体"/>
                <w:sz w:val="24"/>
                <w:szCs w:val="24"/>
              </w:rPr>
            </w:pPr>
          </w:p>
        </w:tc>
        <w:tc>
          <w:tcPr>
            <w:tcW w:w="2852" w:type="dxa"/>
          </w:tcPr>
          <w:p w14:paraId="254F94D3">
            <w:pPr>
              <w:jc w:val="center"/>
              <w:rPr>
                <w:rFonts w:ascii="宋体" w:hAnsi="宋体"/>
                <w:sz w:val="24"/>
                <w:szCs w:val="24"/>
              </w:rPr>
            </w:pPr>
          </w:p>
        </w:tc>
        <w:tc>
          <w:tcPr>
            <w:tcW w:w="1308" w:type="dxa"/>
          </w:tcPr>
          <w:p w14:paraId="790D2184">
            <w:pPr>
              <w:jc w:val="center"/>
              <w:rPr>
                <w:rFonts w:ascii="宋体" w:hAnsi="宋体"/>
                <w:sz w:val="24"/>
                <w:szCs w:val="24"/>
              </w:rPr>
            </w:pPr>
          </w:p>
        </w:tc>
        <w:tc>
          <w:tcPr>
            <w:tcW w:w="1173" w:type="dxa"/>
          </w:tcPr>
          <w:p w14:paraId="07CBAE02">
            <w:pPr>
              <w:jc w:val="center"/>
              <w:rPr>
                <w:rFonts w:ascii="宋体" w:hAnsi="宋体"/>
                <w:sz w:val="24"/>
                <w:szCs w:val="24"/>
              </w:rPr>
            </w:pPr>
          </w:p>
        </w:tc>
      </w:tr>
      <w:tr w14:paraId="37BF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tcPr>
          <w:p w14:paraId="2B40D0CF">
            <w:pPr>
              <w:jc w:val="center"/>
              <w:rPr>
                <w:rFonts w:ascii="宋体" w:hAnsi="宋体"/>
                <w:sz w:val="24"/>
                <w:szCs w:val="24"/>
              </w:rPr>
            </w:pPr>
          </w:p>
        </w:tc>
        <w:tc>
          <w:tcPr>
            <w:tcW w:w="3291" w:type="dxa"/>
          </w:tcPr>
          <w:p w14:paraId="70975A81">
            <w:pPr>
              <w:jc w:val="center"/>
              <w:rPr>
                <w:rFonts w:ascii="宋体" w:hAnsi="宋体"/>
                <w:sz w:val="24"/>
                <w:szCs w:val="24"/>
              </w:rPr>
            </w:pPr>
          </w:p>
        </w:tc>
        <w:tc>
          <w:tcPr>
            <w:tcW w:w="2852" w:type="dxa"/>
          </w:tcPr>
          <w:p w14:paraId="797807BD">
            <w:pPr>
              <w:jc w:val="center"/>
              <w:rPr>
                <w:rFonts w:ascii="宋体" w:hAnsi="宋体"/>
                <w:sz w:val="24"/>
                <w:szCs w:val="24"/>
              </w:rPr>
            </w:pPr>
          </w:p>
        </w:tc>
        <w:tc>
          <w:tcPr>
            <w:tcW w:w="1308" w:type="dxa"/>
          </w:tcPr>
          <w:p w14:paraId="0CCDC7B0">
            <w:pPr>
              <w:jc w:val="center"/>
              <w:rPr>
                <w:rFonts w:ascii="宋体" w:hAnsi="宋体"/>
                <w:sz w:val="24"/>
                <w:szCs w:val="24"/>
              </w:rPr>
            </w:pPr>
          </w:p>
        </w:tc>
        <w:tc>
          <w:tcPr>
            <w:tcW w:w="1173" w:type="dxa"/>
          </w:tcPr>
          <w:p w14:paraId="4D725F50">
            <w:pPr>
              <w:jc w:val="center"/>
              <w:rPr>
                <w:rFonts w:ascii="宋体" w:hAnsi="宋体"/>
                <w:sz w:val="24"/>
                <w:szCs w:val="24"/>
              </w:rPr>
            </w:pPr>
          </w:p>
        </w:tc>
      </w:tr>
      <w:tr w14:paraId="3330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tcPr>
          <w:p w14:paraId="42B7E6CA">
            <w:pPr>
              <w:jc w:val="center"/>
              <w:rPr>
                <w:rFonts w:ascii="宋体" w:hAnsi="宋体"/>
                <w:sz w:val="24"/>
                <w:szCs w:val="24"/>
              </w:rPr>
            </w:pPr>
          </w:p>
        </w:tc>
        <w:tc>
          <w:tcPr>
            <w:tcW w:w="3291" w:type="dxa"/>
          </w:tcPr>
          <w:p w14:paraId="241DA61B">
            <w:pPr>
              <w:jc w:val="center"/>
              <w:rPr>
                <w:rFonts w:ascii="宋体" w:hAnsi="宋体"/>
                <w:sz w:val="24"/>
                <w:szCs w:val="24"/>
              </w:rPr>
            </w:pPr>
          </w:p>
        </w:tc>
        <w:tc>
          <w:tcPr>
            <w:tcW w:w="2852" w:type="dxa"/>
          </w:tcPr>
          <w:p w14:paraId="207A21AB">
            <w:pPr>
              <w:jc w:val="center"/>
              <w:rPr>
                <w:rFonts w:ascii="宋体" w:hAnsi="宋体"/>
                <w:sz w:val="24"/>
                <w:szCs w:val="24"/>
              </w:rPr>
            </w:pPr>
          </w:p>
        </w:tc>
        <w:tc>
          <w:tcPr>
            <w:tcW w:w="1308" w:type="dxa"/>
          </w:tcPr>
          <w:p w14:paraId="086A5805">
            <w:pPr>
              <w:jc w:val="center"/>
              <w:rPr>
                <w:rFonts w:ascii="宋体" w:hAnsi="宋体"/>
                <w:sz w:val="24"/>
                <w:szCs w:val="24"/>
              </w:rPr>
            </w:pPr>
          </w:p>
        </w:tc>
        <w:tc>
          <w:tcPr>
            <w:tcW w:w="1173" w:type="dxa"/>
          </w:tcPr>
          <w:p w14:paraId="72BF6273">
            <w:pPr>
              <w:jc w:val="center"/>
              <w:rPr>
                <w:rFonts w:ascii="宋体" w:hAnsi="宋体"/>
                <w:sz w:val="24"/>
                <w:szCs w:val="24"/>
              </w:rPr>
            </w:pPr>
          </w:p>
        </w:tc>
      </w:tr>
      <w:tr w14:paraId="6B9F0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tcPr>
          <w:p w14:paraId="6FD65AA9">
            <w:pPr>
              <w:jc w:val="center"/>
              <w:rPr>
                <w:rFonts w:ascii="宋体" w:hAnsi="宋体"/>
                <w:sz w:val="24"/>
                <w:szCs w:val="24"/>
              </w:rPr>
            </w:pPr>
          </w:p>
        </w:tc>
        <w:tc>
          <w:tcPr>
            <w:tcW w:w="3291" w:type="dxa"/>
          </w:tcPr>
          <w:p w14:paraId="0D60F424">
            <w:pPr>
              <w:jc w:val="center"/>
              <w:rPr>
                <w:rFonts w:ascii="宋体" w:hAnsi="宋体"/>
                <w:sz w:val="24"/>
                <w:szCs w:val="24"/>
              </w:rPr>
            </w:pPr>
          </w:p>
        </w:tc>
        <w:tc>
          <w:tcPr>
            <w:tcW w:w="2852" w:type="dxa"/>
          </w:tcPr>
          <w:p w14:paraId="5B82CE89">
            <w:pPr>
              <w:jc w:val="center"/>
              <w:rPr>
                <w:rFonts w:ascii="宋体" w:hAnsi="宋体"/>
                <w:sz w:val="24"/>
                <w:szCs w:val="24"/>
              </w:rPr>
            </w:pPr>
          </w:p>
        </w:tc>
        <w:tc>
          <w:tcPr>
            <w:tcW w:w="1308" w:type="dxa"/>
          </w:tcPr>
          <w:p w14:paraId="443A4638">
            <w:pPr>
              <w:jc w:val="center"/>
              <w:rPr>
                <w:rFonts w:ascii="宋体" w:hAnsi="宋体"/>
                <w:sz w:val="24"/>
                <w:szCs w:val="24"/>
              </w:rPr>
            </w:pPr>
          </w:p>
        </w:tc>
        <w:tc>
          <w:tcPr>
            <w:tcW w:w="1173" w:type="dxa"/>
          </w:tcPr>
          <w:p w14:paraId="0AA4B421">
            <w:pPr>
              <w:jc w:val="center"/>
              <w:rPr>
                <w:rFonts w:ascii="宋体" w:hAnsi="宋体"/>
                <w:sz w:val="24"/>
                <w:szCs w:val="24"/>
              </w:rPr>
            </w:pPr>
          </w:p>
        </w:tc>
      </w:tr>
      <w:tr w14:paraId="4433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tcPr>
          <w:p w14:paraId="4F774930">
            <w:pPr>
              <w:jc w:val="center"/>
              <w:rPr>
                <w:rFonts w:ascii="宋体" w:hAnsi="宋体"/>
                <w:sz w:val="24"/>
                <w:szCs w:val="24"/>
              </w:rPr>
            </w:pPr>
          </w:p>
        </w:tc>
        <w:tc>
          <w:tcPr>
            <w:tcW w:w="3291" w:type="dxa"/>
          </w:tcPr>
          <w:p w14:paraId="2E3F8616">
            <w:pPr>
              <w:jc w:val="center"/>
              <w:rPr>
                <w:rFonts w:ascii="宋体" w:hAnsi="宋体"/>
                <w:sz w:val="24"/>
                <w:szCs w:val="24"/>
              </w:rPr>
            </w:pPr>
          </w:p>
        </w:tc>
        <w:tc>
          <w:tcPr>
            <w:tcW w:w="2852" w:type="dxa"/>
          </w:tcPr>
          <w:p w14:paraId="5607D70D">
            <w:pPr>
              <w:jc w:val="center"/>
              <w:rPr>
                <w:rFonts w:ascii="宋体" w:hAnsi="宋体"/>
                <w:sz w:val="24"/>
                <w:szCs w:val="24"/>
              </w:rPr>
            </w:pPr>
          </w:p>
        </w:tc>
        <w:tc>
          <w:tcPr>
            <w:tcW w:w="1308" w:type="dxa"/>
          </w:tcPr>
          <w:p w14:paraId="05D1FE7E">
            <w:pPr>
              <w:jc w:val="center"/>
              <w:rPr>
                <w:rFonts w:ascii="宋体" w:hAnsi="宋体"/>
                <w:sz w:val="24"/>
                <w:szCs w:val="24"/>
              </w:rPr>
            </w:pPr>
          </w:p>
        </w:tc>
        <w:tc>
          <w:tcPr>
            <w:tcW w:w="1173" w:type="dxa"/>
          </w:tcPr>
          <w:p w14:paraId="641CE969">
            <w:pPr>
              <w:jc w:val="center"/>
              <w:rPr>
                <w:rFonts w:ascii="宋体" w:hAnsi="宋体"/>
                <w:sz w:val="24"/>
                <w:szCs w:val="24"/>
              </w:rPr>
            </w:pPr>
          </w:p>
        </w:tc>
      </w:tr>
      <w:tr w14:paraId="341C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tcPr>
          <w:p w14:paraId="7D171F75">
            <w:pPr>
              <w:jc w:val="center"/>
              <w:rPr>
                <w:rFonts w:ascii="宋体" w:hAnsi="宋体"/>
                <w:sz w:val="24"/>
                <w:szCs w:val="24"/>
              </w:rPr>
            </w:pPr>
          </w:p>
        </w:tc>
        <w:tc>
          <w:tcPr>
            <w:tcW w:w="3291" w:type="dxa"/>
          </w:tcPr>
          <w:p w14:paraId="7B1EBA2B">
            <w:pPr>
              <w:jc w:val="center"/>
              <w:rPr>
                <w:rFonts w:ascii="宋体" w:hAnsi="宋体"/>
                <w:sz w:val="24"/>
                <w:szCs w:val="24"/>
              </w:rPr>
            </w:pPr>
          </w:p>
        </w:tc>
        <w:tc>
          <w:tcPr>
            <w:tcW w:w="2852" w:type="dxa"/>
          </w:tcPr>
          <w:p w14:paraId="64D90EC3">
            <w:pPr>
              <w:jc w:val="center"/>
              <w:rPr>
                <w:rFonts w:ascii="宋体" w:hAnsi="宋体"/>
                <w:sz w:val="24"/>
                <w:szCs w:val="24"/>
              </w:rPr>
            </w:pPr>
          </w:p>
        </w:tc>
        <w:tc>
          <w:tcPr>
            <w:tcW w:w="1308" w:type="dxa"/>
          </w:tcPr>
          <w:p w14:paraId="76183484">
            <w:pPr>
              <w:jc w:val="center"/>
              <w:rPr>
                <w:rFonts w:ascii="宋体" w:hAnsi="宋体"/>
                <w:sz w:val="24"/>
                <w:szCs w:val="24"/>
              </w:rPr>
            </w:pPr>
          </w:p>
        </w:tc>
        <w:tc>
          <w:tcPr>
            <w:tcW w:w="1173" w:type="dxa"/>
          </w:tcPr>
          <w:p w14:paraId="19A39874">
            <w:pPr>
              <w:jc w:val="center"/>
              <w:rPr>
                <w:rFonts w:ascii="宋体" w:hAnsi="宋体"/>
                <w:sz w:val="24"/>
                <w:szCs w:val="24"/>
              </w:rPr>
            </w:pPr>
          </w:p>
        </w:tc>
      </w:tr>
      <w:tr w14:paraId="5565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tcPr>
          <w:p w14:paraId="3CF17709">
            <w:pPr>
              <w:jc w:val="center"/>
              <w:rPr>
                <w:rFonts w:ascii="宋体" w:hAnsi="宋体"/>
                <w:sz w:val="24"/>
                <w:szCs w:val="24"/>
              </w:rPr>
            </w:pPr>
          </w:p>
        </w:tc>
        <w:tc>
          <w:tcPr>
            <w:tcW w:w="3291" w:type="dxa"/>
          </w:tcPr>
          <w:p w14:paraId="1670730F">
            <w:pPr>
              <w:jc w:val="center"/>
              <w:rPr>
                <w:rFonts w:ascii="宋体" w:hAnsi="宋体"/>
                <w:sz w:val="24"/>
                <w:szCs w:val="24"/>
              </w:rPr>
            </w:pPr>
          </w:p>
        </w:tc>
        <w:tc>
          <w:tcPr>
            <w:tcW w:w="2852" w:type="dxa"/>
          </w:tcPr>
          <w:p w14:paraId="72FAB14E">
            <w:pPr>
              <w:jc w:val="center"/>
              <w:rPr>
                <w:rFonts w:ascii="宋体" w:hAnsi="宋体"/>
                <w:sz w:val="24"/>
                <w:szCs w:val="24"/>
              </w:rPr>
            </w:pPr>
          </w:p>
        </w:tc>
        <w:tc>
          <w:tcPr>
            <w:tcW w:w="1308" w:type="dxa"/>
          </w:tcPr>
          <w:p w14:paraId="1670F9A5">
            <w:pPr>
              <w:jc w:val="center"/>
              <w:rPr>
                <w:rFonts w:ascii="宋体" w:hAnsi="宋体"/>
                <w:sz w:val="24"/>
                <w:szCs w:val="24"/>
              </w:rPr>
            </w:pPr>
          </w:p>
        </w:tc>
        <w:tc>
          <w:tcPr>
            <w:tcW w:w="1173" w:type="dxa"/>
          </w:tcPr>
          <w:p w14:paraId="0725EF9C">
            <w:pPr>
              <w:jc w:val="center"/>
              <w:rPr>
                <w:rFonts w:ascii="宋体" w:hAnsi="宋体"/>
                <w:sz w:val="24"/>
                <w:szCs w:val="24"/>
              </w:rPr>
            </w:pPr>
          </w:p>
        </w:tc>
      </w:tr>
      <w:tr w14:paraId="0278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tcPr>
          <w:p w14:paraId="3FFA1EA5">
            <w:pPr>
              <w:jc w:val="center"/>
              <w:rPr>
                <w:rFonts w:ascii="宋体" w:hAnsi="宋体"/>
                <w:sz w:val="24"/>
                <w:szCs w:val="24"/>
              </w:rPr>
            </w:pPr>
          </w:p>
        </w:tc>
        <w:tc>
          <w:tcPr>
            <w:tcW w:w="3291" w:type="dxa"/>
          </w:tcPr>
          <w:p w14:paraId="79766360">
            <w:pPr>
              <w:jc w:val="center"/>
              <w:rPr>
                <w:rFonts w:ascii="宋体" w:hAnsi="宋体"/>
                <w:sz w:val="24"/>
                <w:szCs w:val="24"/>
              </w:rPr>
            </w:pPr>
            <w:r>
              <w:rPr>
                <w:rFonts w:ascii="宋体" w:hAnsi="宋体"/>
                <w:sz w:val="24"/>
                <w:szCs w:val="24"/>
              </w:rPr>
              <w:t>……</w:t>
            </w:r>
          </w:p>
        </w:tc>
        <w:tc>
          <w:tcPr>
            <w:tcW w:w="2852" w:type="dxa"/>
          </w:tcPr>
          <w:p w14:paraId="4DCF45FF">
            <w:pPr>
              <w:jc w:val="center"/>
              <w:rPr>
                <w:rFonts w:ascii="宋体" w:hAnsi="宋体"/>
                <w:sz w:val="24"/>
                <w:szCs w:val="24"/>
              </w:rPr>
            </w:pPr>
          </w:p>
        </w:tc>
        <w:tc>
          <w:tcPr>
            <w:tcW w:w="1308" w:type="dxa"/>
          </w:tcPr>
          <w:p w14:paraId="23BD25AC">
            <w:pPr>
              <w:jc w:val="center"/>
              <w:rPr>
                <w:rFonts w:ascii="宋体" w:hAnsi="宋体"/>
                <w:sz w:val="24"/>
                <w:szCs w:val="24"/>
              </w:rPr>
            </w:pPr>
          </w:p>
        </w:tc>
        <w:tc>
          <w:tcPr>
            <w:tcW w:w="1173" w:type="dxa"/>
          </w:tcPr>
          <w:p w14:paraId="2A5B0FC0">
            <w:pPr>
              <w:jc w:val="center"/>
              <w:rPr>
                <w:rFonts w:ascii="宋体" w:hAnsi="宋体"/>
                <w:sz w:val="24"/>
                <w:szCs w:val="24"/>
              </w:rPr>
            </w:pPr>
          </w:p>
        </w:tc>
      </w:tr>
    </w:tbl>
    <w:p w14:paraId="5345BE56">
      <w:pPr>
        <w:widowControl/>
        <w:snapToGrid w:val="0"/>
        <w:rPr>
          <w:rFonts w:ascii="宋体" w:hAnsi="宋体" w:cs="宋体"/>
          <w:kern w:val="0"/>
          <w:sz w:val="24"/>
        </w:rPr>
      </w:pPr>
    </w:p>
    <w:p w14:paraId="35A3D5F7">
      <w:pPr>
        <w:widowControl/>
        <w:snapToGrid w:val="0"/>
        <w:spacing w:line="360" w:lineRule="auto"/>
        <w:rPr>
          <w:rFonts w:ascii="宋体" w:hAnsi="宋体" w:cs="宋体"/>
          <w:kern w:val="0"/>
          <w:sz w:val="24"/>
        </w:rPr>
      </w:pPr>
      <w:r>
        <w:rPr>
          <w:rFonts w:hint="eastAsia" w:ascii="宋体" w:hAnsi="宋体" w:cs="宋体"/>
          <w:kern w:val="0"/>
          <w:sz w:val="24"/>
        </w:rPr>
        <w:t>供应商名称（公章）：</w:t>
      </w:r>
    </w:p>
    <w:p w14:paraId="695444B6">
      <w:pPr>
        <w:snapToGrid w:val="0"/>
        <w:spacing w:line="360" w:lineRule="auto"/>
        <w:rPr>
          <w:rFonts w:ascii="宋体" w:hAnsi="宋体" w:cs="宋体"/>
          <w:sz w:val="24"/>
        </w:rPr>
      </w:pPr>
    </w:p>
    <w:p w14:paraId="60DCEE1B">
      <w:pPr>
        <w:adjustRightInd w:val="0"/>
        <w:snapToGrid w:val="0"/>
        <w:spacing w:line="360" w:lineRule="auto"/>
        <w:rPr>
          <w:rFonts w:ascii="宋体" w:hAnsi="宋体"/>
          <w:color w:val="FF0000"/>
          <w:sz w:val="24"/>
        </w:rPr>
      </w:pPr>
      <w:r>
        <w:rPr>
          <w:rFonts w:hint="eastAsia" w:ascii="宋体" w:hAnsi="宋体" w:cs="宋体"/>
          <w:sz w:val="24"/>
        </w:rPr>
        <w:t>注：</w:t>
      </w:r>
      <w:r>
        <w:rPr>
          <w:rFonts w:hint="eastAsia" w:ascii="宋体" w:hAnsi="宋体" w:cs="宋体"/>
          <w:sz w:val="24"/>
          <w:lang w:val="zh-CN"/>
        </w:rPr>
        <w:t>请各位供应商按照以上表格形式逐项应答配置要求内容，有偏离的在</w:t>
      </w:r>
      <w:r>
        <w:rPr>
          <w:rFonts w:hint="eastAsia" w:ascii="宋体" w:hAnsi="宋体" w:cs="宋体"/>
          <w:sz w:val="24"/>
        </w:rPr>
        <w:t>偏离值一栏内如实填写“超出或偏离”。</w:t>
      </w:r>
    </w:p>
    <w:p w14:paraId="16A7628B">
      <w:pPr>
        <w:jc w:val="center"/>
        <w:rPr>
          <w:rFonts w:ascii="黑体" w:hAnsi="Arial" w:eastAsia="黑体"/>
          <w:b/>
          <w:sz w:val="36"/>
        </w:rPr>
      </w:pPr>
    </w:p>
    <w:p w14:paraId="2E7C3514">
      <w:pPr>
        <w:jc w:val="center"/>
        <w:rPr>
          <w:rFonts w:ascii="黑体" w:hAnsi="Arial" w:eastAsia="黑体"/>
          <w:b/>
          <w:sz w:val="36"/>
        </w:rPr>
      </w:pPr>
    </w:p>
    <w:p w14:paraId="6E0D1E26">
      <w:pPr>
        <w:jc w:val="center"/>
        <w:rPr>
          <w:rFonts w:ascii="黑体" w:hAnsi="Arial" w:eastAsia="黑体"/>
          <w:b/>
          <w:sz w:val="36"/>
        </w:rPr>
      </w:pPr>
    </w:p>
    <w:p w14:paraId="084A8880">
      <w:pPr>
        <w:jc w:val="center"/>
        <w:rPr>
          <w:rFonts w:ascii="黑体" w:hAnsi="Arial" w:eastAsia="黑体"/>
          <w:b/>
          <w:sz w:val="36"/>
        </w:rPr>
      </w:pPr>
    </w:p>
    <w:p w14:paraId="2E63512C">
      <w:pPr>
        <w:rPr>
          <w:rFonts w:ascii="黑体" w:hAnsi="Arial" w:eastAsia="黑体"/>
          <w:sz w:val="32"/>
        </w:rPr>
      </w:pPr>
    </w:p>
    <w:bookmarkEnd w:id="84"/>
    <w:p w14:paraId="1AB80D3A">
      <w:pPr>
        <w:jc w:val="center"/>
        <w:rPr>
          <w:rFonts w:ascii="宋体" w:hAnsi="宋体"/>
          <w:b/>
          <w:sz w:val="32"/>
          <w:szCs w:val="32"/>
        </w:rPr>
      </w:pPr>
      <w:bookmarkStart w:id="85" w:name="_Hlt26955066"/>
      <w:bookmarkEnd w:id="85"/>
      <w:bookmarkStart w:id="86" w:name="_Hlt26955054"/>
      <w:bookmarkEnd w:id="86"/>
      <w:bookmarkStart w:id="87" w:name="_Hlt26671374"/>
      <w:bookmarkEnd w:id="87"/>
      <w:bookmarkStart w:id="88" w:name="_Hlt26609389"/>
      <w:bookmarkEnd w:id="88"/>
      <w:bookmarkStart w:id="89" w:name="_格式2__法定代表人授权书"/>
      <w:bookmarkEnd w:id="89"/>
      <w:bookmarkStart w:id="90" w:name="_Toc120614283"/>
      <w:bookmarkStart w:id="91" w:name="_Toc26554095"/>
      <w:bookmarkStart w:id="92" w:name="_Toc49090577"/>
      <w:bookmarkStart w:id="93" w:name="_Toc22356580"/>
      <w:bookmarkStart w:id="94" w:name="_Toc460901585"/>
      <w:bookmarkStart w:id="95" w:name="_Toc23828478"/>
      <w:bookmarkStart w:id="96" w:name="_Toc513029276"/>
      <w:r>
        <w:rPr>
          <w:rFonts w:hint="eastAsia" w:ascii="宋体" w:hAnsi="宋体"/>
          <w:b/>
          <w:sz w:val="32"/>
          <w:szCs w:val="32"/>
          <w:lang w:eastAsia="zh-CN"/>
        </w:rPr>
        <w:t>七</w:t>
      </w:r>
      <w:r>
        <w:rPr>
          <w:rFonts w:hint="eastAsia" w:ascii="宋体" w:hAnsi="宋体"/>
          <w:b/>
          <w:sz w:val="32"/>
          <w:szCs w:val="32"/>
        </w:rPr>
        <w:t>、</w:t>
      </w:r>
      <w:bookmarkEnd w:id="90"/>
      <w:bookmarkEnd w:id="91"/>
      <w:bookmarkEnd w:id="92"/>
      <w:bookmarkEnd w:id="93"/>
      <w:bookmarkEnd w:id="94"/>
      <w:bookmarkEnd w:id="95"/>
      <w:bookmarkEnd w:id="96"/>
      <w:r>
        <w:rPr>
          <w:rFonts w:hint="eastAsia" w:ascii="宋体" w:hAnsi="宋体"/>
          <w:b/>
          <w:sz w:val="32"/>
          <w:szCs w:val="32"/>
        </w:rPr>
        <w:t>项目实施方案等</w:t>
      </w:r>
    </w:p>
    <w:p w14:paraId="21E02078">
      <w:pPr>
        <w:jc w:val="center"/>
        <w:rPr>
          <w:rFonts w:ascii="宋体" w:hAnsi="宋体"/>
          <w:b/>
          <w:sz w:val="32"/>
          <w:szCs w:val="32"/>
        </w:rPr>
      </w:pPr>
    </w:p>
    <w:p w14:paraId="2E4A707D">
      <w:pPr>
        <w:snapToGrid w:val="0"/>
        <w:spacing w:line="560" w:lineRule="exact"/>
        <w:ind w:firstLine="560" w:firstLineChars="200"/>
        <w:rPr>
          <w:rFonts w:ascii="宋体" w:hAnsi="宋体" w:cs="Arial"/>
          <w:sz w:val="28"/>
          <w:szCs w:val="28"/>
        </w:rPr>
      </w:pPr>
      <w:r>
        <w:rPr>
          <w:rFonts w:hint="eastAsia" w:ascii="宋体" w:hAnsi="宋体" w:cs="Arial"/>
          <w:sz w:val="28"/>
          <w:szCs w:val="28"/>
        </w:rPr>
        <w:t>应当包括但不限于如下主题：</w:t>
      </w:r>
    </w:p>
    <w:p w14:paraId="3C599886">
      <w:pPr>
        <w:pStyle w:val="5"/>
        <w:ind w:firstLine="560"/>
        <w:rPr>
          <w:rFonts w:ascii="宋体" w:hAnsi="宋体" w:cs="Arial"/>
          <w:sz w:val="28"/>
          <w:szCs w:val="28"/>
        </w:rPr>
      </w:pPr>
      <w:r>
        <w:rPr>
          <w:rFonts w:hint="eastAsia" w:ascii="宋体" w:hAnsi="宋体" w:cs="Arial"/>
          <w:sz w:val="28"/>
          <w:szCs w:val="28"/>
        </w:rPr>
        <w:t>1）基层服务网络；</w:t>
      </w:r>
    </w:p>
    <w:p w14:paraId="2862EC61">
      <w:pPr>
        <w:pStyle w:val="5"/>
        <w:ind w:firstLine="560"/>
        <w:rPr>
          <w:rFonts w:ascii="宋体" w:hAnsi="宋体" w:cs="Arial"/>
          <w:sz w:val="28"/>
          <w:szCs w:val="28"/>
        </w:rPr>
      </w:pPr>
      <w:r>
        <w:rPr>
          <w:rFonts w:hint="eastAsia" w:ascii="宋体" w:hAnsi="宋体" w:cs="Arial"/>
          <w:sz w:val="28"/>
          <w:szCs w:val="28"/>
        </w:rPr>
        <w:t>2）专业服务人员；</w:t>
      </w:r>
    </w:p>
    <w:p w14:paraId="0F73665C">
      <w:pPr>
        <w:pStyle w:val="5"/>
        <w:ind w:firstLine="560"/>
        <w:rPr>
          <w:rFonts w:ascii="宋体" w:hAnsi="宋体" w:cs="Arial"/>
          <w:sz w:val="28"/>
          <w:szCs w:val="28"/>
        </w:rPr>
      </w:pPr>
      <w:r>
        <w:rPr>
          <w:rFonts w:hint="eastAsia" w:ascii="宋体" w:hAnsi="宋体" w:cs="Arial"/>
          <w:sz w:val="28"/>
          <w:szCs w:val="28"/>
        </w:rPr>
        <w:t>3）协保体系建设；</w:t>
      </w:r>
    </w:p>
    <w:p w14:paraId="4F5FCB6A">
      <w:pPr>
        <w:pStyle w:val="5"/>
        <w:ind w:firstLine="560"/>
        <w:rPr>
          <w:rFonts w:ascii="宋体" w:hAnsi="宋体" w:cs="Arial"/>
          <w:sz w:val="28"/>
          <w:szCs w:val="28"/>
        </w:rPr>
      </w:pPr>
      <w:r>
        <w:rPr>
          <w:rFonts w:hint="eastAsia" w:ascii="宋体" w:hAnsi="宋体" w:cs="Arial"/>
          <w:sz w:val="28"/>
          <w:szCs w:val="28"/>
        </w:rPr>
        <w:t>4）科技赋能；</w:t>
      </w:r>
    </w:p>
    <w:p w14:paraId="55FE7D06">
      <w:pPr>
        <w:pStyle w:val="5"/>
        <w:ind w:firstLine="560"/>
        <w:rPr>
          <w:rFonts w:hint="eastAsia" w:ascii="宋体" w:hAnsi="宋体" w:cs="Arial"/>
          <w:sz w:val="28"/>
          <w:szCs w:val="28"/>
        </w:rPr>
      </w:pPr>
      <w:r>
        <w:rPr>
          <w:rFonts w:hint="eastAsia" w:ascii="宋体" w:hAnsi="宋体" w:cs="Arial"/>
          <w:sz w:val="28"/>
          <w:szCs w:val="28"/>
        </w:rPr>
        <w:t>5）服务装备；</w:t>
      </w:r>
    </w:p>
    <w:p w14:paraId="469AE879">
      <w:pPr>
        <w:pStyle w:val="5"/>
        <w:ind w:firstLine="560"/>
        <w:rPr>
          <w:rFonts w:hint="eastAsia" w:ascii="宋体" w:hAnsi="宋体" w:cs="Arial"/>
          <w:sz w:val="28"/>
          <w:szCs w:val="28"/>
          <w:lang w:val="en-US" w:eastAsia="zh-CN"/>
        </w:rPr>
      </w:pPr>
      <w:r>
        <w:rPr>
          <w:rFonts w:hint="eastAsia" w:ascii="宋体" w:hAnsi="宋体" w:cs="Arial"/>
          <w:sz w:val="28"/>
          <w:szCs w:val="28"/>
          <w:lang w:val="en-US" w:eastAsia="zh-CN"/>
        </w:rPr>
        <w:t>6）承保理赔方案</w:t>
      </w:r>
    </w:p>
    <w:p w14:paraId="445640F1">
      <w:pPr>
        <w:pStyle w:val="5"/>
        <w:ind w:firstLine="560"/>
        <w:rPr>
          <w:rFonts w:hint="eastAsia" w:ascii="宋体" w:hAnsi="宋体" w:cs="Arial"/>
          <w:sz w:val="28"/>
          <w:szCs w:val="28"/>
        </w:rPr>
      </w:pPr>
      <w:r>
        <w:rPr>
          <w:rFonts w:hint="eastAsia" w:ascii="宋体" w:hAnsi="宋体" w:cs="Arial"/>
          <w:sz w:val="28"/>
          <w:szCs w:val="28"/>
          <w:lang w:val="en-US" w:eastAsia="zh-CN"/>
        </w:rPr>
        <w:t>7）</w:t>
      </w:r>
      <w:r>
        <w:rPr>
          <w:rFonts w:hint="eastAsia" w:ascii="宋体" w:hAnsi="宋体" w:cs="Arial"/>
          <w:sz w:val="28"/>
          <w:szCs w:val="28"/>
        </w:rPr>
        <w:t>服务创新方案</w:t>
      </w:r>
    </w:p>
    <w:p w14:paraId="557967B2">
      <w:pPr>
        <w:pStyle w:val="5"/>
        <w:ind w:firstLine="560"/>
        <w:rPr>
          <w:rFonts w:ascii="宋体" w:hAnsi="宋体" w:cs="Arial"/>
          <w:sz w:val="28"/>
          <w:szCs w:val="28"/>
        </w:rPr>
      </w:pPr>
      <w:r>
        <w:rPr>
          <w:rFonts w:hint="eastAsia" w:ascii="宋体" w:hAnsi="宋体" w:cs="Arial"/>
          <w:sz w:val="28"/>
          <w:szCs w:val="28"/>
          <w:lang w:val="en-US" w:eastAsia="zh-CN"/>
        </w:rPr>
        <w:t>8</w:t>
      </w:r>
      <w:r>
        <w:rPr>
          <w:rFonts w:hint="eastAsia" w:ascii="宋体" w:hAnsi="宋体" w:cs="Arial"/>
          <w:sz w:val="28"/>
          <w:szCs w:val="28"/>
        </w:rPr>
        <w:t>）其他。</w:t>
      </w:r>
    </w:p>
    <w:p w14:paraId="7A6A2C84">
      <w:pPr>
        <w:pStyle w:val="5"/>
        <w:ind w:firstLine="560"/>
        <w:rPr>
          <w:rFonts w:ascii="宋体" w:hAnsi="宋体" w:cs="Arial"/>
          <w:sz w:val="28"/>
          <w:szCs w:val="28"/>
        </w:rPr>
      </w:pPr>
    </w:p>
    <w:p w14:paraId="6A9C20FA">
      <w:pPr>
        <w:jc w:val="center"/>
        <w:rPr>
          <w:rFonts w:ascii="宋体" w:hAnsi="宋体"/>
          <w:b/>
          <w:sz w:val="32"/>
          <w:szCs w:val="32"/>
        </w:rPr>
      </w:pPr>
      <w:r>
        <w:rPr>
          <w:rFonts w:hint="eastAsia" w:ascii="宋体" w:hAnsi="宋体"/>
          <w:bCs/>
          <w:kern w:val="0"/>
          <w:sz w:val="32"/>
          <w:szCs w:val="32"/>
        </w:rPr>
        <w:br w:type="page"/>
      </w:r>
      <w:r>
        <w:rPr>
          <w:rFonts w:hint="eastAsia" w:ascii="宋体" w:hAnsi="宋体"/>
          <w:b/>
          <w:sz w:val="32"/>
          <w:szCs w:val="32"/>
          <w:lang w:eastAsia="zh-CN"/>
        </w:rPr>
        <w:t>八</w:t>
      </w:r>
      <w:r>
        <w:rPr>
          <w:rFonts w:hint="eastAsia" w:ascii="宋体" w:hAnsi="宋体"/>
          <w:b/>
          <w:sz w:val="32"/>
          <w:szCs w:val="32"/>
        </w:rPr>
        <w:t>、其他评审相关材料</w:t>
      </w:r>
    </w:p>
    <w:p w14:paraId="02AA0173">
      <w:pPr>
        <w:jc w:val="center"/>
        <w:rPr>
          <w:rFonts w:ascii="宋体" w:hAnsi="宋体"/>
          <w:b/>
          <w:sz w:val="32"/>
          <w:szCs w:val="32"/>
        </w:rPr>
      </w:pPr>
    </w:p>
    <w:p w14:paraId="4F063819">
      <w:pPr>
        <w:snapToGrid w:val="0"/>
        <w:spacing w:line="560" w:lineRule="exact"/>
        <w:ind w:firstLine="560" w:firstLineChars="200"/>
        <w:rPr>
          <w:rFonts w:ascii="宋体" w:hAnsi="宋体" w:cs="Arial"/>
          <w:sz w:val="28"/>
          <w:szCs w:val="28"/>
        </w:rPr>
      </w:pPr>
      <w:r>
        <w:rPr>
          <w:rFonts w:hint="eastAsia" w:ascii="宋体" w:hAnsi="宋体" w:cs="Arial"/>
          <w:sz w:val="28"/>
          <w:szCs w:val="28"/>
        </w:rPr>
        <w:t>1）供应商依据评分办法应提交的各类证明资料，过时不予接收，未提供的评审中将不予计分；</w:t>
      </w:r>
    </w:p>
    <w:p w14:paraId="3CA2EE14">
      <w:pPr>
        <w:snapToGrid w:val="0"/>
        <w:spacing w:line="560" w:lineRule="exact"/>
        <w:ind w:firstLine="560" w:firstLineChars="200"/>
        <w:rPr>
          <w:rFonts w:ascii="宋体" w:hAnsi="宋体" w:cs="Arial"/>
          <w:sz w:val="28"/>
          <w:szCs w:val="28"/>
        </w:rPr>
      </w:pPr>
      <w:r>
        <w:rPr>
          <w:rFonts w:hint="eastAsia" w:ascii="宋体" w:hAnsi="宋体" w:cs="Arial"/>
          <w:sz w:val="28"/>
          <w:szCs w:val="28"/>
        </w:rPr>
        <w:t>2）典型项目合同；</w:t>
      </w:r>
    </w:p>
    <w:p w14:paraId="3EB4B29F">
      <w:pPr>
        <w:snapToGrid w:val="0"/>
        <w:spacing w:line="560" w:lineRule="exact"/>
        <w:ind w:firstLine="560" w:firstLineChars="200"/>
        <w:rPr>
          <w:rFonts w:ascii="宋体" w:hAnsi="宋体" w:cs="Arial"/>
          <w:sz w:val="28"/>
          <w:szCs w:val="28"/>
        </w:rPr>
      </w:pPr>
      <w:r>
        <w:rPr>
          <w:rFonts w:hint="eastAsia" w:ascii="宋体" w:hAnsi="宋体" w:cs="Arial"/>
          <w:sz w:val="28"/>
          <w:szCs w:val="28"/>
          <w:lang w:val="en-US" w:eastAsia="zh-CN"/>
        </w:rPr>
        <w:t>3</w:t>
      </w:r>
      <w:r>
        <w:rPr>
          <w:rFonts w:hint="eastAsia" w:ascii="宋体" w:hAnsi="宋体" w:cs="Arial"/>
          <w:sz w:val="28"/>
          <w:szCs w:val="28"/>
        </w:rPr>
        <w:t>）供应商相关荣誉证明资料；</w:t>
      </w:r>
    </w:p>
    <w:p w14:paraId="353564F0">
      <w:pPr>
        <w:snapToGrid w:val="0"/>
        <w:spacing w:line="560" w:lineRule="exact"/>
        <w:ind w:firstLine="560" w:firstLineChars="200"/>
        <w:rPr>
          <w:rFonts w:ascii="宋体" w:hAnsi="宋体" w:cs="Arial"/>
          <w:sz w:val="28"/>
          <w:szCs w:val="28"/>
        </w:rPr>
      </w:pPr>
      <w:r>
        <w:rPr>
          <w:rFonts w:hint="eastAsia" w:ascii="宋体" w:hAnsi="宋体" w:cs="Arial"/>
          <w:sz w:val="28"/>
          <w:szCs w:val="28"/>
          <w:lang w:val="en-US" w:eastAsia="zh-CN"/>
        </w:rPr>
        <w:t>4</w:t>
      </w:r>
      <w:r>
        <w:rPr>
          <w:rFonts w:hint="eastAsia" w:ascii="宋体" w:hAnsi="宋体" w:cs="Arial"/>
          <w:sz w:val="28"/>
          <w:szCs w:val="28"/>
        </w:rPr>
        <w:t>）其他供应商认为需要提供的相关材料。</w:t>
      </w:r>
    </w:p>
    <w:p w14:paraId="5C6E2999"/>
    <w:p w14:paraId="093EA754"/>
    <w:p w14:paraId="43A605B3"/>
    <w:p w14:paraId="5335891B"/>
    <w:p w14:paraId="47D9ABEC"/>
    <w:p w14:paraId="04A551C8"/>
    <w:p w14:paraId="553F1F5A"/>
    <w:p w14:paraId="71A29449"/>
    <w:p w14:paraId="051FB780"/>
    <w:p w14:paraId="2CCF4A18"/>
    <w:p w14:paraId="275A5516"/>
    <w:p w14:paraId="4F7EE2B7"/>
    <w:p w14:paraId="51CC6963"/>
    <w:p w14:paraId="29F3CBD0"/>
    <w:p w14:paraId="08DEC408"/>
    <w:p w14:paraId="651315BC"/>
    <w:p w14:paraId="2835BB4B"/>
    <w:p w14:paraId="305EF899"/>
    <w:p w14:paraId="4673E2F1"/>
    <w:p w14:paraId="66D61DD3"/>
    <w:p w14:paraId="3F432588"/>
    <w:p w14:paraId="0E03B23E"/>
    <w:p w14:paraId="3ED9B436"/>
    <w:p w14:paraId="706F832A">
      <w:pPr>
        <w:pStyle w:val="2"/>
      </w:pPr>
    </w:p>
    <w:p w14:paraId="7362E10B">
      <w:pPr>
        <w:pStyle w:val="2"/>
      </w:pPr>
    </w:p>
    <w:p w14:paraId="638D15BE">
      <w:pPr>
        <w:pStyle w:val="2"/>
      </w:pPr>
    </w:p>
    <w:p w14:paraId="581E98F5">
      <w:pPr>
        <w:pStyle w:val="2"/>
      </w:pPr>
    </w:p>
    <w:p w14:paraId="2DBE1F68">
      <w:pPr>
        <w:pStyle w:val="2"/>
      </w:pPr>
    </w:p>
    <w:p w14:paraId="40E36498"/>
    <w:p w14:paraId="6E96E10D"/>
    <w:p w14:paraId="2D4494A7"/>
    <w:p w14:paraId="3981AC28">
      <w:pPr>
        <w:rPr>
          <w:b/>
          <w:bCs/>
        </w:rPr>
      </w:pPr>
      <w:bookmarkStart w:id="97" w:name="_Toc288738397"/>
      <w:bookmarkStart w:id="98" w:name="_Toc288738839"/>
      <w:r>
        <w:rPr>
          <w:rFonts w:hint="eastAsia"/>
          <w:b/>
        </w:rPr>
        <w:t>附件</w:t>
      </w:r>
      <w:r>
        <w:rPr>
          <w:rFonts w:hint="eastAsia"/>
          <w:b/>
          <w:lang w:eastAsia="zh-CN"/>
        </w:rPr>
        <w:t>四</w:t>
      </w:r>
      <w:r>
        <w:rPr>
          <w:rFonts w:hint="eastAsia"/>
          <w:b/>
        </w:rPr>
        <w:t>：</w:t>
      </w:r>
    </w:p>
    <w:p w14:paraId="3EB64396">
      <w:pPr>
        <w:spacing w:line="360" w:lineRule="auto"/>
        <w:jc w:val="center"/>
        <w:rPr>
          <w:rFonts w:ascii="宋体" w:hAnsi="宋体"/>
          <w:b/>
          <w:sz w:val="32"/>
          <w:szCs w:val="32"/>
        </w:rPr>
      </w:pPr>
      <w:r>
        <w:rPr>
          <w:rFonts w:hint="eastAsia" w:ascii="宋体" w:hAnsi="宋体"/>
          <w:b/>
          <w:sz w:val="32"/>
          <w:szCs w:val="32"/>
        </w:rPr>
        <w:t>相关业绩案例一览表</w:t>
      </w:r>
      <w:bookmarkEnd w:id="97"/>
      <w:bookmarkEnd w:id="98"/>
    </w:p>
    <w:p w14:paraId="714BAF26">
      <w:pPr>
        <w:snapToGrid w:val="0"/>
        <w:spacing w:line="360" w:lineRule="auto"/>
        <w:jc w:val="center"/>
        <w:rPr>
          <w:rFonts w:ascii="宋体" w:hAnsi="宋体"/>
          <w:b/>
          <w:sz w:val="28"/>
          <w:szCs w:val="30"/>
        </w:rPr>
      </w:pPr>
    </w:p>
    <w:p w14:paraId="7F8B46F4">
      <w:pPr>
        <w:snapToGrid w:val="0"/>
        <w:spacing w:line="360" w:lineRule="auto"/>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p>
    <w:tbl>
      <w:tblPr>
        <w:tblStyle w:val="16"/>
        <w:tblW w:w="8520" w:type="dxa"/>
        <w:jc w:val="center"/>
        <w:tblLayout w:type="fixed"/>
        <w:tblCellMar>
          <w:top w:w="0" w:type="dxa"/>
          <w:left w:w="108" w:type="dxa"/>
          <w:bottom w:w="0" w:type="dxa"/>
          <w:right w:w="108" w:type="dxa"/>
        </w:tblCellMar>
      </w:tblPr>
      <w:tblGrid>
        <w:gridCol w:w="793"/>
        <w:gridCol w:w="1681"/>
        <w:gridCol w:w="1521"/>
        <w:gridCol w:w="1198"/>
        <w:gridCol w:w="1730"/>
        <w:gridCol w:w="1597"/>
      </w:tblGrid>
      <w:tr w14:paraId="00BB07A3">
        <w:tblPrEx>
          <w:tblCellMar>
            <w:top w:w="0" w:type="dxa"/>
            <w:left w:w="108" w:type="dxa"/>
            <w:bottom w:w="0" w:type="dxa"/>
            <w:right w:w="108" w:type="dxa"/>
          </w:tblCellMar>
        </w:tblPrEx>
        <w:trPr>
          <w:trHeight w:val="498" w:hRule="atLeast"/>
          <w:jc w:val="center"/>
        </w:trPr>
        <w:tc>
          <w:tcPr>
            <w:tcW w:w="793" w:type="dxa"/>
            <w:tcBorders>
              <w:top w:val="single" w:color="auto" w:sz="6" w:space="0"/>
              <w:left w:val="single" w:color="auto" w:sz="6" w:space="0"/>
              <w:bottom w:val="single" w:color="auto" w:sz="6" w:space="0"/>
              <w:right w:val="single" w:color="auto" w:sz="6" w:space="0"/>
            </w:tcBorders>
            <w:vAlign w:val="center"/>
          </w:tcPr>
          <w:p w14:paraId="1D2DEC1D">
            <w:pPr>
              <w:tabs>
                <w:tab w:val="left" w:pos="9765"/>
              </w:tabs>
              <w:autoSpaceDE w:val="0"/>
              <w:autoSpaceDN w:val="0"/>
              <w:adjustRightInd w:val="0"/>
              <w:snapToGrid w:val="0"/>
              <w:spacing w:line="360" w:lineRule="auto"/>
              <w:jc w:val="center"/>
              <w:rPr>
                <w:rFonts w:ascii="宋体" w:hAnsi="宋体" w:cs="宋体"/>
                <w:sz w:val="24"/>
                <w:lang w:val="zh-CN"/>
              </w:rPr>
            </w:pPr>
            <w:r>
              <w:rPr>
                <w:rFonts w:hint="eastAsia" w:ascii="宋体" w:hAnsi="宋体" w:cs="宋体"/>
                <w:sz w:val="24"/>
                <w:lang w:val="zh-CN"/>
              </w:rPr>
              <w:t>年度</w:t>
            </w:r>
          </w:p>
        </w:tc>
        <w:tc>
          <w:tcPr>
            <w:tcW w:w="1681" w:type="dxa"/>
            <w:tcBorders>
              <w:top w:val="single" w:color="auto" w:sz="6" w:space="0"/>
              <w:left w:val="single" w:color="auto" w:sz="6" w:space="0"/>
              <w:bottom w:val="single" w:color="auto" w:sz="6" w:space="0"/>
              <w:right w:val="single" w:color="auto" w:sz="6" w:space="0"/>
            </w:tcBorders>
            <w:vAlign w:val="center"/>
          </w:tcPr>
          <w:p w14:paraId="05C7D68D">
            <w:pPr>
              <w:tabs>
                <w:tab w:val="left" w:pos="9765"/>
              </w:tabs>
              <w:autoSpaceDE w:val="0"/>
              <w:autoSpaceDN w:val="0"/>
              <w:adjustRightInd w:val="0"/>
              <w:snapToGrid w:val="0"/>
              <w:spacing w:line="360" w:lineRule="auto"/>
              <w:jc w:val="center"/>
              <w:rPr>
                <w:rFonts w:ascii="宋体" w:hAnsi="宋体" w:cs="宋体"/>
                <w:sz w:val="24"/>
                <w:lang w:val="zh-CN"/>
              </w:rPr>
            </w:pPr>
            <w:r>
              <w:rPr>
                <w:rFonts w:hint="eastAsia" w:ascii="宋体" w:hAnsi="宋体" w:cs="宋体"/>
                <w:sz w:val="24"/>
                <w:lang w:val="zh-CN"/>
              </w:rPr>
              <w:t>项目建设单位</w:t>
            </w:r>
          </w:p>
        </w:tc>
        <w:tc>
          <w:tcPr>
            <w:tcW w:w="1521" w:type="dxa"/>
            <w:tcBorders>
              <w:top w:val="single" w:color="auto" w:sz="6" w:space="0"/>
              <w:left w:val="single" w:color="auto" w:sz="6" w:space="0"/>
              <w:bottom w:val="single" w:color="auto" w:sz="6" w:space="0"/>
              <w:right w:val="single" w:color="auto" w:sz="6" w:space="0"/>
            </w:tcBorders>
            <w:vAlign w:val="center"/>
          </w:tcPr>
          <w:p w14:paraId="5E7E93AC">
            <w:pPr>
              <w:tabs>
                <w:tab w:val="left" w:pos="9765"/>
              </w:tabs>
              <w:autoSpaceDE w:val="0"/>
              <w:autoSpaceDN w:val="0"/>
              <w:adjustRightInd w:val="0"/>
              <w:snapToGrid w:val="0"/>
              <w:spacing w:line="360" w:lineRule="auto"/>
              <w:jc w:val="center"/>
              <w:rPr>
                <w:rFonts w:ascii="宋体" w:hAnsi="宋体" w:cs="宋体"/>
                <w:sz w:val="24"/>
                <w:lang w:val="zh-CN"/>
              </w:rPr>
            </w:pPr>
            <w:r>
              <w:rPr>
                <w:rFonts w:hint="eastAsia" w:ascii="宋体" w:hAnsi="宋体" w:cs="宋体"/>
                <w:sz w:val="24"/>
                <w:lang w:val="zh-CN"/>
              </w:rPr>
              <w:t>项目名称</w:t>
            </w:r>
          </w:p>
        </w:tc>
        <w:tc>
          <w:tcPr>
            <w:tcW w:w="1198" w:type="dxa"/>
            <w:tcBorders>
              <w:top w:val="single" w:color="auto" w:sz="6" w:space="0"/>
              <w:left w:val="single" w:color="auto" w:sz="6" w:space="0"/>
              <w:bottom w:val="single" w:color="auto" w:sz="6" w:space="0"/>
              <w:right w:val="single" w:color="auto" w:sz="6" w:space="0"/>
            </w:tcBorders>
            <w:vAlign w:val="center"/>
          </w:tcPr>
          <w:p w14:paraId="38F40D05">
            <w:pPr>
              <w:tabs>
                <w:tab w:val="left" w:pos="9765"/>
              </w:tabs>
              <w:autoSpaceDE w:val="0"/>
              <w:autoSpaceDN w:val="0"/>
              <w:adjustRightInd w:val="0"/>
              <w:snapToGrid w:val="0"/>
              <w:spacing w:line="360" w:lineRule="auto"/>
              <w:jc w:val="center"/>
              <w:rPr>
                <w:rFonts w:ascii="宋体" w:hAnsi="宋体" w:cs="宋体"/>
                <w:sz w:val="24"/>
                <w:lang w:val="zh-CN"/>
              </w:rPr>
            </w:pPr>
            <w:r>
              <w:rPr>
                <w:rFonts w:hint="eastAsia" w:ascii="宋体" w:hAnsi="宋体" w:cs="宋体"/>
                <w:sz w:val="24"/>
                <w:lang w:val="zh-CN"/>
              </w:rPr>
              <w:t>合同金额</w:t>
            </w:r>
          </w:p>
        </w:tc>
        <w:tc>
          <w:tcPr>
            <w:tcW w:w="1730" w:type="dxa"/>
            <w:tcBorders>
              <w:top w:val="single" w:color="auto" w:sz="6" w:space="0"/>
              <w:left w:val="single" w:color="auto" w:sz="6" w:space="0"/>
              <w:bottom w:val="single" w:color="auto" w:sz="6" w:space="0"/>
              <w:right w:val="single" w:color="auto" w:sz="6" w:space="0"/>
            </w:tcBorders>
            <w:vAlign w:val="center"/>
          </w:tcPr>
          <w:p w14:paraId="05A44300">
            <w:pPr>
              <w:tabs>
                <w:tab w:val="left" w:pos="9765"/>
              </w:tabs>
              <w:autoSpaceDE w:val="0"/>
              <w:autoSpaceDN w:val="0"/>
              <w:adjustRightInd w:val="0"/>
              <w:snapToGrid w:val="0"/>
              <w:spacing w:line="360" w:lineRule="auto"/>
              <w:jc w:val="center"/>
              <w:rPr>
                <w:rFonts w:ascii="宋体" w:hAnsi="宋体" w:cs="宋体"/>
                <w:sz w:val="24"/>
                <w:lang w:val="zh-CN"/>
              </w:rPr>
            </w:pPr>
            <w:r>
              <w:rPr>
                <w:rFonts w:hint="eastAsia" w:ascii="宋体" w:hAnsi="宋体" w:cs="宋体"/>
                <w:sz w:val="24"/>
                <w:lang w:val="zh-CN"/>
              </w:rPr>
              <w:t>单位地址</w:t>
            </w:r>
          </w:p>
        </w:tc>
        <w:tc>
          <w:tcPr>
            <w:tcW w:w="1597" w:type="dxa"/>
            <w:tcBorders>
              <w:top w:val="single" w:color="auto" w:sz="6" w:space="0"/>
              <w:left w:val="single" w:color="auto" w:sz="6" w:space="0"/>
              <w:bottom w:val="single" w:color="auto" w:sz="6" w:space="0"/>
              <w:right w:val="single" w:color="auto" w:sz="6" w:space="0"/>
            </w:tcBorders>
            <w:vAlign w:val="center"/>
          </w:tcPr>
          <w:p w14:paraId="09AB03BC">
            <w:pPr>
              <w:tabs>
                <w:tab w:val="left" w:pos="9765"/>
              </w:tabs>
              <w:autoSpaceDE w:val="0"/>
              <w:autoSpaceDN w:val="0"/>
              <w:adjustRightInd w:val="0"/>
              <w:snapToGrid w:val="0"/>
              <w:spacing w:line="360" w:lineRule="auto"/>
              <w:jc w:val="center"/>
              <w:rPr>
                <w:rFonts w:ascii="宋体" w:hAnsi="宋体" w:cs="宋体"/>
                <w:sz w:val="24"/>
                <w:lang w:val="zh-CN"/>
              </w:rPr>
            </w:pPr>
            <w:r>
              <w:rPr>
                <w:rFonts w:hint="eastAsia" w:ascii="宋体" w:hAnsi="宋体" w:cs="宋体"/>
                <w:sz w:val="24"/>
                <w:lang w:val="zh-CN"/>
              </w:rPr>
              <w:t>联系电话</w:t>
            </w:r>
          </w:p>
        </w:tc>
      </w:tr>
      <w:tr w14:paraId="684BCC96">
        <w:tblPrEx>
          <w:tblCellMar>
            <w:top w:w="0" w:type="dxa"/>
            <w:left w:w="108" w:type="dxa"/>
            <w:bottom w:w="0" w:type="dxa"/>
            <w:right w:w="108" w:type="dxa"/>
          </w:tblCellMar>
        </w:tblPrEx>
        <w:trPr>
          <w:jc w:val="center"/>
        </w:trPr>
        <w:tc>
          <w:tcPr>
            <w:tcW w:w="793" w:type="dxa"/>
            <w:tcBorders>
              <w:top w:val="single" w:color="auto" w:sz="6" w:space="0"/>
              <w:left w:val="single" w:color="auto" w:sz="6" w:space="0"/>
              <w:bottom w:val="single" w:color="auto" w:sz="6" w:space="0"/>
              <w:right w:val="single" w:color="auto" w:sz="6" w:space="0"/>
            </w:tcBorders>
            <w:vAlign w:val="center"/>
          </w:tcPr>
          <w:p w14:paraId="22209E81">
            <w:pPr>
              <w:tabs>
                <w:tab w:val="left" w:pos="9765"/>
              </w:tabs>
              <w:autoSpaceDE w:val="0"/>
              <w:autoSpaceDN w:val="0"/>
              <w:adjustRightInd w:val="0"/>
              <w:snapToGrid w:val="0"/>
              <w:spacing w:line="360" w:lineRule="auto"/>
              <w:jc w:val="center"/>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vAlign w:val="center"/>
          </w:tcPr>
          <w:p w14:paraId="586D8DBC">
            <w:pPr>
              <w:tabs>
                <w:tab w:val="left" w:pos="9765"/>
              </w:tabs>
              <w:autoSpaceDE w:val="0"/>
              <w:autoSpaceDN w:val="0"/>
              <w:adjustRightInd w:val="0"/>
              <w:snapToGrid w:val="0"/>
              <w:spacing w:line="360" w:lineRule="auto"/>
              <w:jc w:val="center"/>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vAlign w:val="center"/>
          </w:tcPr>
          <w:p w14:paraId="7DE34696">
            <w:pPr>
              <w:tabs>
                <w:tab w:val="left" w:pos="9765"/>
              </w:tabs>
              <w:autoSpaceDE w:val="0"/>
              <w:autoSpaceDN w:val="0"/>
              <w:adjustRightInd w:val="0"/>
              <w:snapToGrid w:val="0"/>
              <w:spacing w:line="360" w:lineRule="auto"/>
              <w:jc w:val="center"/>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vAlign w:val="center"/>
          </w:tcPr>
          <w:p w14:paraId="1317F68F">
            <w:pPr>
              <w:tabs>
                <w:tab w:val="left" w:pos="9765"/>
              </w:tabs>
              <w:autoSpaceDE w:val="0"/>
              <w:autoSpaceDN w:val="0"/>
              <w:adjustRightInd w:val="0"/>
              <w:snapToGrid w:val="0"/>
              <w:spacing w:line="360" w:lineRule="auto"/>
              <w:jc w:val="center"/>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vAlign w:val="center"/>
          </w:tcPr>
          <w:p w14:paraId="195A8E6A">
            <w:pPr>
              <w:tabs>
                <w:tab w:val="left" w:pos="9765"/>
              </w:tabs>
              <w:autoSpaceDE w:val="0"/>
              <w:autoSpaceDN w:val="0"/>
              <w:adjustRightInd w:val="0"/>
              <w:snapToGrid w:val="0"/>
              <w:spacing w:line="360" w:lineRule="auto"/>
              <w:ind w:hanging="523"/>
              <w:jc w:val="center"/>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vAlign w:val="center"/>
          </w:tcPr>
          <w:p w14:paraId="42163068">
            <w:pPr>
              <w:tabs>
                <w:tab w:val="left" w:pos="9765"/>
              </w:tabs>
              <w:autoSpaceDE w:val="0"/>
              <w:autoSpaceDN w:val="0"/>
              <w:adjustRightInd w:val="0"/>
              <w:snapToGrid w:val="0"/>
              <w:spacing w:line="360" w:lineRule="auto"/>
              <w:ind w:hanging="523"/>
              <w:jc w:val="center"/>
              <w:rPr>
                <w:rFonts w:ascii="宋体" w:hAnsi="宋体" w:cs="宋体"/>
                <w:sz w:val="24"/>
              </w:rPr>
            </w:pPr>
          </w:p>
        </w:tc>
      </w:tr>
      <w:tr w14:paraId="1F1E03FC">
        <w:tblPrEx>
          <w:tblCellMar>
            <w:top w:w="0" w:type="dxa"/>
            <w:left w:w="108" w:type="dxa"/>
            <w:bottom w:w="0" w:type="dxa"/>
            <w:right w:w="108" w:type="dxa"/>
          </w:tblCellMar>
        </w:tblPrEx>
        <w:trPr>
          <w:jc w:val="center"/>
        </w:trPr>
        <w:tc>
          <w:tcPr>
            <w:tcW w:w="793" w:type="dxa"/>
            <w:tcBorders>
              <w:top w:val="single" w:color="auto" w:sz="6" w:space="0"/>
              <w:left w:val="single" w:color="auto" w:sz="6" w:space="0"/>
              <w:bottom w:val="single" w:color="auto" w:sz="6" w:space="0"/>
              <w:right w:val="single" w:color="auto" w:sz="6" w:space="0"/>
            </w:tcBorders>
          </w:tcPr>
          <w:p w14:paraId="3EF48948">
            <w:pPr>
              <w:tabs>
                <w:tab w:val="left" w:pos="9765"/>
              </w:tabs>
              <w:autoSpaceDE w:val="0"/>
              <w:autoSpaceDN w:val="0"/>
              <w:adjustRightInd w:val="0"/>
              <w:snapToGrid w:val="0"/>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tcPr>
          <w:p w14:paraId="4643737C">
            <w:pPr>
              <w:tabs>
                <w:tab w:val="left" w:pos="9765"/>
              </w:tabs>
              <w:autoSpaceDE w:val="0"/>
              <w:autoSpaceDN w:val="0"/>
              <w:adjustRightInd w:val="0"/>
              <w:snapToGrid w:val="0"/>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tcPr>
          <w:p w14:paraId="24B23E34">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14:paraId="650928C8">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14:paraId="2B6E5CF8">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14:paraId="43F1678A">
            <w:pPr>
              <w:tabs>
                <w:tab w:val="left" w:pos="9765"/>
              </w:tabs>
              <w:autoSpaceDE w:val="0"/>
              <w:autoSpaceDN w:val="0"/>
              <w:adjustRightInd w:val="0"/>
              <w:snapToGrid w:val="0"/>
              <w:spacing w:line="360" w:lineRule="auto"/>
              <w:rPr>
                <w:rFonts w:ascii="宋体" w:hAnsi="宋体" w:cs="宋体"/>
                <w:sz w:val="24"/>
              </w:rPr>
            </w:pPr>
          </w:p>
        </w:tc>
      </w:tr>
      <w:tr w14:paraId="11C64861">
        <w:tblPrEx>
          <w:tblCellMar>
            <w:top w:w="0" w:type="dxa"/>
            <w:left w:w="108" w:type="dxa"/>
            <w:bottom w:w="0" w:type="dxa"/>
            <w:right w:w="108" w:type="dxa"/>
          </w:tblCellMar>
        </w:tblPrEx>
        <w:trPr>
          <w:jc w:val="center"/>
        </w:trPr>
        <w:tc>
          <w:tcPr>
            <w:tcW w:w="793" w:type="dxa"/>
            <w:tcBorders>
              <w:top w:val="single" w:color="auto" w:sz="6" w:space="0"/>
              <w:left w:val="single" w:color="auto" w:sz="6" w:space="0"/>
              <w:bottom w:val="single" w:color="auto" w:sz="6" w:space="0"/>
              <w:right w:val="single" w:color="auto" w:sz="6" w:space="0"/>
            </w:tcBorders>
          </w:tcPr>
          <w:p w14:paraId="5D8B8EC5">
            <w:pPr>
              <w:tabs>
                <w:tab w:val="left" w:pos="9765"/>
              </w:tabs>
              <w:autoSpaceDE w:val="0"/>
              <w:autoSpaceDN w:val="0"/>
              <w:adjustRightInd w:val="0"/>
              <w:snapToGrid w:val="0"/>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tcPr>
          <w:p w14:paraId="4DF10C8F">
            <w:pPr>
              <w:tabs>
                <w:tab w:val="left" w:pos="9765"/>
              </w:tabs>
              <w:autoSpaceDE w:val="0"/>
              <w:autoSpaceDN w:val="0"/>
              <w:adjustRightInd w:val="0"/>
              <w:snapToGrid w:val="0"/>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tcPr>
          <w:p w14:paraId="337BA07E">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14:paraId="28C8D3BF">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14:paraId="3B701549">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14:paraId="55ED759F">
            <w:pPr>
              <w:tabs>
                <w:tab w:val="left" w:pos="9765"/>
              </w:tabs>
              <w:autoSpaceDE w:val="0"/>
              <w:autoSpaceDN w:val="0"/>
              <w:adjustRightInd w:val="0"/>
              <w:snapToGrid w:val="0"/>
              <w:spacing w:line="360" w:lineRule="auto"/>
              <w:rPr>
                <w:rFonts w:ascii="宋体" w:hAnsi="宋体" w:cs="宋体"/>
                <w:sz w:val="24"/>
              </w:rPr>
            </w:pPr>
          </w:p>
        </w:tc>
      </w:tr>
      <w:tr w14:paraId="5244BAF4">
        <w:tblPrEx>
          <w:tblCellMar>
            <w:top w:w="0" w:type="dxa"/>
            <w:left w:w="108" w:type="dxa"/>
            <w:bottom w:w="0" w:type="dxa"/>
            <w:right w:w="108" w:type="dxa"/>
          </w:tblCellMar>
        </w:tblPrEx>
        <w:trPr>
          <w:jc w:val="center"/>
        </w:trPr>
        <w:tc>
          <w:tcPr>
            <w:tcW w:w="793" w:type="dxa"/>
            <w:tcBorders>
              <w:top w:val="single" w:color="auto" w:sz="6" w:space="0"/>
              <w:left w:val="single" w:color="auto" w:sz="6" w:space="0"/>
              <w:bottom w:val="single" w:color="auto" w:sz="6" w:space="0"/>
              <w:right w:val="single" w:color="auto" w:sz="6" w:space="0"/>
            </w:tcBorders>
          </w:tcPr>
          <w:p w14:paraId="7ED36F20">
            <w:pPr>
              <w:tabs>
                <w:tab w:val="left" w:pos="9765"/>
              </w:tabs>
              <w:autoSpaceDE w:val="0"/>
              <w:autoSpaceDN w:val="0"/>
              <w:adjustRightInd w:val="0"/>
              <w:snapToGrid w:val="0"/>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tcPr>
          <w:p w14:paraId="105B202E">
            <w:pPr>
              <w:tabs>
                <w:tab w:val="left" w:pos="9765"/>
              </w:tabs>
              <w:autoSpaceDE w:val="0"/>
              <w:autoSpaceDN w:val="0"/>
              <w:adjustRightInd w:val="0"/>
              <w:snapToGrid w:val="0"/>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tcPr>
          <w:p w14:paraId="12EE3A70">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14:paraId="5844973A">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14:paraId="5A6A8348">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14:paraId="433B3A9F">
            <w:pPr>
              <w:tabs>
                <w:tab w:val="left" w:pos="9765"/>
              </w:tabs>
              <w:autoSpaceDE w:val="0"/>
              <w:autoSpaceDN w:val="0"/>
              <w:adjustRightInd w:val="0"/>
              <w:snapToGrid w:val="0"/>
              <w:spacing w:line="360" w:lineRule="auto"/>
              <w:rPr>
                <w:rFonts w:ascii="宋体" w:hAnsi="宋体" w:cs="宋体"/>
                <w:sz w:val="24"/>
              </w:rPr>
            </w:pPr>
          </w:p>
        </w:tc>
      </w:tr>
      <w:tr w14:paraId="0EC7941B">
        <w:tblPrEx>
          <w:tblCellMar>
            <w:top w:w="0" w:type="dxa"/>
            <w:left w:w="108" w:type="dxa"/>
            <w:bottom w:w="0" w:type="dxa"/>
            <w:right w:w="108" w:type="dxa"/>
          </w:tblCellMar>
        </w:tblPrEx>
        <w:trPr>
          <w:jc w:val="center"/>
        </w:trPr>
        <w:tc>
          <w:tcPr>
            <w:tcW w:w="793" w:type="dxa"/>
            <w:tcBorders>
              <w:top w:val="single" w:color="auto" w:sz="6" w:space="0"/>
              <w:left w:val="single" w:color="auto" w:sz="6" w:space="0"/>
              <w:bottom w:val="single" w:color="auto" w:sz="6" w:space="0"/>
              <w:right w:val="single" w:color="auto" w:sz="6" w:space="0"/>
            </w:tcBorders>
          </w:tcPr>
          <w:p w14:paraId="31C510A3">
            <w:pPr>
              <w:tabs>
                <w:tab w:val="left" w:pos="9765"/>
              </w:tabs>
              <w:autoSpaceDE w:val="0"/>
              <w:autoSpaceDN w:val="0"/>
              <w:adjustRightInd w:val="0"/>
              <w:snapToGrid w:val="0"/>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tcPr>
          <w:p w14:paraId="701C0990">
            <w:pPr>
              <w:tabs>
                <w:tab w:val="left" w:pos="9765"/>
              </w:tabs>
              <w:autoSpaceDE w:val="0"/>
              <w:autoSpaceDN w:val="0"/>
              <w:adjustRightInd w:val="0"/>
              <w:snapToGrid w:val="0"/>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tcPr>
          <w:p w14:paraId="7EA7DD08">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14:paraId="08D788B3">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14:paraId="4FA3FA31">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14:paraId="60C2085C">
            <w:pPr>
              <w:tabs>
                <w:tab w:val="left" w:pos="9765"/>
              </w:tabs>
              <w:autoSpaceDE w:val="0"/>
              <w:autoSpaceDN w:val="0"/>
              <w:adjustRightInd w:val="0"/>
              <w:snapToGrid w:val="0"/>
              <w:spacing w:line="360" w:lineRule="auto"/>
              <w:rPr>
                <w:rFonts w:ascii="宋体" w:hAnsi="宋体" w:cs="宋体"/>
                <w:sz w:val="24"/>
              </w:rPr>
            </w:pPr>
          </w:p>
        </w:tc>
      </w:tr>
      <w:tr w14:paraId="084865B9">
        <w:tblPrEx>
          <w:tblCellMar>
            <w:top w:w="0" w:type="dxa"/>
            <w:left w:w="108" w:type="dxa"/>
            <w:bottom w:w="0" w:type="dxa"/>
            <w:right w:w="108" w:type="dxa"/>
          </w:tblCellMar>
        </w:tblPrEx>
        <w:trPr>
          <w:jc w:val="center"/>
        </w:trPr>
        <w:tc>
          <w:tcPr>
            <w:tcW w:w="793" w:type="dxa"/>
            <w:tcBorders>
              <w:top w:val="single" w:color="auto" w:sz="6" w:space="0"/>
              <w:left w:val="single" w:color="auto" w:sz="6" w:space="0"/>
              <w:bottom w:val="single" w:color="auto" w:sz="6" w:space="0"/>
              <w:right w:val="single" w:color="auto" w:sz="6" w:space="0"/>
            </w:tcBorders>
          </w:tcPr>
          <w:p w14:paraId="19898BC1">
            <w:pPr>
              <w:tabs>
                <w:tab w:val="left" w:pos="9765"/>
              </w:tabs>
              <w:autoSpaceDE w:val="0"/>
              <w:autoSpaceDN w:val="0"/>
              <w:adjustRightInd w:val="0"/>
              <w:snapToGrid w:val="0"/>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tcPr>
          <w:p w14:paraId="4CC32A94">
            <w:pPr>
              <w:tabs>
                <w:tab w:val="left" w:pos="9765"/>
              </w:tabs>
              <w:autoSpaceDE w:val="0"/>
              <w:autoSpaceDN w:val="0"/>
              <w:adjustRightInd w:val="0"/>
              <w:snapToGrid w:val="0"/>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tcPr>
          <w:p w14:paraId="764543D5">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14:paraId="5A483AF0">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14:paraId="2009ED12">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14:paraId="37D883E3">
            <w:pPr>
              <w:tabs>
                <w:tab w:val="left" w:pos="9765"/>
              </w:tabs>
              <w:autoSpaceDE w:val="0"/>
              <w:autoSpaceDN w:val="0"/>
              <w:adjustRightInd w:val="0"/>
              <w:snapToGrid w:val="0"/>
              <w:spacing w:line="360" w:lineRule="auto"/>
              <w:rPr>
                <w:rFonts w:ascii="宋体" w:hAnsi="宋体" w:cs="宋体"/>
                <w:sz w:val="24"/>
              </w:rPr>
            </w:pPr>
          </w:p>
        </w:tc>
      </w:tr>
      <w:tr w14:paraId="0C585EE1">
        <w:tblPrEx>
          <w:tblCellMar>
            <w:top w:w="0" w:type="dxa"/>
            <w:left w:w="108" w:type="dxa"/>
            <w:bottom w:w="0" w:type="dxa"/>
            <w:right w:w="108" w:type="dxa"/>
          </w:tblCellMar>
        </w:tblPrEx>
        <w:trPr>
          <w:jc w:val="center"/>
        </w:trPr>
        <w:tc>
          <w:tcPr>
            <w:tcW w:w="793" w:type="dxa"/>
            <w:tcBorders>
              <w:top w:val="single" w:color="auto" w:sz="6" w:space="0"/>
              <w:left w:val="single" w:color="auto" w:sz="6" w:space="0"/>
              <w:bottom w:val="single" w:color="auto" w:sz="6" w:space="0"/>
              <w:right w:val="single" w:color="auto" w:sz="6" w:space="0"/>
            </w:tcBorders>
          </w:tcPr>
          <w:p w14:paraId="5C731DE8">
            <w:pPr>
              <w:tabs>
                <w:tab w:val="left" w:pos="9765"/>
              </w:tabs>
              <w:autoSpaceDE w:val="0"/>
              <w:autoSpaceDN w:val="0"/>
              <w:adjustRightInd w:val="0"/>
              <w:snapToGrid w:val="0"/>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tcPr>
          <w:p w14:paraId="474F33DC">
            <w:pPr>
              <w:tabs>
                <w:tab w:val="left" w:pos="9765"/>
              </w:tabs>
              <w:autoSpaceDE w:val="0"/>
              <w:autoSpaceDN w:val="0"/>
              <w:adjustRightInd w:val="0"/>
              <w:snapToGrid w:val="0"/>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tcPr>
          <w:p w14:paraId="44854BF3">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14:paraId="48BF78A0">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14:paraId="748379AC">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14:paraId="72DFBCBC">
            <w:pPr>
              <w:tabs>
                <w:tab w:val="left" w:pos="9765"/>
              </w:tabs>
              <w:autoSpaceDE w:val="0"/>
              <w:autoSpaceDN w:val="0"/>
              <w:adjustRightInd w:val="0"/>
              <w:snapToGrid w:val="0"/>
              <w:spacing w:line="360" w:lineRule="auto"/>
              <w:rPr>
                <w:rFonts w:ascii="宋体" w:hAnsi="宋体" w:cs="宋体"/>
                <w:sz w:val="24"/>
              </w:rPr>
            </w:pPr>
          </w:p>
        </w:tc>
      </w:tr>
      <w:tr w14:paraId="21D19CA4">
        <w:tblPrEx>
          <w:tblCellMar>
            <w:top w:w="0" w:type="dxa"/>
            <w:left w:w="108" w:type="dxa"/>
            <w:bottom w:w="0" w:type="dxa"/>
            <w:right w:w="108" w:type="dxa"/>
          </w:tblCellMar>
        </w:tblPrEx>
        <w:trPr>
          <w:jc w:val="center"/>
        </w:trPr>
        <w:tc>
          <w:tcPr>
            <w:tcW w:w="793" w:type="dxa"/>
            <w:tcBorders>
              <w:top w:val="single" w:color="auto" w:sz="6" w:space="0"/>
              <w:left w:val="single" w:color="auto" w:sz="6" w:space="0"/>
              <w:bottom w:val="single" w:color="auto" w:sz="6" w:space="0"/>
              <w:right w:val="single" w:color="auto" w:sz="6" w:space="0"/>
            </w:tcBorders>
          </w:tcPr>
          <w:p w14:paraId="353C847A">
            <w:pPr>
              <w:tabs>
                <w:tab w:val="left" w:pos="9765"/>
              </w:tabs>
              <w:autoSpaceDE w:val="0"/>
              <w:autoSpaceDN w:val="0"/>
              <w:adjustRightInd w:val="0"/>
              <w:snapToGrid w:val="0"/>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tcPr>
          <w:p w14:paraId="6DB312A3">
            <w:pPr>
              <w:tabs>
                <w:tab w:val="left" w:pos="9765"/>
              </w:tabs>
              <w:autoSpaceDE w:val="0"/>
              <w:autoSpaceDN w:val="0"/>
              <w:adjustRightInd w:val="0"/>
              <w:snapToGrid w:val="0"/>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tcPr>
          <w:p w14:paraId="09DEDAA6">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14:paraId="4576C747">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14:paraId="78C7D8BD">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14:paraId="25D2C4B8">
            <w:pPr>
              <w:tabs>
                <w:tab w:val="left" w:pos="9765"/>
              </w:tabs>
              <w:autoSpaceDE w:val="0"/>
              <w:autoSpaceDN w:val="0"/>
              <w:adjustRightInd w:val="0"/>
              <w:snapToGrid w:val="0"/>
              <w:spacing w:line="360" w:lineRule="auto"/>
              <w:rPr>
                <w:rFonts w:ascii="宋体" w:hAnsi="宋体" w:cs="宋体"/>
                <w:sz w:val="24"/>
              </w:rPr>
            </w:pPr>
          </w:p>
        </w:tc>
      </w:tr>
      <w:tr w14:paraId="4B4F2EFC">
        <w:tblPrEx>
          <w:tblCellMar>
            <w:top w:w="0" w:type="dxa"/>
            <w:left w:w="108" w:type="dxa"/>
            <w:bottom w:w="0" w:type="dxa"/>
            <w:right w:w="108" w:type="dxa"/>
          </w:tblCellMar>
        </w:tblPrEx>
        <w:trPr>
          <w:jc w:val="center"/>
        </w:trPr>
        <w:tc>
          <w:tcPr>
            <w:tcW w:w="793" w:type="dxa"/>
            <w:tcBorders>
              <w:top w:val="single" w:color="auto" w:sz="6" w:space="0"/>
              <w:left w:val="single" w:color="auto" w:sz="6" w:space="0"/>
              <w:bottom w:val="single" w:color="auto" w:sz="6" w:space="0"/>
              <w:right w:val="single" w:color="auto" w:sz="6" w:space="0"/>
            </w:tcBorders>
          </w:tcPr>
          <w:p w14:paraId="0172F23C">
            <w:pPr>
              <w:tabs>
                <w:tab w:val="left" w:pos="9765"/>
              </w:tabs>
              <w:autoSpaceDE w:val="0"/>
              <w:autoSpaceDN w:val="0"/>
              <w:adjustRightInd w:val="0"/>
              <w:snapToGrid w:val="0"/>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tcPr>
          <w:p w14:paraId="31C3932E">
            <w:pPr>
              <w:tabs>
                <w:tab w:val="left" w:pos="9765"/>
              </w:tabs>
              <w:autoSpaceDE w:val="0"/>
              <w:autoSpaceDN w:val="0"/>
              <w:adjustRightInd w:val="0"/>
              <w:snapToGrid w:val="0"/>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tcPr>
          <w:p w14:paraId="36F22C12">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14:paraId="03918426">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14:paraId="00875A42">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14:paraId="639E4F25">
            <w:pPr>
              <w:tabs>
                <w:tab w:val="left" w:pos="9765"/>
              </w:tabs>
              <w:autoSpaceDE w:val="0"/>
              <w:autoSpaceDN w:val="0"/>
              <w:adjustRightInd w:val="0"/>
              <w:snapToGrid w:val="0"/>
              <w:spacing w:line="360" w:lineRule="auto"/>
              <w:rPr>
                <w:rFonts w:ascii="宋体" w:hAnsi="宋体" w:cs="宋体"/>
                <w:sz w:val="24"/>
              </w:rPr>
            </w:pPr>
          </w:p>
        </w:tc>
      </w:tr>
    </w:tbl>
    <w:p w14:paraId="37CA581B">
      <w:pPr>
        <w:tabs>
          <w:tab w:val="left" w:pos="9765"/>
        </w:tabs>
        <w:autoSpaceDE w:val="0"/>
        <w:autoSpaceDN w:val="0"/>
        <w:adjustRightInd w:val="0"/>
        <w:snapToGrid w:val="0"/>
        <w:rPr>
          <w:rFonts w:ascii="宋体" w:hAnsi="宋体" w:cs="宋体"/>
          <w:sz w:val="24"/>
          <w:lang w:val="zh-CN"/>
        </w:rPr>
      </w:pPr>
    </w:p>
    <w:p w14:paraId="68A2E67D">
      <w:pPr>
        <w:tabs>
          <w:tab w:val="left" w:pos="9765"/>
        </w:tabs>
        <w:autoSpaceDE w:val="0"/>
        <w:autoSpaceDN w:val="0"/>
        <w:adjustRightInd w:val="0"/>
        <w:snapToGrid w:val="0"/>
        <w:spacing w:line="360" w:lineRule="auto"/>
        <w:rPr>
          <w:rFonts w:ascii="宋体" w:hAnsi="宋体" w:cs="宋体"/>
          <w:b/>
          <w:sz w:val="24"/>
        </w:rPr>
      </w:pPr>
      <w:r>
        <w:rPr>
          <w:rFonts w:hint="eastAsia" w:ascii="宋体" w:hAnsi="宋体" w:cs="宋体"/>
          <w:b/>
          <w:sz w:val="24"/>
          <w:lang w:val="zh-CN"/>
        </w:rPr>
        <w:t>注：附合同复印件、验收报告或用户证明。</w:t>
      </w:r>
    </w:p>
    <w:p w14:paraId="4C712BB7">
      <w:pPr>
        <w:snapToGrid w:val="0"/>
        <w:spacing w:line="360" w:lineRule="auto"/>
        <w:rPr>
          <w:rFonts w:ascii="宋体" w:hAnsi="宋体" w:cs="宋体"/>
          <w:sz w:val="24"/>
        </w:rPr>
      </w:pPr>
    </w:p>
    <w:p w14:paraId="2CA6F14F">
      <w:pPr>
        <w:widowControl/>
        <w:snapToGrid w:val="0"/>
        <w:spacing w:line="360" w:lineRule="auto"/>
        <w:rPr>
          <w:rFonts w:ascii="宋体" w:hAnsi="宋体" w:cs="宋体"/>
          <w:kern w:val="0"/>
          <w:sz w:val="24"/>
        </w:rPr>
      </w:pPr>
      <w:r>
        <w:rPr>
          <w:rFonts w:hint="eastAsia" w:ascii="宋体" w:hAnsi="宋体" w:cs="宋体"/>
          <w:kern w:val="0"/>
          <w:sz w:val="24"/>
        </w:rPr>
        <w:t>供应商名称（公章）：</w:t>
      </w:r>
    </w:p>
    <w:p w14:paraId="1B8437C5"/>
    <w:p w14:paraId="3A5C52C3"/>
    <w:p w14:paraId="02DFE6A6"/>
    <w:p w14:paraId="62A01FAE"/>
    <w:p w14:paraId="33EC4AF4"/>
    <w:p w14:paraId="0B043CF9">
      <w:pPr>
        <w:jc w:val="center"/>
        <w:rPr>
          <w:rFonts w:ascii="宋体" w:hAnsi="宋体"/>
          <w:b/>
          <w:sz w:val="32"/>
          <w:szCs w:val="32"/>
        </w:rPr>
      </w:pPr>
    </w:p>
    <w:p w14:paraId="3CA3D720">
      <w:pPr>
        <w:jc w:val="center"/>
        <w:rPr>
          <w:rFonts w:ascii="宋体" w:hAnsi="宋体"/>
          <w:b/>
          <w:sz w:val="32"/>
          <w:szCs w:val="32"/>
        </w:rPr>
      </w:pPr>
    </w:p>
    <w:p w14:paraId="7480C914">
      <w:pPr>
        <w:jc w:val="center"/>
        <w:rPr>
          <w:rFonts w:ascii="宋体" w:hAnsi="宋体"/>
          <w:b/>
          <w:sz w:val="32"/>
          <w:szCs w:val="32"/>
        </w:rPr>
      </w:pPr>
    </w:p>
    <w:p w14:paraId="0BAEF809">
      <w:pPr>
        <w:jc w:val="center"/>
        <w:rPr>
          <w:rFonts w:ascii="宋体" w:hAnsi="宋体"/>
          <w:b/>
          <w:sz w:val="32"/>
          <w:szCs w:val="32"/>
        </w:rPr>
      </w:pPr>
    </w:p>
    <w:p w14:paraId="526E16CF">
      <w:pPr>
        <w:jc w:val="center"/>
        <w:rPr>
          <w:rFonts w:ascii="宋体" w:hAnsi="宋体"/>
          <w:b/>
          <w:sz w:val="32"/>
          <w:szCs w:val="32"/>
        </w:rPr>
      </w:pPr>
    </w:p>
    <w:p w14:paraId="646DDD1C">
      <w:pPr>
        <w:jc w:val="center"/>
        <w:rPr>
          <w:rFonts w:ascii="宋体" w:hAnsi="宋体"/>
          <w:b/>
          <w:sz w:val="32"/>
          <w:szCs w:val="32"/>
        </w:rPr>
      </w:pPr>
    </w:p>
    <w:p w14:paraId="65C87A2C">
      <w:pPr>
        <w:jc w:val="center"/>
        <w:rPr>
          <w:rFonts w:ascii="宋体" w:hAnsi="宋体"/>
          <w:b/>
          <w:sz w:val="32"/>
          <w:szCs w:val="32"/>
        </w:rPr>
      </w:pPr>
      <w:r>
        <w:rPr>
          <w:rFonts w:hint="eastAsia" w:ascii="宋体" w:hAnsi="宋体"/>
          <w:b/>
          <w:sz w:val="32"/>
          <w:szCs w:val="32"/>
          <w:lang w:eastAsia="zh-CN"/>
        </w:rPr>
        <w:t>九</w:t>
      </w:r>
      <w:r>
        <w:rPr>
          <w:rFonts w:hint="eastAsia" w:ascii="宋体" w:hAnsi="宋体"/>
          <w:b/>
          <w:sz w:val="32"/>
          <w:szCs w:val="32"/>
        </w:rPr>
        <w:t>、其他附表</w:t>
      </w:r>
    </w:p>
    <w:p w14:paraId="5703E59D"/>
    <w:p w14:paraId="4B8CACFF"/>
    <w:p w14:paraId="6ED5A13A"/>
    <w:p w14:paraId="1497322C"/>
    <w:p w14:paraId="076C7E75"/>
    <w:p w14:paraId="683BF205">
      <w:pPr>
        <w:pStyle w:val="3"/>
        <w:keepNext w:val="0"/>
        <w:snapToGrid w:val="0"/>
        <w:spacing w:line="360" w:lineRule="auto"/>
        <w:ind w:left="0" w:firstLine="0"/>
        <w:rPr>
          <w:rFonts w:ascii="黑体" w:hAnsi="黑体" w:cs="黑体"/>
          <w:b w:val="0"/>
          <w:bCs/>
          <w:szCs w:val="44"/>
        </w:rPr>
      </w:pPr>
      <w:bookmarkStart w:id="99" w:name="_Toc179815313"/>
      <w:r>
        <w:rPr>
          <w:rFonts w:hint="eastAsia" w:ascii="黑体" w:hAnsi="黑体" w:cs="黑体"/>
          <w:b w:val="0"/>
          <w:bCs/>
          <w:szCs w:val="44"/>
        </w:rPr>
        <w:t>第七章 遴选需求</w:t>
      </w:r>
      <w:bookmarkEnd w:id="99"/>
    </w:p>
    <w:p w14:paraId="773F9A9B">
      <w:pPr>
        <w:snapToGrid w:val="0"/>
        <w:spacing w:line="360" w:lineRule="auto"/>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rPr>
        <w:t>一、项目概况</w:t>
      </w:r>
    </w:p>
    <w:p w14:paraId="5FE21CC8">
      <w:pPr>
        <w:widowControl/>
        <w:snapToGrid w:val="0"/>
        <w:spacing w:line="360" w:lineRule="auto"/>
        <w:ind w:firstLine="480" w:firstLineChars="200"/>
        <w:rPr>
          <w:rFonts w:asciiTheme="minorEastAsia" w:hAnsiTheme="minorEastAsia" w:cstheme="minorEastAsia"/>
          <w:color w:val="000000"/>
          <w:kern w:val="0"/>
          <w:sz w:val="24"/>
          <w:szCs w:val="24"/>
          <w:lang w:bidi="ar"/>
        </w:rPr>
      </w:pPr>
      <w:r>
        <w:rPr>
          <w:rFonts w:hint="eastAsia" w:asciiTheme="minorEastAsia" w:hAnsiTheme="minorEastAsia" w:cstheme="minorEastAsia"/>
          <w:bCs/>
          <w:kern w:val="0"/>
          <w:sz w:val="24"/>
          <w:szCs w:val="24"/>
        </w:rPr>
        <w:t>钟楼区政策性农业保险主要包括种植业、养殖业、高效设施农业、农业机械以及根据上级有关规定和钟楼区农业生产实际情况增设的其他险种。为促进服务农业现代化建设和持续促进农民增收，切实维护农民利益，实现“愿保尽保”和“应保尽保”。拟通过遴选确定一家专业承保机构，通过市场化运作和政府补贴相结合的模式，</w:t>
      </w:r>
      <w:r>
        <w:rPr>
          <w:rFonts w:hint="eastAsia" w:asciiTheme="minorEastAsia" w:hAnsiTheme="minorEastAsia" w:cstheme="minorEastAsia"/>
          <w:color w:val="000000"/>
          <w:kern w:val="0"/>
          <w:sz w:val="24"/>
          <w:szCs w:val="24"/>
          <w:lang w:bidi="ar"/>
        </w:rPr>
        <w:t>承担起2025-2028年</w:t>
      </w:r>
      <w:r>
        <w:rPr>
          <w:rFonts w:hint="eastAsia" w:asciiTheme="minorEastAsia" w:hAnsiTheme="minorEastAsia" w:cstheme="minorEastAsia"/>
          <w:bCs/>
          <w:color w:val="000000"/>
          <w:kern w:val="0"/>
          <w:sz w:val="24"/>
          <w:szCs w:val="24"/>
        </w:rPr>
        <w:t>政策性农业保险中央</w:t>
      </w:r>
      <w:r>
        <w:rPr>
          <w:rFonts w:hint="eastAsia" w:asciiTheme="minorEastAsia" w:hAnsiTheme="minorEastAsia" w:cstheme="minorEastAsia"/>
          <w:color w:val="000000"/>
          <w:kern w:val="0"/>
          <w:sz w:val="24"/>
          <w:szCs w:val="24"/>
          <w:lang w:bidi="ar"/>
        </w:rPr>
        <w:t>、</w:t>
      </w:r>
      <w:r>
        <w:rPr>
          <w:rFonts w:hint="eastAsia" w:asciiTheme="minorEastAsia" w:hAnsiTheme="minorEastAsia" w:cstheme="minorEastAsia"/>
          <w:bCs/>
          <w:color w:val="000000"/>
          <w:kern w:val="0"/>
          <w:sz w:val="24"/>
          <w:szCs w:val="24"/>
        </w:rPr>
        <w:t>省</w:t>
      </w:r>
      <w:r>
        <w:rPr>
          <w:rFonts w:hint="eastAsia" w:asciiTheme="minorEastAsia" w:hAnsiTheme="minorEastAsia" w:cstheme="minorEastAsia"/>
          <w:color w:val="000000"/>
          <w:kern w:val="0"/>
          <w:sz w:val="24"/>
          <w:szCs w:val="24"/>
          <w:lang w:bidi="ar"/>
        </w:rPr>
        <w:t>、市</w:t>
      </w:r>
      <w:r>
        <w:rPr>
          <w:rFonts w:hint="eastAsia" w:asciiTheme="minorEastAsia" w:hAnsiTheme="minorEastAsia" w:cstheme="minorEastAsia"/>
          <w:bCs/>
          <w:color w:val="000000"/>
          <w:kern w:val="0"/>
          <w:sz w:val="24"/>
          <w:szCs w:val="24"/>
        </w:rPr>
        <w:t>级财政补贴的险种项目及钟楼区财政实施补贴险种项目</w:t>
      </w:r>
      <w:r>
        <w:rPr>
          <w:rFonts w:hint="eastAsia" w:asciiTheme="minorEastAsia" w:hAnsiTheme="minorEastAsia" w:cstheme="minorEastAsia"/>
          <w:color w:val="000000"/>
          <w:kern w:val="0"/>
          <w:sz w:val="24"/>
          <w:szCs w:val="24"/>
          <w:lang w:bidi="ar"/>
        </w:rPr>
        <w:t>的承保、理赔服务工作。</w:t>
      </w:r>
    </w:p>
    <w:p w14:paraId="5520FC45">
      <w:pPr>
        <w:widowControl/>
        <w:snapToGrid w:val="0"/>
        <w:spacing w:line="360" w:lineRule="auto"/>
        <w:ind w:firstLine="482" w:firstLineChars="200"/>
        <w:rPr>
          <w:rFonts w:asciiTheme="minorEastAsia" w:hAnsiTheme="minorEastAsia" w:cstheme="minorEastAsia"/>
          <w:b/>
          <w:bCs/>
          <w:kern w:val="0"/>
          <w:sz w:val="24"/>
          <w:szCs w:val="24"/>
        </w:rPr>
      </w:pPr>
      <w:r>
        <w:rPr>
          <w:rFonts w:hint="eastAsia" w:asciiTheme="minorEastAsia" w:hAnsiTheme="minorEastAsia" w:cstheme="minorEastAsia"/>
          <w:b/>
          <w:sz w:val="24"/>
          <w:szCs w:val="24"/>
        </w:rPr>
        <w:t>二、技术要求</w:t>
      </w:r>
    </w:p>
    <w:p w14:paraId="3D9CFD7A">
      <w:pPr>
        <w:widowControl/>
        <w:snapToGrid w:val="0"/>
        <w:spacing w:line="360" w:lineRule="auto"/>
        <w:ind w:firstLine="482" w:firstLineChars="200"/>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1、保险模式</w:t>
      </w:r>
    </w:p>
    <w:p w14:paraId="259647B4">
      <w:pPr>
        <w:snapToGrid w:val="0"/>
        <w:spacing w:line="360" w:lineRule="auto"/>
        <w:ind w:firstLine="480" w:firstLineChars="200"/>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（1）政策性农业保险模式为政府指导下的保险机构承保，区政府不分担保费收入和承担赔付责任。</w:t>
      </w:r>
    </w:p>
    <w:p w14:paraId="7C55D152">
      <w:pPr>
        <w:snapToGrid w:val="0"/>
        <w:spacing w:line="360" w:lineRule="auto"/>
        <w:ind w:firstLine="480" w:firstLineChars="200"/>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（2）本项目承保机构需承接钟楼区域内所有政策性农业保险。</w:t>
      </w:r>
    </w:p>
    <w:p w14:paraId="237298F7">
      <w:pPr>
        <w:snapToGrid w:val="0"/>
        <w:spacing w:line="360" w:lineRule="auto"/>
        <w:ind w:firstLine="480" w:firstLineChars="200"/>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3）对享受财政补贴的政策性农业保险品种给予首创承保机构在本行政区域独家经营的首创保护期，保护期一般为3年。保护期与正在履行的服务合同（协议）期限不一致的，可以适当延长。承保机构自主开展的其他各类涉农商业性保险品种不受限制。</w:t>
      </w:r>
    </w:p>
    <w:p w14:paraId="666968C2">
      <w:pPr>
        <w:pStyle w:val="2"/>
        <w:snapToGrid w:val="0"/>
        <w:spacing w:before="0" w:after="0" w:line="360" w:lineRule="auto"/>
        <w:ind w:firstLine="482"/>
        <w:jc w:val="both"/>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2、运作方式</w:t>
      </w:r>
    </w:p>
    <w:p w14:paraId="2A093875">
      <w:pPr>
        <w:pStyle w:val="2"/>
        <w:snapToGrid w:val="0"/>
        <w:spacing w:before="0" w:after="0" w:line="360" w:lineRule="auto"/>
        <w:ind w:firstLine="480"/>
        <w:jc w:val="both"/>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（1）投保自愿。钟楼区政策性农业保险按照自主自愿原则，由政府实施引导鼓励，承保机构开展组织、宣传、推动，保户自愿投保，农户在承担农业保险部分自缴保费的同时，享受相应比例的财政保费补贴。</w:t>
      </w:r>
    </w:p>
    <w:p w14:paraId="31DB8E05">
      <w:pPr>
        <w:pStyle w:val="2"/>
        <w:snapToGrid w:val="0"/>
        <w:spacing w:before="0" w:after="0" w:line="360" w:lineRule="auto"/>
        <w:ind w:firstLine="480"/>
        <w:jc w:val="both"/>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（2）政府补贴。钟楼区政策性农业保险各险种保费补贴比例按中央、省、市和区相关文件规定执行。</w:t>
      </w:r>
    </w:p>
    <w:p w14:paraId="0517BD12">
      <w:pPr>
        <w:pStyle w:val="2"/>
        <w:snapToGrid w:val="0"/>
        <w:spacing w:before="0" w:after="0" w:line="360" w:lineRule="auto"/>
        <w:ind w:firstLine="480"/>
        <w:jc w:val="both"/>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（3）市场运作。承保机构单独设立农业保险财务账户，单独核算，专款专用，主要用于展业承保、查勘定损、理赔支出、再保支出、协保费用支出等规定用途。</w:t>
      </w:r>
    </w:p>
    <w:p w14:paraId="1AA46B0F">
      <w:pPr>
        <w:pStyle w:val="2"/>
        <w:snapToGrid w:val="0"/>
        <w:spacing w:before="0" w:after="0" w:line="360" w:lineRule="auto"/>
        <w:ind w:firstLine="482"/>
        <w:jc w:val="both"/>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3、保险险种</w:t>
      </w:r>
    </w:p>
    <w:p w14:paraId="3767B586">
      <w:pPr>
        <w:pStyle w:val="2"/>
        <w:snapToGrid w:val="0"/>
        <w:spacing w:before="0" w:after="0" w:line="360" w:lineRule="auto"/>
        <w:ind w:firstLine="480"/>
        <w:jc w:val="both"/>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钟楼区政策性农业保险险种主要包括种植业、养殖业、高效设施农业、农业机械及根据上级有关规定和钟楼区农业生产实际情况增设的其他险种。以上险种根据上级有关规定和本地实际情况进行调整。对于服务期内新增的奖补险种，由正在服务的保险机构承办。</w:t>
      </w:r>
    </w:p>
    <w:p w14:paraId="58FAE6E2">
      <w:pPr>
        <w:pStyle w:val="2"/>
        <w:snapToGrid w:val="0"/>
        <w:spacing w:before="0" w:after="0" w:line="360" w:lineRule="auto"/>
        <w:ind w:firstLine="480"/>
        <w:jc w:val="both"/>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钟楼区政策性农业保险各险种保费补贴比例按各级政策规定执行。</w:t>
      </w:r>
    </w:p>
    <w:p w14:paraId="77813DEA">
      <w:pPr>
        <w:snapToGrid w:val="0"/>
        <w:spacing w:line="360" w:lineRule="auto"/>
        <w:ind w:firstLine="482" w:firstLineChars="200"/>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4、保险期限</w:t>
      </w:r>
    </w:p>
    <w:p w14:paraId="6CC63A0B">
      <w:pPr>
        <w:snapToGrid w:val="0"/>
        <w:spacing w:line="360" w:lineRule="auto"/>
        <w:ind w:firstLine="480" w:firstLineChars="200"/>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所属范围内主要种植业保险责任的起始时间与终止时间为省统一《保险条款》规定的时间，与保单具体的签订时间无关；其他保险品种的起止时间以保单约定时间为准。</w:t>
      </w:r>
    </w:p>
    <w:p w14:paraId="621FBDC4">
      <w:pPr>
        <w:snapToGrid w:val="0"/>
        <w:spacing w:line="360" w:lineRule="auto"/>
        <w:ind w:firstLine="482" w:firstLineChars="200"/>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5、执行的标准和原则</w:t>
      </w:r>
    </w:p>
    <w:p w14:paraId="525ADCCB">
      <w:pPr>
        <w:snapToGrid w:val="0"/>
        <w:spacing w:line="360" w:lineRule="auto"/>
        <w:ind w:firstLine="480" w:firstLineChars="200"/>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承保机构应严格</w:t>
      </w:r>
      <w:r>
        <w:rPr>
          <w:rFonts w:hint="eastAsia" w:asciiTheme="minorEastAsia" w:hAnsiTheme="minorEastAsia" w:cstheme="minorEastAsia"/>
          <w:bCs/>
          <w:kern w:val="0"/>
          <w:sz w:val="24"/>
          <w:szCs w:val="24"/>
          <w:lang w:eastAsia="zh-CN"/>
        </w:rPr>
        <w:t>按照</w:t>
      </w:r>
      <w:r>
        <w:rPr>
          <w:rFonts w:hint="eastAsia" w:asciiTheme="minorEastAsia" w:hAnsiTheme="minorEastAsia" w:cstheme="minorEastAsia"/>
          <w:bCs/>
          <w:kern w:val="0"/>
          <w:sz w:val="24"/>
          <w:szCs w:val="24"/>
        </w:rPr>
        <w:t>《农业保险条例》《中央财政农业保险保费补贴管理办法》《农业保险承保理赔管理办法》《江苏省省级财政农业保</w:t>
      </w:r>
      <w:r>
        <w:rPr>
          <w:rFonts w:hint="eastAsia" w:asciiTheme="minorEastAsia" w:hAnsiTheme="minorEastAsia" w:cstheme="minorEastAsia"/>
          <w:bCs/>
          <w:kern w:val="0"/>
          <w:sz w:val="24"/>
          <w:szCs w:val="24"/>
          <w:lang w:eastAsia="zh-CN"/>
        </w:rPr>
        <w:t>险保</w:t>
      </w:r>
      <w:r>
        <w:rPr>
          <w:rFonts w:hint="eastAsia" w:asciiTheme="minorEastAsia" w:hAnsiTheme="minorEastAsia" w:cstheme="minorEastAsia"/>
          <w:bCs/>
          <w:kern w:val="0"/>
          <w:sz w:val="24"/>
          <w:szCs w:val="24"/>
        </w:rPr>
        <w:t>费补贴资金管理办法》《江苏省财政厅关于进一步加强和改进农业保险保费补贴资金管理的通知》等政策制度的规定，结合投标文件的承诺事项实施。</w:t>
      </w:r>
    </w:p>
    <w:p w14:paraId="2EC382C4">
      <w:pPr>
        <w:snapToGrid w:val="0"/>
        <w:spacing w:line="360" w:lineRule="auto"/>
        <w:ind w:firstLine="480" w:firstLineChars="200"/>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执行江苏省政策性农业保险条款设定的保险责任。</w:t>
      </w:r>
    </w:p>
    <w:p w14:paraId="41B0F925">
      <w:pPr>
        <w:pStyle w:val="2"/>
        <w:snapToGrid w:val="0"/>
        <w:spacing w:before="0" w:after="0" w:line="360" w:lineRule="auto"/>
        <w:ind w:firstLine="482"/>
        <w:jc w:val="both"/>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6、操作流程</w:t>
      </w:r>
    </w:p>
    <w:p w14:paraId="53A8B138">
      <w:pPr>
        <w:pStyle w:val="2"/>
        <w:snapToGrid w:val="0"/>
        <w:spacing w:before="0" w:after="0" w:line="360" w:lineRule="auto"/>
        <w:ind w:firstLine="480"/>
        <w:jc w:val="both"/>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（1）承保机构主动到各投保单位或农户处开展政策性农业保险业务并收取保费，各投保单位或农户也可自行到承保机构进行投保。</w:t>
      </w:r>
    </w:p>
    <w:p w14:paraId="7516F956">
      <w:pPr>
        <w:pStyle w:val="2"/>
        <w:snapToGrid w:val="0"/>
        <w:spacing w:before="0" w:after="0" w:line="360" w:lineRule="auto"/>
        <w:ind w:firstLine="480"/>
        <w:jc w:val="both"/>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根据投保资料协助投保户填写《农业保险投保单》，并完成核保与出单事宜，并在收到投保单5个工作日内将保单正本和保险费发票派专人送达投保人指定地点或指定部门。投保信息要完整，验标后承保。投保信息须包括（但不限于）投保人（被保险人）姓名（或组织名称）、身份证号码（或组织机构代码）、联系方式、标的种类及数量、种养地点、林权信息、标的识别码、总保费、农户自缴保费、资金账号（一卡通或一折通号码、银行卡号码、存折账号等）及开户行信息等内容。</w:t>
      </w:r>
    </w:p>
    <w:p w14:paraId="142F0320">
      <w:pPr>
        <w:pStyle w:val="2"/>
        <w:snapToGrid w:val="0"/>
        <w:spacing w:before="0" w:after="0" w:line="360" w:lineRule="auto"/>
        <w:ind w:firstLine="480"/>
        <w:jc w:val="both"/>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3）应投保人要求提供上门服务，并在投保人递交投保资料之日起（包括传真形式，但以传真形式递交投保资料之后应补递正本）5个工作日内完成出单事宜并将保单正本和保费收据送达各投保人指定地点或指定部门（人员）。</w:t>
      </w:r>
    </w:p>
    <w:p w14:paraId="78ECBF25">
      <w:pPr>
        <w:pStyle w:val="2"/>
        <w:snapToGrid w:val="0"/>
        <w:spacing w:before="0" w:after="0" w:line="360" w:lineRule="auto"/>
        <w:ind w:firstLine="48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（4）承保机构只有在收取农户自缴保费后，才能向投保人出具相应的保险单和保费收据。</w:t>
      </w:r>
    </w:p>
    <w:p w14:paraId="7503380A">
      <w:pPr>
        <w:pStyle w:val="2"/>
        <w:snapToGrid w:val="0"/>
        <w:spacing w:before="0" w:after="0" w:line="360" w:lineRule="auto"/>
        <w:ind w:firstLine="480"/>
        <w:jc w:val="both"/>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（5）承保公示时间不得少于3天。公示期间，若接到对公示内容的反馈意见，应及时进行核实，必要时修改投保信息。</w:t>
      </w:r>
    </w:p>
    <w:p w14:paraId="7D2B50F8">
      <w:pPr>
        <w:pStyle w:val="2"/>
        <w:snapToGrid w:val="0"/>
        <w:spacing w:before="0" w:after="0" w:line="360" w:lineRule="auto"/>
        <w:ind w:firstLine="480"/>
        <w:jc w:val="both"/>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（6）应根据保险标的种植和养殖周期以及条款规定按时做好承保工作。</w:t>
      </w:r>
    </w:p>
    <w:p w14:paraId="3BBE9539">
      <w:pPr>
        <w:pStyle w:val="8"/>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三、商务要求</w:t>
      </w:r>
    </w:p>
    <w:p w14:paraId="6597B01F">
      <w:pPr>
        <w:pStyle w:val="8"/>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1、理赔要求</w:t>
      </w:r>
    </w:p>
    <w:p w14:paraId="27558A55">
      <w:pPr>
        <w:snapToGrid w:val="0"/>
        <w:spacing w:line="360" w:lineRule="auto"/>
        <w:ind w:firstLine="480" w:firstLineChars="200"/>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承保机构应建立政策性农业保险理赔服务绿色通道，保证农业保险获得优先服务的权利，以优良的服务态度、便利、快捷的上门服务方式响应被保险人的索赔要求，主动迅速地为各被保险人提供优质的理赔服务，不断提高客户满意度。</w:t>
      </w:r>
    </w:p>
    <w:p w14:paraId="64BF778B">
      <w:pPr>
        <w:snapToGrid w:val="0"/>
        <w:spacing w:line="360" w:lineRule="auto"/>
        <w:ind w:firstLine="480" w:firstLineChars="200"/>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1）接报案。设立24小时保险服务专线电话，应全年365天随时接受被保险人的出险报案，并应立即通知本公司相关部门及人员。发生大灾和突发事件后，承保机构应启动大灾及突发事件应急预案，会同当地农险办及时向上级政府和上级保险机构汇报灾情及突发事件情况。</w:t>
      </w:r>
    </w:p>
    <w:p w14:paraId="5E7FB4E3">
      <w:pPr>
        <w:snapToGrid w:val="0"/>
        <w:spacing w:line="360" w:lineRule="auto"/>
        <w:ind w:firstLine="480" w:firstLineChars="200"/>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2）现场查勘。接到报案后需要进行现场查勘的，应于24小时内到达现场，组织现场查勘工作。如承保机构无法按照约定时间到达出险现场，应以被保险人提供的现场照片、损失清单、出险说明及其他证明材料作为赔付理算依据；如被保险人当时无法拍照，可不提供现场照片。对畜禽必须进行现场查勘，病死保险畜禽必须100%无害化处理。</w:t>
      </w:r>
    </w:p>
    <w:p w14:paraId="2468202F">
      <w:pPr>
        <w:snapToGrid w:val="0"/>
        <w:spacing w:line="360" w:lineRule="auto"/>
        <w:ind w:firstLine="480" w:firstLineChars="200"/>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3）定责定损。及时定责定损，对于不属于保险责任的，在接到被保险人赔偿请求后3个工作日内向其发出《拒赔通知书》。重大索赔案件应报农险办审核，并在接到被保险人赔偿请求后10个工作日内向其发出《拒赔通知书》。</w:t>
      </w:r>
    </w:p>
    <w:p w14:paraId="20F20E7A">
      <w:pPr>
        <w:snapToGrid w:val="0"/>
        <w:spacing w:line="360" w:lineRule="auto"/>
        <w:ind w:firstLine="480" w:firstLineChars="200"/>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4）索赔材料递交。承保机构接到被保险人索赔材料后应立即审查核实，若认为有关证明或材料不完整，应一次性通知被保险人补充提供有关证明或材料。若承保机构在接到索赔资料后10个工作日内未给予有关审核意见，则视为认可索赔资料的完整性。</w:t>
      </w:r>
    </w:p>
    <w:p w14:paraId="712B9FCA">
      <w:pPr>
        <w:snapToGrid w:val="0"/>
        <w:spacing w:line="360" w:lineRule="auto"/>
        <w:ind w:firstLine="480" w:firstLineChars="200"/>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（5）赔款时限。承保机构收到被保险人提供的完整必要的索赔材料并达成赔偿协议后10日内无条件支付赔款。</w:t>
      </w:r>
    </w:p>
    <w:p w14:paraId="3FC1F7C2">
      <w:pPr>
        <w:snapToGrid w:val="0"/>
        <w:spacing w:line="360" w:lineRule="auto"/>
        <w:ind w:firstLine="480" w:firstLineChars="200"/>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（6）疑难案件处理。对于技术性较强或有争议、疑难的案件时，应当聘请保险公估机构、第三方专家或技术人员参与赔案的处理。</w:t>
      </w:r>
    </w:p>
    <w:p w14:paraId="16333579">
      <w:pPr>
        <w:snapToGrid w:val="0"/>
        <w:spacing w:line="360" w:lineRule="auto"/>
        <w:ind w:firstLine="480" w:firstLineChars="200"/>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（7）理赔签字确认。被保险人必须对定损结果和理赔清单有关内容进行签字确认。如由他人代签，应告知被保险人本人，注明“××代签”不得模仿他人签字，保险机构人员不得代签字。</w:t>
      </w:r>
    </w:p>
    <w:p w14:paraId="7CCDD356">
      <w:pPr>
        <w:snapToGrid w:val="0"/>
        <w:spacing w:line="360" w:lineRule="auto"/>
        <w:ind w:firstLine="480" w:firstLineChars="200"/>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（8）理赔公示。承保机构应通过三农保险服务站、点，以行政村为单位将相关理赔信息在村务公开栏予以公示，有条件的地区还可另外通过地方报纸集中公示。</w:t>
      </w:r>
    </w:p>
    <w:p w14:paraId="5C92A729">
      <w:pPr>
        <w:snapToGrid w:val="0"/>
        <w:spacing w:line="360" w:lineRule="auto"/>
        <w:ind w:firstLine="480" w:firstLineChars="200"/>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（9）赔付方式。农业保险赔款一律采取转账方式直接支付到农户一卡通财政涉农补贴账户或被保险人银行账户（卡）。</w:t>
      </w:r>
    </w:p>
    <w:p w14:paraId="71DD4769">
      <w:pPr>
        <w:snapToGrid w:val="0"/>
        <w:spacing w:line="360" w:lineRule="auto"/>
        <w:ind w:firstLine="480" w:firstLineChars="200"/>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10）承保机构防灾防损服务。承保机构制定年度防灾防损方案，报采购方批准后实施，包括防灾防损活动内容、方案、时间、对象、实施责任人等。按计划开展各类保险培训、养殖种植科技培训、防灾防损主体宣传、风险评估活动，提高农户的防灾防损尤其是防范大灾的能力，降低事故发生率、降低因自然灾害造成的损失程度。</w:t>
      </w:r>
    </w:p>
    <w:p w14:paraId="34D44564">
      <w:pPr>
        <w:snapToGrid w:val="0"/>
        <w:spacing w:line="360" w:lineRule="auto"/>
        <w:ind w:firstLine="480" w:firstLineChars="200"/>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（11）承保机构负责建立农业种植、养殖技术专家队伍、动物防疫技术专家组、协助开展村镇社区防疫站的技术培训工作以及对农户的知识普及工作。</w:t>
      </w:r>
    </w:p>
    <w:p w14:paraId="716D0A3A">
      <w:pPr>
        <w:pStyle w:val="8"/>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2、服务体系及团队要求</w:t>
      </w:r>
    </w:p>
    <w:p w14:paraId="3DD301EB">
      <w:pPr>
        <w:pStyle w:val="8"/>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承保服务机构须设置农业保险责任部门，并配备必要的农业、保险等相关专业人员，具有较强的农业保险经营和风险管理能力。</w:t>
      </w:r>
    </w:p>
    <w:p w14:paraId="2432A6D1">
      <w:pPr>
        <w:pStyle w:val="8"/>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（1）设立农业保险部门。承办公司设置农险业务部门，安排专职人员负责组织实施本项目所有要求，为各被保险人提供承保、理赔及相关农业保险方面的服务，包括内外各方关系的协调工作。</w:t>
      </w:r>
    </w:p>
    <w:p w14:paraId="1FCCBBB8">
      <w:pPr>
        <w:pStyle w:val="8"/>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（2）人员配置。落实展业、核保、出单、查勘、核赔、定损、财务、统计、档案等人员，变更农业保险专职人员应书面报钟楼区农业保险工作领导小组办公室。</w:t>
      </w:r>
    </w:p>
    <w:p w14:paraId="089398E7">
      <w:pPr>
        <w:pStyle w:val="8"/>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（3）承保机构相关人员应经过专门培训。在业务素质和数量上要充分保障本项目相关条件及要求。</w:t>
      </w:r>
    </w:p>
    <w:p w14:paraId="60712ABB">
      <w:pPr>
        <w:pStyle w:val="8"/>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a、每月5日前，必须按本次招标相关内容、条件的要求，向钟楼区财政局、钟楼区农业农村局提交上月份展业、理赔统计报表，同时提交电子文档。</w:t>
      </w:r>
    </w:p>
    <w:p w14:paraId="7F3234FE">
      <w:pPr>
        <w:pStyle w:val="8"/>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b、每年度2月15日前，必须按本次招标相关内容、条件的要求，向农险办及其相关管理部门提交上年财政年度决算报告，同时提交电子文档。</w:t>
      </w:r>
    </w:p>
    <w:p w14:paraId="0C3F93DE">
      <w:pPr>
        <w:snapToGrid w:val="0"/>
        <w:spacing w:line="360" w:lineRule="auto"/>
        <w:ind w:firstLine="482" w:firstLineChars="200"/>
        <w:rPr>
          <w:rFonts w:asciiTheme="minorEastAsia" w:hAnsiTheme="minorEastAsia" w:cstheme="minorEastAsia"/>
          <w:bCs/>
          <w:kern w:val="0"/>
          <w:sz w:val="24"/>
          <w:szCs w:val="24"/>
        </w:rPr>
      </w:pPr>
      <w:r>
        <w:rPr>
          <w:rFonts w:hint="eastAsia" w:asciiTheme="minorEastAsia" w:hAnsiTheme="minorEastAsia" w:cstheme="minorEastAsia"/>
          <w:b/>
          <w:bCs/>
          <w:kern w:val="0"/>
          <w:sz w:val="24"/>
          <w:szCs w:val="24"/>
        </w:rPr>
        <w:t>3、保险期限</w:t>
      </w:r>
    </w:p>
    <w:p w14:paraId="5EC7D463">
      <w:pPr>
        <w:snapToGrid w:val="0"/>
        <w:spacing w:line="360" w:lineRule="auto"/>
        <w:ind w:firstLine="480" w:firstLineChars="200"/>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本项目保险服务期共三年，自2025年6月17日零时起至2028年6月16日二十四时止。</w:t>
      </w:r>
    </w:p>
    <w:p w14:paraId="0DFA274B">
      <w:pPr>
        <w:snapToGrid w:val="0"/>
        <w:spacing w:line="360" w:lineRule="auto"/>
        <w:ind w:firstLine="482" w:firstLineChars="200"/>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4、服务区域</w:t>
      </w:r>
    </w:p>
    <w:p w14:paraId="69739657">
      <w:pPr>
        <w:snapToGrid w:val="0"/>
        <w:spacing w:line="360" w:lineRule="auto"/>
        <w:ind w:firstLine="480" w:firstLineChars="200"/>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常州市钟楼区范围内。</w:t>
      </w:r>
    </w:p>
    <w:p w14:paraId="70AC7D84">
      <w:pPr>
        <w:pStyle w:val="15"/>
        <w:snapToGrid w:val="0"/>
        <w:spacing w:line="360" w:lineRule="auto"/>
        <w:ind w:firstLine="482" w:firstLineChars="200"/>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5、支付方式和进度要求</w:t>
      </w:r>
    </w:p>
    <w:p w14:paraId="6646C416">
      <w:pPr>
        <w:pStyle w:val="15"/>
        <w:snapToGrid w:val="0"/>
        <w:spacing w:line="360" w:lineRule="auto"/>
        <w:ind w:firstLine="480" w:firstLineChars="200"/>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承保机构与区农业农村局核对承保数据，并将核对后的数据提供给区财政局。区财政局对保单进行抽查，在审核检查无误的基础上，将保险费划转承保机构，实行季度结算。</w:t>
      </w:r>
    </w:p>
    <w:p w14:paraId="2AC36D4D">
      <w:pPr>
        <w:pStyle w:val="15"/>
        <w:snapToGrid w:val="0"/>
        <w:spacing w:line="360" w:lineRule="auto"/>
        <w:ind w:firstLine="480" w:firstLineChars="200"/>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承保的保单生成后，根据政策性农业保险补贴标准，每季度汇总核准一次，根据核准的补贴款项全额支付给承保机构。</w:t>
      </w:r>
    </w:p>
    <w:p w14:paraId="7E969BF2">
      <w:pPr>
        <w:snapToGrid w:val="0"/>
        <w:spacing w:line="360" w:lineRule="auto"/>
        <w:ind w:firstLine="482" w:firstLineChars="200"/>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6、信息技术支持</w:t>
      </w:r>
    </w:p>
    <w:p w14:paraId="70EFA78D">
      <w:pPr>
        <w:snapToGrid w:val="0"/>
        <w:spacing w:line="360" w:lineRule="auto"/>
        <w:ind w:firstLine="480" w:firstLineChars="200"/>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（1）具有完善的农业保险大灾风险分散机制；</w:t>
      </w:r>
    </w:p>
    <w:p w14:paraId="17789377">
      <w:pPr>
        <w:snapToGrid w:val="0"/>
        <w:spacing w:line="360" w:lineRule="auto"/>
        <w:ind w:firstLine="480" w:firstLineChars="200"/>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（2）具有完善的基层服务网络；</w:t>
      </w:r>
    </w:p>
    <w:p w14:paraId="1489241A">
      <w:pPr>
        <w:snapToGrid w:val="0"/>
        <w:spacing w:line="360" w:lineRule="auto"/>
        <w:ind w:firstLine="480" w:firstLineChars="200"/>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（3）信息化建设满足业务管理要求，能够按要求与中国农业再保险股份有限公司约定分保业务信息系统对接；</w:t>
      </w:r>
    </w:p>
    <w:p w14:paraId="1150E185">
      <w:pPr>
        <w:snapToGrid w:val="0"/>
        <w:spacing w:line="360" w:lineRule="auto"/>
        <w:ind w:firstLine="480" w:firstLineChars="200"/>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（4）业务管理系统能够直接导出农业保险承保、理赔、批改等数据，并于月度终了后5个工作日内向同级财政和农业农村部门报送完整准确的原始数据信息；</w:t>
      </w:r>
    </w:p>
    <w:p w14:paraId="53C9498D">
      <w:pPr>
        <w:snapToGrid w:val="0"/>
        <w:spacing w:line="360" w:lineRule="auto"/>
        <w:ind w:firstLine="480" w:firstLineChars="200"/>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（5）能够满足农业保险业务管理和服务的需要；保险公司农业保险业务要与其他保险业务分开管理，信息系统支持单独核算农业保险业务损益，能够提供农业保险专项业务报表和损益报表。</w:t>
      </w:r>
    </w:p>
    <w:p w14:paraId="2BF1BFF3">
      <w:pPr>
        <w:pStyle w:val="2"/>
        <w:snapToGrid w:val="0"/>
        <w:spacing w:before="0" w:after="0" w:line="360" w:lineRule="auto"/>
        <w:ind w:firstLine="482"/>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eastAsiaTheme="minorEastAsia" w:cstheme="minorEastAsia"/>
          <w:b/>
          <w:bCs/>
          <w:kern w:val="0"/>
          <w:sz w:val="24"/>
          <w:szCs w:val="24"/>
        </w:rPr>
        <w:t>7、</w:t>
      </w:r>
      <w:r>
        <w:rPr>
          <w:rFonts w:hint="eastAsia" w:asciiTheme="minorEastAsia" w:hAnsiTheme="minorEastAsia" w:eastAsiaTheme="minorEastAsia" w:cstheme="minorEastAsia"/>
          <w:b/>
          <w:bCs/>
          <w:kern w:val="0"/>
          <w:sz w:val="24"/>
          <w:szCs w:val="24"/>
          <w:lang w:eastAsia="zh-CN"/>
        </w:rPr>
        <w:t>服务绩效</w:t>
      </w:r>
    </w:p>
    <w:p w14:paraId="70C24D2E">
      <w:pPr>
        <w:pStyle w:val="2"/>
        <w:snapToGrid w:val="0"/>
        <w:spacing w:before="0" w:after="0" w:line="360" w:lineRule="auto"/>
        <w:ind w:firstLine="480"/>
        <w:jc w:val="both"/>
        <w:rPr>
          <w:rFonts w:hint="eastAsia"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Cs/>
          <w:kern w:val="0"/>
          <w:sz w:val="24"/>
          <w:szCs w:val="24"/>
          <w:lang w:val="en-US" w:eastAsia="zh-CN"/>
        </w:rPr>
        <w:t>（1）三大粮食作物承保率、育肥猪保险等不低于省、市、区下达的年度指标。</w:t>
      </w:r>
    </w:p>
    <w:p w14:paraId="2D59266D">
      <w:pPr>
        <w:pStyle w:val="2"/>
        <w:snapToGrid w:val="0"/>
        <w:spacing w:before="0" w:after="0" w:line="360" w:lineRule="auto"/>
        <w:ind w:firstLine="480"/>
        <w:jc w:val="both"/>
        <w:rPr>
          <w:rFonts w:hint="eastAsia"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Cs/>
          <w:kern w:val="0"/>
          <w:sz w:val="24"/>
          <w:szCs w:val="24"/>
          <w:lang w:val="en-US" w:eastAsia="zh-CN"/>
        </w:rPr>
        <w:t>（2）政策性农业保险保费规模、保障总额不低于上年。</w:t>
      </w:r>
    </w:p>
    <w:p w14:paraId="2D228EDD">
      <w:pPr>
        <w:pStyle w:val="2"/>
        <w:snapToGrid w:val="0"/>
        <w:spacing w:before="0" w:after="0" w:line="360" w:lineRule="auto"/>
        <w:ind w:firstLine="480"/>
        <w:jc w:val="both"/>
        <w:rPr>
          <w:rFonts w:hint="eastAsia"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Cs/>
          <w:kern w:val="0"/>
          <w:sz w:val="24"/>
          <w:szCs w:val="24"/>
          <w:lang w:val="en-US" w:eastAsia="zh-CN"/>
        </w:rPr>
        <w:t>（3）农业保险费用率不高于省有关要求。</w:t>
      </w:r>
    </w:p>
    <w:p w14:paraId="1948ED46">
      <w:pPr>
        <w:pStyle w:val="2"/>
        <w:snapToGrid w:val="0"/>
        <w:spacing w:before="0" w:after="0" w:line="360" w:lineRule="auto"/>
        <w:ind w:firstLine="480"/>
        <w:jc w:val="both"/>
        <w:rPr>
          <w:rFonts w:hint="eastAsia"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Cs/>
          <w:kern w:val="0"/>
          <w:sz w:val="24"/>
          <w:szCs w:val="24"/>
          <w:lang w:val="en-US" w:eastAsia="zh-CN"/>
        </w:rPr>
        <w:t>（4）年度结案率95%以上，按已决赔款、已决案件数计算的理赔结案率不低于省、市、区下达的年度指标。</w:t>
      </w:r>
    </w:p>
    <w:p w14:paraId="64FB655D">
      <w:pPr>
        <w:pStyle w:val="2"/>
        <w:snapToGrid w:val="0"/>
        <w:spacing w:before="0" w:after="0" w:line="360" w:lineRule="auto"/>
        <w:ind w:firstLine="480"/>
        <w:jc w:val="both"/>
        <w:rPr>
          <w:rFonts w:hint="eastAsia"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Cs/>
          <w:kern w:val="0"/>
          <w:sz w:val="24"/>
          <w:szCs w:val="24"/>
          <w:lang w:val="en-US" w:eastAsia="zh-CN"/>
        </w:rPr>
        <w:t>（5）不得因拒绝承保、拖赔、惜赔等损害农民权益行为被农户投诉、举报、上访，理赔纠纷能够得到及时处理，妥善化解矛盾与争议。</w:t>
      </w:r>
    </w:p>
    <w:p w14:paraId="317955C3">
      <w:pPr>
        <w:pStyle w:val="2"/>
        <w:snapToGrid w:val="0"/>
        <w:spacing w:before="0" w:after="0" w:line="360" w:lineRule="auto"/>
        <w:ind w:firstLine="480"/>
        <w:jc w:val="both"/>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lang w:val="en-US" w:eastAsia="zh-CN"/>
        </w:rPr>
        <w:t>（6）按照要求和承诺建设健全基层服务体系和防灾减损工作机制等。</w:t>
      </w:r>
    </w:p>
    <w:p w14:paraId="19537259">
      <w:pPr>
        <w:pStyle w:val="2"/>
        <w:snapToGrid w:val="0"/>
        <w:spacing w:before="0" w:after="0" w:line="360" w:lineRule="auto"/>
        <w:ind w:firstLine="482"/>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8、其他要求</w:t>
      </w:r>
    </w:p>
    <w:p w14:paraId="193931FD">
      <w:pPr>
        <w:pStyle w:val="2"/>
        <w:snapToGrid w:val="0"/>
        <w:spacing w:before="0" w:after="0" w:line="360" w:lineRule="auto"/>
        <w:ind w:firstLine="48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（1）对于本通知印发后开业的承保机构，总公司开业时间需在5年以上（含），存在重组、更名或新设主体依法受让相关业务的，可以原主体开业时间为准；</w:t>
      </w:r>
    </w:p>
    <w:p w14:paraId="1A074E89">
      <w:pPr>
        <w:pStyle w:val="2"/>
        <w:snapToGrid w:val="0"/>
        <w:spacing w:before="0" w:after="0" w:line="360" w:lineRule="auto"/>
        <w:ind w:firstLine="480"/>
        <w:jc w:val="both"/>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（1）政策性农业保险保单（卡）由保险公司统一印制。保单由保险公司开具，须标明“</w:t>
      </w:r>
      <w:r>
        <w:rPr>
          <w:rFonts w:hint="eastAsia" w:asciiTheme="minorEastAsia" w:hAnsiTheme="minorEastAsia" w:eastAsiaTheme="minorEastAsia" w:cstheme="minorEastAsia"/>
          <w:bCs/>
          <w:kern w:val="0"/>
          <w:sz w:val="24"/>
          <w:szCs w:val="24"/>
          <w:lang w:eastAsia="zh-CN"/>
        </w:rPr>
        <w:t>江苏省</w:t>
      </w:r>
      <w:r>
        <w:rPr>
          <w:rFonts w:hint="eastAsia" w:asciiTheme="minorEastAsia" w:hAnsiTheme="minorEastAsia" w:eastAsiaTheme="minorEastAsia" w:cstheme="minorEastAsia"/>
          <w:bCs/>
          <w:kern w:val="0"/>
          <w:sz w:val="24"/>
          <w:szCs w:val="24"/>
        </w:rPr>
        <w:t>政策性农业保险”字样并加盖保险公司业务公章，保单须附公示后的投保到户清册，投保到户清册应做到齐全、准确和完整。</w:t>
      </w:r>
    </w:p>
    <w:p w14:paraId="047D080F">
      <w:pPr>
        <w:pStyle w:val="2"/>
        <w:snapToGrid w:val="0"/>
        <w:spacing w:before="0" w:after="0" w:line="360" w:lineRule="auto"/>
        <w:ind w:firstLine="480"/>
        <w:jc w:val="both"/>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在统筹做好政策性农业保险前提下，承保机构要树立商业性农业保险是政策性农业保险有益补充的理念。开展商业性农业保险创新试点，承保期间，既要覆盖稳定粮食安全和重要民生的大宗农产品险种，又要兼顾我区发生较为频繁和易造成较大损失的高效设施农业险种。</w:t>
      </w:r>
    </w:p>
    <w:p w14:paraId="013CE793">
      <w:pPr>
        <w:pStyle w:val="3"/>
        <w:keepNext w:val="0"/>
        <w:snapToGrid w:val="0"/>
        <w:spacing w:line="360" w:lineRule="auto"/>
        <w:ind w:left="0" w:firstLine="0"/>
        <w:rPr>
          <w:rFonts w:ascii="宋体" w:hAnsi="宋体" w:eastAsia="宋体"/>
          <w:sz w:val="40"/>
        </w:rPr>
      </w:pPr>
      <w:bookmarkStart w:id="100" w:name="_Toc179815314"/>
      <w:bookmarkStart w:id="101" w:name="_Toc179815315"/>
      <w:r>
        <w:rPr>
          <w:rFonts w:hint="eastAsia" w:ascii="黑体" w:hAnsi="黑体" w:cs="黑体"/>
          <w:b w:val="0"/>
          <w:bCs/>
          <w:szCs w:val="44"/>
        </w:rPr>
        <w:t>第八章 评标办法</w:t>
      </w:r>
      <w:bookmarkEnd w:id="100"/>
    </w:p>
    <w:p w14:paraId="5E400526">
      <w:pPr>
        <w:snapToGrid w:val="0"/>
        <w:spacing w:line="360" w:lineRule="auto"/>
        <w:ind w:firstLine="480" w:firstLineChars="200"/>
        <w:rPr>
          <w:rFonts w:ascii="宋体" w:hAnsi="宋体"/>
          <w:sz w:val="24"/>
        </w:rPr>
      </w:pPr>
      <w:r>
        <w:rPr>
          <w:rFonts w:hint="eastAsia" w:ascii="宋体" w:hAnsi="宋体"/>
          <w:sz w:val="24"/>
        </w:rPr>
        <w:t>本项目采用综合评分法，由评委会对所有有效响应进行详细的评分，采用百分制计分方法。评标时，评标委员会各成员遵循公平、公正、择优原则，独立对每个有效供应商的标书进行评价、打分，各个供应商的评审后最终得分为汇总计算所有评委所评定分值的平均值（保留2位小数）。评标结果按评审后得分由高到低顺序排列。得分相同的，按响应报价由低到高顺序排列。得分且响应报价相同的并列。响应文件满足遴选文件全部实质性要求，且按照评审因素的量化指标评审</w:t>
      </w:r>
      <w:r>
        <w:rPr>
          <w:rFonts w:hint="eastAsia" w:ascii="宋体" w:hAnsi="宋体" w:cs="宋体"/>
          <w:sz w:val="24"/>
        </w:rPr>
        <w:t>得分</w:t>
      </w:r>
      <w:r>
        <w:rPr>
          <w:rFonts w:hint="eastAsia" w:ascii="宋体" w:hAnsi="宋体" w:cs="宋体"/>
          <w:sz w:val="24"/>
          <w:lang w:eastAsia="zh-CN"/>
        </w:rPr>
        <w:t>由高到低</w:t>
      </w:r>
      <w:r>
        <w:rPr>
          <w:rFonts w:hint="eastAsia" w:ascii="宋体" w:hAnsi="宋体" w:cs="宋体"/>
          <w:sz w:val="24"/>
        </w:rPr>
        <w:t>顺序确定入围承保机构和承保区域</w:t>
      </w:r>
      <w:r>
        <w:rPr>
          <w:rFonts w:hint="eastAsia" w:ascii="宋体" w:hAnsi="宋体"/>
          <w:sz w:val="24"/>
        </w:rPr>
        <w:t>。本项目选取</w:t>
      </w:r>
      <w:r>
        <w:rPr>
          <w:rFonts w:hint="eastAsia" w:ascii="宋体" w:hAnsi="宋体"/>
          <w:sz w:val="24"/>
          <w:u w:val="single"/>
        </w:rPr>
        <w:t xml:space="preserve"> 1 名</w:t>
      </w:r>
      <w:r>
        <w:rPr>
          <w:rFonts w:hint="eastAsia" w:ascii="宋体" w:hAnsi="宋体"/>
          <w:sz w:val="24"/>
        </w:rPr>
        <w:t>成交人。</w:t>
      </w:r>
    </w:p>
    <w:p w14:paraId="329C3167">
      <w:pPr>
        <w:snapToGrid w:val="0"/>
        <w:spacing w:line="360" w:lineRule="auto"/>
        <w:ind w:firstLine="482" w:firstLineChars="200"/>
        <w:rPr>
          <w:rFonts w:ascii="宋体" w:hAnsi="宋体" w:cs="宋体"/>
          <w:b/>
          <w:sz w:val="24"/>
        </w:rPr>
      </w:pPr>
      <w:r>
        <w:rPr>
          <w:rFonts w:hint="eastAsia" w:ascii="宋体" w:hAnsi="宋体" w:cs="宋体"/>
          <w:b/>
          <w:sz w:val="24"/>
        </w:rPr>
        <w:t>评分细则：</w:t>
      </w:r>
    </w:p>
    <w:tbl>
      <w:tblPr>
        <w:tblStyle w:val="16"/>
        <w:tblW w:w="5339" w:type="pct"/>
        <w:tblInd w:w="-581" w:type="dxa"/>
        <w:tblLayout w:type="autofit"/>
        <w:tblCellMar>
          <w:top w:w="0" w:type="dxa"/>
          <w:left w:w="108" w:type="dxa"/>
          <w:bottom w:w="0" w:type="dxa"/>
          <w:right w:w="108" w:type="dxa"/>
        </w:tblCellMar>
      </w:tblPr>
      <w:tblGrid>
        <w:gridCol w:w="1194"/>
        <w:gridCol w:w="1729"/>
        <w:gridCol w:w="5410"/>
        <w:gridCol w:w="767"/>
      </w:tblGrid>
      <w:tr w14:paraId="70916A31">
        <w:tblPrEx>
          <w:tblCellMar>
            <w:top w:w="0" w:type="dxa"/>
            <w:left w:w="108" w:type="dxa"/>
            <w:bottom w:w="0" w:type="dxa"/>
            <w:right w:w="108" w:type="dxa"/>
          </w:tblCellMar>
        </w:tblPrEx>
        <w:trPr>
          <w:trHeight w:val="580" w:hRule="atLeast"/>
        </w:trPr>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1059">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评审因素</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8EED2">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评审指标</w:t>
            </w:r>
          </w:p>
        </w:tc>
        <w:tc>
          <w:tcPr>
            <w:tcW w:w="2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FAC1">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评分标准</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17003">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分值</w:t>
            </w:r>
          </w:p>
        </w:tc>
      </w:tr>
      <w:tr w14:paraId="254106DF">
        <w:tblPrEx>
          <w:tblCellMar>
            <w:top w:w="0" w:type="dxa"/>
            <w:left w:w="108" w:type="dxa"/>
            <w:bottom w:w="0" w:type="dxa"/>
            <w:right w:w="108" w:type="dxa"/>
          </w:tblCellMar>
        </w:tblPrEx>
        <w:trPr>
          <w:trHeight w:val="878" w:hRule="atLeast"/>
        </w:trPr>
        <w:tc>
          <w:tcPr>
            <w:tcW w:w="45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9ADC4F">
            <w:pPr>
              <w:widowControl/>
              <w:jc w:val="center"/>
              <w:textAlignment w:val="center"/>
              <w:rPr>
                <w:rFonts w:hint="eastAsia" w:asciiTheme="minorEastAsia" w:hAnsiTheme="minorEastAsia" w:cstheme="minorEastAsia"/>
                <w:b/>
                <w:bCs/>
                <w:color w:val="000000"/>
                <w:kern w:val="0"/>
                <w:sz w:val="24"/>
                <w:szCs w:val="24"/>
                <w:lang w:bidi="ar"/>
              </w:rPr>
            </w:pPr>
            <w:r>
              <w:rPr>
                <w:rFonts w:hint="eastAsia" w:ascii="宋体" w:hAnsi="宋体" w:cstheme="minorBidi"/>
                <w:b/>
                <w:bCs/>
                <w:sz w:val="24"/>
                <w:szCs w:val="22"/>
              </w:rPr>
              <w:t>客观分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577F">
            <w:pPr>
              <w:widowControl/>
              <w:jc w:val="center"/>
              <w:textAlignment w:val="center"/>
              <w:rPr>
                <w:rFonts w:hint="default" w:asciiTheme="minorEastAsia" w:hAnsiTheme="minorEastAsia" w:cstheme="minorEastAsia"/>
                <w:b/>
                <w:bCs/>
                <w:color w:val="000000"/>
                <w:kern w:val="0"/>
                <w:sz w:val="24"/>
                <w:szCs w:val="24"/>
                <w:lang w:bidi="ar"/>
              </w:rPr>
            </w:pPr>
            <w:r>
              <w:rPr>
                <w:rFonts w:hint="eastAsia" w:asciiTheme="minorEastAsia" w:hAnsiTheme="minorEastAsia" w:cstheme="minorEastAsia"/>
                <w:b/>
                <w:bCs/>
                <w:color w:val="000000"/>
                <w:kern w:val="0"/>
                <w:sz w:val="24"/>
                <w:szCs w:val="24"/>
                <w:lang w:val="en-US" w:eastAsia="zh-CN" w:bidi="ar"/>
              </w:rPr>
              <w:t>90</w:t>
            </w:r>
          </w:p>
        </w:tc>
      </w:tr>
      <w:tr w14:paraId="792D45D5">
        <w:tblPrEx>
          <w:tblCellMar>
            <w:top w:w="0" w:type="dxa"/>
            <w:left w:w="108" w:type="dxa"/>
            <w:bottom w:w="0" w:type="dxa"/>
            <w:right w:w="108" w:type="dxa"/>
          </w:tblCellMar>
        </w:tblPrEx>
        <w:trPr>
          <w:trHeight w:val="2496" w:hRule="atLeast"/>
        </w:trPr>
        <w:tc>
          <w:tcPr>
            <w:tcW w:w="6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8B1D9B">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服务能力</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（52分）</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2AF4F">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偿付能力</w:t>
            </w:r>
          </w:p>
        </w:tc>
        <w:tc>
          <w:tcPr>
            <w:tcW w:w="2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CA030">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eastAsia="zh-CN" w:bidi="ar"/>
              </w:rPr>
              <w:t>供应商</w:t>
            </w:r>
            <w:r>
              <w:rPr>
                <w:rFonts w:hint="eastAsia" w:asciiTheme="minorEastAsia" w:hAnsiTheme="minorEastAsia" w:cstheme="minorEastAsia"/>
                <w:color w:val="000000"/>
                <w:kern w:val="0"/>
                <w:sz w:val="24"/>
                <w:szCs w:val="24"/>
                <w:lang w:bidi="ar"/>
              </w:rPr>
              <w:t>总公司2023年度综合偿付能力充足率：</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在220%（含）以上的，得5分；</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在210%（含）-220%之间的，得4分；</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在200%（含）-210%之间的，得3分；</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在190%（含）-200%之间的，得2分；</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在180%（含）-190%之间的，得1分；</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低于180%的，得0分。</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【提供</w:t>
            </w:r>
            <w:r>
              <w:rPr>
                <w:rFonts w:hint="eastAsia" w:asciiTheme="minorEastAsia" w:hAnsiTheme="minorEastAsia" w:cstheme="minorEastAsia"/>
                <w:color w:val="000000"/>
                <w:kern w:val="0"/>
                <w:sz w:val="24"/>
                <w:szCs w:val="24"/>
                <w:lang w:eastAsia="zh-CN" w:bidi="ar"/>
              </w:rPr>
              <w:t>供应商</w:t>
            </w:r>
            <w:r>
              <w:rPr>
                <w:rFonts w:hint="eastAsia" w:asciiTheme="minorEastAsia" w:hAnsiTheme="minorEastAsia" w:cstheme="minorEastAsia"/>
                <w:color w:val="000000"/>
                <w:kern w:val="0"/>
                <w:sz w:val="24"/>
                <w:szCs w:val="24"/>
                <w:lang w:bidi="ar"/>
              </w:rPr>
              <w:t>总公司经审计的2023年度偿付能力报告】</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204F">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w:t>
            </w:r>
          </w:p>
        </w:tc>
      </w:tr>
      <w:tr w14:paraId="2D3AD03B">
        <w:tblPrEx>
          <w:tblCellMar>
            <w:top w:w="0" w:type="dxa"/>
            <w:left w:w="108" w:type="dxa"/>
            <w:bottom w:w="0" w:type="dxa"/>
            <w:right w:w="108" w:type="dxa"/>
          </w:tblCellMar>
        </w:tblPrEx>
        <w:trPr>
          <w:trHeight w:val="1248" w:hRule="atLeast"/>
        </w:trPr>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E3FEB">
            <w:pPr>
              <w:jc w:val="center"/>
              <w:rPr>
                <w:rFonts w:asciiTheme="minorEastAsia" w:hAnsiTheme="minorEastAsia" w:cstheme="minorEastAsia"/>
                <w:color w:val="000000"/>
                <w:sz w:val="24"/>
                <w:szCs w:val="24"/>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3B1D9">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基层服务网络</w:t>
            </w:r>
          </w:p>
        </w:tc>
        <w:tc>
          <w:tcPr>
            <w:tcW w:w="2972" w:type="pct"/>
            <w:tcBorders>
              <w:top w:val="single" w:color="000000" w:sz="4" w:space="0"/>
              <w:left w:val="single" w:color="000000" w:sz="4" w:space="0"/>
              <w:bottom w:val="single" w:color="000000" w:sz="4" w:space="0"/>
              <w:right w:val="single" w:color="000000" w:sz="4" w:space="0"/>
            </w:tcBorders>
            <w:shd w:val="clear" w:color="auto" w:fill="auto"/>
          </w:tcPr>
          <w:p w14:paraId="14F06686">
            <w:pPr>
              <w:widowControl/>
              <w:jc w:val="left"/>
              <w:textAlignment w:val="top"/>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eastAsia="zh-CN" w:bidi="ar"/>
              </w:rPr>
              <w:t>供应商</w:t>
            </w:r>
            <w:r>
              <w:rPr>
                <w:rFonts w:hint="eastAsia" w:asciiTheme="minorEastAsia" w:hAnsiTheme="minorEastAsia" w:cstheme="minorEastAsia"/>
                <w:color w:val="000000"/>
                <w:kern w:val="0"/>
                <w:sz w:val="24"/>
                <w:szCs w:val="24"/>
                <w:lang w:bidi="ar"/>
              </w:rPr>
              <w:t>在本项目区域内，每设有一个保险服务网点且正常营业得3分，最高得12分。</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【提供银保监会批准颁发的经营保险业务许可证，营业执照复印件及营业场所现场照片，缺一不可】</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A103">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12</w:t>
            </w:r>
          </w:p>
        </w:tc>
      </w:tr>
      <w:tr w14:paraId="77272717">
        <w:tblPrEx>
          <w:tblCellMar>
            <w:top w:w="0" w:type="dxa"/>
            <w:left w:w="108" w:type="dxa"/>
            <w:bottom w:w="0" w:type="dxa"/>
            <w:right w:w="108" w:type="dxa"/>
          </w:tblCellMar>
        </w:tblPrEx>
        <w:trPr>
          <w:trHeight w:val="936" w:hRule="atLeast"/>
        </w:trPr>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2083C">
            <w:pPr>
              <w:jc w:val="center"/>
              <w:rPr>
                <w:rFonts w:asciiTheme="minorEastAsia" w:hAnsiTheme="minorEastAsia" w:cstheme="minorEastAsia"/>
                <w:color w:val="000000"/>
                <w:sz w:val="24"/>
                <w:szCs w:val="24"/>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96917">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专业服务人员</w:t>
            </w:r>
          </w:p>
        </w:tc>
        <w:tc>
          <w:tcPr>
            <w:tcW w:w="2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4B88B">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eastAsia="zh-CN" w:bidi="ar"/>
              </w:rPr>
              <w:t>供应商</w:t>
            </w:r>
            <w:r>
              <w:rPr>
                <w:rFonts w:hint="eastAsia" w:asciiTheme="minorEastAsia" w:hAnsiTheme="minorEastAsia" w:cstheme="minorEastAsia"/>
                <w:color w:val="000000"/>
                <w:kern w:val="0"/>
                <w:sz w:val="24"/>
                <w:szCs w:val="24"/>
                <w:lang w:bidi="ar"/>
              </w:rPr>
              <w:t>在常州区域内配备专职农业保险服务人员，配备10人及以上得6分，配备8人以上得4.8分，配备6人以上得3.6分，未配备不得分。</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【提供专职人员名单、劳动合同、近3个月社保缴纳凭证（不含投标当月）</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B785">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w:t>
            </w:r>
          </w:p>
        </w:tc>
      </w:tr>
      <w:tr w14:paraId="778AEB67">
        <w:tblPrEx>
          <w:tblCellMar>
            <w:top w:w="0" w:type="dxa"/>
            <w:left w:w="108" w:type="dxa"/>
            <w:bottom w:w="0" w:type="dxa"/>
            <w:right w:w="108" w:type="dxa"/>
          </w:tblCellMar>
        </w:tblPrEx>
        <w:trPr>
          <w:trHeight w:val="2184" w:hRule="atLeast"/>
        </w:trPr>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928F3">
            <w:pPr>
              <w:jc w:val="center"/>
              <w:rPr>
                <w:rFonts w:asciiTheme="minorEastAsia" w:hAnsiTheme="minorEastAsia" w:cstheme="minorEastAsia"/>
                <w:color w:val="000000"/>
                <w:sz w:val="24"/>
                <w:szCs w:val="24"/>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9F16A">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协保体系建设</w:t>
            </w:r>
          </w:p>
        </w:tc>
        <w:tc>
          <w:tcPr>
            <w:tcW w:w="2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93365">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eastAsia="zh-CN" w:bidi="ar"/>
              </w:rPr>
              <w:t>供应商</w:t>
            </w:r>
            <w:r>
              <w:rPr>
                <w:rFonts w:hint="eastAsia" w:asciiTheme="minorEastAsia" w:hAnsiTheme="minorEastAsia" w:cstheme="minorEastAsia"/>
                <w:color w:val="000000"/>
                <w:kern w:val="0"/>
                <w:sz w:val="24"/>
                <w:szCs w:val="24"/>
                <w:lang w:bidi="ar"/>
              </w:rPr>
              <w:t>提供在本项目区域内开展农业保险协保体系建设情况，聘请农业保险协保员并经农业主管部门确认认可的，8人以上得2分，每增加1人得0.5分，本项最高得4分。</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eastAsia="zh-CN" w:bidi="ar"/>
              </w:rPr>
              <w:t>供应商</w:t>
            </w:r>
            <w:r>
              <w:rPr>
                <w:rFonts w:hint="eastAsia" w:asciiTheme="minorEastAsia" w:hAnsiTheme="minorEastAsia" w:cstheme="minorEastAsia"/>
                <w:color w:val="000000"/>
                <w:kern w:val="0"/>
                <w:sz w:val="24"/>
                <w:szCs w:val="24"/>
                <w:lang w:bidi="ar"/>
              </w:rPr>
              <w:t>在本项目区域内聘请兼职人员或农业领域专家，每聘请1人得0.5分，本项最高得2分。</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【提供</w:t>
            </w:r>
            <w:r>
              <w:rPr>
                <w:rFonts w:hint="eastAsia" w:asciiTheme="minorEastAsia" w:hAnsiTheme="minorEastAsia" w:cstheme="minorEastAsia"/>
                <w:color w:val="000000"/>
                <w:kern w:val="0"/>
                <w:sz w:val="24"/>
                <w:szCs w:val="24"/>
                <w:lang w:eastAsia="zh-CN" w:bidi="ar"/>
              </w:rPr>
              <w:t>供应商</w:t>
            </w:r>
            <w:r>
              <w:rPr>
                <w:rFonts w:hint="eastAsia" w:asciiTheme="minorEastAsia" w:hAnsiTheme="minorEastAsia" w:cstheme="minorEastAsia"/>
                <w:color w:val="000000"/>
                <w:kern w:val="0"/>
                <w:sz w:val="24"/>
                <w:szCs w:val="24"/>
                <w:lang w:bidi="ar"/>
              </w:rPr>
              <w:t>（或分支机构）与协保员、兼职人员和农业领域专家签订的服务协议或劳务合同，需在有效期内】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DBBDF">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w:t>
            </w:r>
          </w:p>
        </w:tc>
      </w:tr>
      <w:tr w14:paraId="5D9B0B12">
        <w:tblPrEx>
          <w:tblCellMar>
            <w:top w:w="0" w:type="dxa"/>
            <w:left w:w="108" w:type="dxa"/>
            <w:bottom w:w="0" w:type="dxa"/>
            <w:right w:w="108" w:type="dxa"/>
          </w:tblCellMar>
        </w:tblPrEx>
        <w:trPr>
          <w:trHeight w:val="1286" w:hRule="atLeast"/>
        </w:trPr>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AE3BD">
            <w:pPr>
              <w:jc w:val="center"/>
              <w:rPr>
                <w:rFonts w:asciiTheme="minorEastAsia" w:hAnsiTheme="minorEastAsia" w:cstheme="minorEastAsia"/>
                <w:color w:val="000000"/>
                <w:sz w:val="24"/>
                <w:szCs w:val="24"/>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6480B">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产品创新能力</w:t>
            </w:r>
          </w:p>
        </w:tc>
        <w:tc>
          <w:tcPr>
            <w:tcW w:w="2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AE550">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2022年以来在江苏省内创新保险产品，每1个创新保护产品得0.5分，最高得5分。</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【提供江苏省农业保险工作小组创新产品保护认定文件】</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F6B28">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w:t>
            </w:r>
          </w:p>
        </w:tc>
      </w:tr>
      <w:tr w14:paraId="0A6D8B02">
        <w:tblPrEx>
          <w:tblCellMar>
            <w:top w:w="0" w:type="dxa"/>
            <w:left w:w="108" w:type="dxa"/>
            <w:bottom w:w="0" w:type="dxa"/>
            <w:right w:w="108" w:type="dxa"/>
          </w:tblCellMar>
        </w:tblPrEx>
        <w:trPr>
          <w:trHeight w:val="4142" w:hRule="atLeast"/>
        </w:trPr>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B109A">
            <w:pPr>
              <w:jc w:val="center"/>
              <w:rPr>
                <w:rFonts w:asciiTheme="minorEastAsia" w:hAnsiTheme="minorEastAsia" w:cstheme="minorEastAsia"/>
                <w:color w:val="000000"/>
                <w:sz w:val="24"/>
                <w:szCs w:val="24"/>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1E088">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商业性农业保险发展能力</w:t>
            </w:r>
          </w:p>
        </w:tc>
        <w:tc>
          <w:tcPr>
            <w:tcW w:w="2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3500C">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根据《常州市商业性农业保险创新试点激励政策（试行）》（常财农【2021】54号）、《常州市财政局 常州市农业农村局关于分配2023年度常州市商业性农业保险创新试点份额的通知》（常财农【2023】31号）文件精神，</w:t>
            </w:r>
            <w:r>
              <w:rPr>
                <w:rFonts w:hint="eastAsia" w:asciiTheme="minorEastAsia" w:hAnsiTheme="minorEastAsia" w:cstheme="minorEastAsia"/>
                <w:color w:val="000000"/>
                <w:kern w:val="0"/>
                <w:sz w:val="24"/>
                <w:szCs w:val="24"/>
                <w:lang w:eastAsia="zh-CN" w:bidi="ar"/>
              </w:rPr>
              <w:t>供应商</w:t>
            </w:r>
            <w:r>
              <w:rPr>
                <w:rFonts w:hint="eastAsia" w:asciiTheme="minorEastAsia" w:hAnsiTheme="minorEastAsia" w:cstheme="minorEastAsia"/>
                <w:color w:val="000000"/>
                <w:kern w:val="0"/>
                <w:sz w:val="24"/>
                <w:szCs w:val="24"/>
                <w:lang w:bidi="ar"/>
              </w:rPr>
              <w:t>或当地分支机构完成2023年度常州市商业性农业保险创新试点份额任务，依据完成保费由高到低排名，第一名得10分，第二名得9分，第三名得8分，第四名得7分，第五名得6分，其他得5分。未参与2023年度常州市商业性农业保险创新试点的得5分。本项最多得10分。</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【提供常州市财政局、常州市农业农村局印发的相关文件、未参与2023年度常州市商业性农业保险创新试点的说明】</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FB90">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10</w:t>
            </w:r>
          </w:p>
        </w:tc>
      </w:tr>
      <w:tr w14:paraId="6D9DD266">
        <w:tblPrEx>
          <w:tblCellMar>
            <w:top w:w="0" w:type="dxa"/>
            <w:left w:w="108" w:type="dxa"/>
            <w:bottom w:w="0" w:type="dxa"/>
            <w:right w:w="108" w:type="dxa"/>
          </w:tblCellMar>
        </w:tblPrEx>
        <w:trPr>
          <w:trHeight w:val="2270" w:hRule="atLeast"/>
        </w:trPr>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4B3CE">
            <w:pPr>
              <w:jc w:val="center"/>
              <w:rPr>
                <w:rFonts w:asciiTheme="minorEastAsia" w:hAnsiTheme="minorEastAsia" w:cstheme="minorEastAsia"/>
                <w:color w:val="000000"/>
                <w:sz w:val="24"/>
                <w:szCs w:val="24"/>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48964">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科技赋能</w:t>
            </w:r>
          </w:p>
        </w:tc>
        <w:tc>
          <w:tcPr>
            <w:tcW w:w="2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4A87E">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能够利用卫星、网络、移动端开展农业保险线上化精准承保理赔服务，移动端业务程序能够显示保险标的位置，得1分；能够查验保险标的数量，得1分；能够实现查询保单情况的，得1分；查勘理赔资料能够直接上传的，得1分；最高得4分。</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【提供移动端业务程序照片、有关功能截图等相关证明材料】</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BDE4">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w:t>
            </w:r>
          </w:p>
        </w:tc>
      </w:tr>
      <w:tr w14:paraId="38CCDB05">
        <w:tblPrEx>
          <w:tblCellMar>
            <w:top w:w="0" w:type="dxa"/>
            <w:left w:w="108" w:type="dxa"/>
            <w:bottom w:w="0" w:type="dxa"/>
            <w:right w:w="108" w:type="dxa"/>
          </w:tblCellMar>
        </w:tblPrEx>
        <w:trPr>
          <w:trHeight w:val="3206" w:hRule="atLeast"/>
        </w:trPr>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65EF9">
            <w:pPr>
              <w:jc w:val="center"/>
              <w:rPr>
                <w:rFonts w:asciiTheme="minorEastAsia" w:hAnsiTheme="minorEastAsia" w:cstheme="minorEastAsia"/>
                <w:color w:val="000000"/>
                <w:sz w:val="24"/>
                <w:szCs w:val="24"/>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B7F47">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服务装备</w:t>
            </w:r>
          </w:p>
        </w:tc>
        <w:tc>
          <w:tcPr>
            <w:tcW w:w="2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62B03">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w:t>
            </w:r>
            <w:r>
              <w:rPr>
                <w:rFonts w:hint="eastAsia" w:asciiTheme="minorEastAsia" w:hAnsiTheme="minorEastAsia" w:cstheme="minorEastAsia"/>
                <w:color w:val="000000"/>
                <w:kern w:val="0"/>
                <w:sz w:val="24"/>
                <w:szCs w:val="24"/>
                <w:lang w:eastAsia="zh-CN" w:bidi="ar"/>
              </w:rPr>
              <w:t>供应商</w:t>
            </w:r>
            <w:r>
              <w:rPr>
                <w:rFonts w:hint="eastAsia" w:asciiTheme="minorEastAsia" w:hAnsiTheme="minorEastAsia" w:cstheme="minorEastAsia"/>
                <w:color w:val="000000"/>
                <w:kern w:val="0"/>
                <w:sz w:val="24"/>
                <w:szCs w:val="24"/>
                <w:lang w:bidi="ar"/>
              </w:rPr>
              <w:t>在本项目区域内配置农业保险服务车辆不少于1辆得2分；</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【提供遴选区域车辆清单、车辆行驶证（车主为</w:t>
            </w:r>
            <w:r>
              <w:rPr>
                <w:rFonts w:hint="eastAsia" w:asciiTheme="minorEastAsia" w:hAnsiTheme="minorEastAsia" w:cstheme="minorEastAsia"/>
                <w:color w:val="000000"/>
                <w:kern w:val="0"/>
                <w:sz w:val="24"/>
                <w:szCs w:val="24"/>
                <w:lang w:eastAsia="zh-CN" w:bidi="ar"/>
              </w:rPr>
              <w:t>供应商</w:t>
            </w:r>
            <w:r>
              <w:rPr>
                <w:rFonts w:hint="eastAsia" w:asciiTheme="minorEastAsia" w:hAnsiTheme="minorEastAsia" w:cstheme="minorEastAsia"/>
                <w:color w:val="000000"/>
                <w:kern w:val="0"/>
                <w:sz w:val="24"/>
                <w:szCs w:val="24"/>
                <w:lang w:bidi="ar"/>
              </w:rPr>
              <w:t>或其直属上级机构）、车辆照片（车身喷绘有规范的“理赔服务”或“三农服务”标识）】</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2.</w:t>
            </w:r>
            <w:r>
              <w:rPr>
                <w:rFonts w:hint="eastAsia" w:asciiTheme="minorEastAsia" w:hAnsiTheme="minorEastAsia" w:cstheme="minorEastAsia"/>
                <w:color w:val="000000"/>
                <w:kern w:val="0"/>
                <w:sz w:val="24"/>
                <w:szCs w:val="24"/>
                <w:lang w:eastAsia="zh-CN" w:bidi="ar"/>
              </w:rPr>
              <w:t>供应商</w:t>
            </w:r>
            <w:r>
              <w:rPr>
                <w:rFonts w:hint="eastAsia" w:asciiTheme="minorEastAsia" w:hAnsiTheme="minorEastAsia" w:cstheme="minorEastAsia"/>
                <w:color w:val="000000"/>
                <w:kern w:val="0"/>
                <w:sz w:val="24"/>
                <w:szCs w:val="24"/>
                <w:lang w:bidi="ar"/>
              </w:rPr>
              <w:t>或其区域有直接用于农业保险的服务工具，如无人机等，有一项得1分，最高得2分，没有不得分。</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【提供相关证明材料、购买凭证（发票等）或者固定资产系统的截图】。</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B6D9">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w:t>
            </w:r>
          </w:p>
        </w:tc>
      </w:tr>
      <w:tr w14:paraId="5BFE69A9">
        <w:tblPrEx>
          <w:tblCellMar>
            <w:top w:w="0" w:type="dxa"/>
            <w:left w:w="108" w:type="dxa"/>
            <w:bottom w:w="0" w:type="dxa"/>
            <w:right w:w="108" w:type="dxa"/>
          </w:tblCellMar>
        </w:tblPrEx>
        <w:trPr>
          <w:trHeight w:val="2894" w:hRule="atLeast"/>
        </w:trPr>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D36A8">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合规经营</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（20分）</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68C97">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属地分支机构服务合规水平</w:t>
            </w:r>
          </w:p>
        </w:tc>
        <w:tc>
          <w:tcPr>
            <w:tcW w:w="2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8EA84">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常州市级分支机构在最近公布的年度承保机构服务评价中</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获评“优”的，得20分；</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获评“良”的，得15分</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获评“中”的，得10分；</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因没有承保政策性农险而没有参与评价的参照“中”得10分。</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【提供常州市农业保险工作小组对承保机构服务评价有关情况的文件、没有参与年度评价的说明】</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CE6D">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20</w:t>
            </w:r>
          </w:p>
        </w:tc>
      </w:tr>
      <w:tr w14:paraId="5D04E798">
        <w:tblPrEx>
          <w:tblCellMar>
            <w:top w:w="0" w:type="dxa"/>
            <w:left w:w="108" w:type="dxa"/>
            <w:bottom w:w="0" w:type="dxa"/>
            <w:right w:w="108" w:type="dxa"/>
          </w:tblCellMar>
        </w:tblPrEx>
        <w:trPr>
          <w:trHeight w:val="90" w:hRule="atLeast"/>
        </w:trPr>
        <w:tc>
          <w:tcPr>
            <w:tcW w:w="6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DB80C">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风险管控</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（18分）</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DBBD2">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农业保险业务信息管理水平</w:t>
            </w:r>
          </w:p>
        </w:tc>
        <w:tc>
          <w:tcPr>
            <w:tcW w:w="2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40129">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配备独立的农业保险信息管理系统得1分，具备数据管理和统计分析功能得1分，具备直接导出承保、理赔、批改、汇总等数据功能得1分，具备其他特色功能得1分，最高得4分。</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【提供农业保险信息系统有关功能截图】</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F0C6">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w:t>
            </w:r>
          </w:p>
        </w:tc>
      </w:tr>
      <w:tr w14:paraId="495D817E">
        <w:tblPrEx>
          <w:tblCellMar>
            <w:top w:w="0" w:type="dxa"/>
            <w:left w:w="108" w:type="dxa"/>
            <w:bottom w:w="0" w:type="dxa"/>
            <w:right w:w="108" w:type="dxa"/>
          </w:tblCellMar>
        </w:tblPrEx>
        <w:trPr>
          <w:trHeight w:val="1248" w:hRule="atLeast"/>
        </w:trPr>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5006E">
            <w:pPr>
              <w:jc w:val="center"/>
              <w:rPr>
                <w:rFonts w:asciiTheme="minorEastAsia" w:hAnsiTheme="minorEastAsia" w:cstheme="minorEastAsia"/>
                <w:color w:val="000000"/>
                <w:sz w:val="24"/>
                <w:szCs w:val="24"/>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6B093">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财务会计制度</w:t>
            </w:r>
          </w:p>
        </w:tc>
        <w:tc>
          <w:tcPr>
            <w:tcW w:w="2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85ADC">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eastAsia="zh-CN" w:bidi="ar"/>
              </w:rPr>
              <w:t>供应商</w:t>
            </w:r>
            <w:r>
              <w:rPr>
                <w:rFonts w:hint="eastAsia" w:asciiTheme="minorEastAsia" w:hAnsiTheme="minorEastAsia" w:cstheme="minorEastAsia"/>
                <w:color w:val="000000"/>
                <w:kern w:val="0"/>
                <w:sz w:val="24"/>
                <w:szCs w:val="24"/>
                <w:lang w:bidi="ar"/>
              </w:rPr>
              <w:t>或上一级分公司具有健全的财务会计制度，政策性农业保险业务能够与其他保险业务分开管理核算，有独立核算农业保险业务损益和提供农业保险数据报表的得3分，提供不全或不完整的，得2分，部分实现的得1分，没有不得分。</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【提供相关证明材料】</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90F2">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w:t>
            </w:r>
          </w:p>
        </w:tc>
      </w:tr>
      <w:tr w14:paraId="3C2BBE2F">
        <w:tblPrEx>
          <w:tblCellMar>
            <w:top w:w="0" w:type="dxa"/>
            <w:left w:w="108" w:type="dxa"/>
            <w:bottom w:w="0" w:type="dxa"/>
            <w:right w:w="108" w:type="dxa"/>
          </w:tblCellMar>
        </w:tblPrEx>
        <w:trPr>
          <w:trHeight w:val="1248" w:hRule="atLeast"/>
        </w:trPr>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E24A8">
            <w:pPr>
              <w:jc w:val="center"/>
              <w:rPr>
                <w:rFonts w:asciiTheme="minorEastAsia" w:hAnsiTheme="minorEastAsia" w:cstheme="minorEastAsia"/>
                <w:color w:val="000000"/>
                <w:sz w:val="24"/>
                <w:szCs w:val="24"/>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D7965">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管理制度</w:t>
            </w:r>
          </w:p>
        </w:tc>
        <w:tc>
          <w:tcPr>
            <w:tcW w:w="2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6A1BD">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eastAsia="zh-CN" w:bidi="ar"/>
              </w:rPr>
              <w:t>供应商</w:t>
            </w:r>
            <w:r>
              <w:rPr>
                <w:rFonts w:hint="eastAsia" w:asciiTheme="minorEastAsia" w:hAnsiTheme="minorEastAsia" w:cstheme="minorEastAsia"/>
                <w:color w:val="000000"/>
                <w:kern w:val="0"/>
                <w:sz w:val="24"/>
                <w:szCs w:val="24"/>
                <w:lang w:bidi="ar"/>
              </w:rPr>
              <w:t>或其上级机构按照规定，建立完善的农业保险管理制度，农业保险承保制度、理赔制度、费用管理制度、投诉管理制度、客户回访制度、内控合规制度、档案管理制度、大灾应急预案，每项制度分别得</w:t>
            </w:r>
            <w:r>
              <w:rPr>
                <w:rFonts w:hint="eastAsia" w:asciiTheme="minorEastAsia" w:hAnsiTheme="minorEastAsia" w:cstheme="minorEastAsia"/>
                <w:color w:val="000000"/>
                <w:kern w:val="0"/>
                <w:sz w:val="24"/>
                <w:szCs w:val="24"/>
                <w:lang w:val="en-US" w:eastAsia="zh-CN" w:bidi="ar"/>
              </w:rPr>
              <w:t>1</w:t>
            </w:r>
            <w:r>
              <w:rPr>
                <w:rFonts w:hint="eastAsia" w:asciiTheme="minorEastAsia" w:hAnsiTheme="minorEastAsia" w:cstheme="minorEastAsia"/>
                <w:color w:val="000000"/>
                <w:kern w:val="0"/>
                <w:sz w:val="24"/>
                <w:szCs w:val="24"/>
                <w:lang w:bidi="ar"/>
              </w:rPr>
              <w:t>分，最高得</w:t>
            </w:r>
            <w:r>
              <w:rPr>
                <w:rFonts w:hint="eastAsia" w:asciiTheme="minorEastAsia" w:hAnsiTheme="minorEastAsia" w:cstheme="minorEastAsia"/>
                <w:color w:val="000000"/>
                <w:kern w:val="0"/>
                <w:sz w:val="24"/>
                <w:szCs w:val="24"/>
                <w:lang w:val="en-US" w:eastAsia="zh-CN" w:bidi="ar"/>
              </w:rPr>
              <w:t>8</w:t>
            </w:r>
            <w:r>
              <w:rPr>
                <w:rFonts w:hint="eastAsia" w:asciiTheme="minorEastAsia" w:hAnsiTheme="minorEastAsia" w:cstheme="minorEastAsia"/>
                <w:color w:val="000000"/>
                <w:kern w:val="0"/>
                <w:sz w:val="24"/>
                <w:szCs w:val="24"/>
                <w:lang w:bidi="ar"/>
              </w:rPr>
              <w:t>分。</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【提供公司有关制度文件】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EC2F">
            <w:pPr>
              <w:widowControl/>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kern w:val="0"/>
                <w:sz w:val="24"/>
                <w:szCs w:val="24"/>
                <w:lang w:val="en-US" w:eastAsia="zh-CN" w:bidi="ar"/>
              </w:rPr>
              <w:t>8</w:t>
            </w:r>
          </w:p>
        </w:tc>
      </w:tr>
      <w:tr w14:paraId="7D791B5A">
        <w:tblPrEx>
          <w:tblCellMar>
            <w:top w:w="0" w:type="dxa"/>
            <w:left w:w="108" w:type="dxa"/>
            <w:bottom w:w="0" w:type="dxa"/>
            <w:right w:w="108" w:type="dxa"/>
          </w:tblCellMar>
        </w:tblPrEx>
        <w:trPr>
          <w:trHeight w:val="1248" w:hRule="atLeast"/>
        </w:trPr>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ECAAE">
            <w:pPr>
              <w:jc w:val="center"/>
              <w:rPr>
                <w:rFonts w:asciiTheme="minorEastAsia" w:hAnsiTheme="minorEastAsia" w:cstheme="minorEastAsia"/>
                <w:color w:val="000000"/>
                <w:sz w:val="24"/>
                <w:szCs w:val="24"/>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859D4">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大灾风险分散（准备金）</w:t>
            </w:r>
          </w:p>
        </w:tc>
        <w:tc>
          <w:tcPr>
            <w:tcW w:w="2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52DD8">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按照财政部《农业保险大灾风险准备金管理办法》规定，2022年度和2023年度计提农业保险大灾风险准备金得1分，使用农业保险大灾风险准备金得1分、管理农业保险大灾风险准备金的得1分。</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【提供向省财政部门报送的大灾准备金的计提、使用、管理等情况报告】</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A884">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w:t>
            </w:r>
          </w:p>
        </w:tc>
      </w:tr>
      <w:tr w14:paraId="71BC40B4">
        <w:tblPrEx>
          <w:tblCellMar>
            <w:top w:w="0" w:type="dxa"/>
            <w:left w:w="108" w:type="dxa"/>
            <w:bottom w:w="0" w:type="dxa"/>
            <w:right w:w="108" w:type="dxa"/>
          </w:tblCellMar>
        </w:tblPrEx>
        <w:trPr>
          <w:trHeight w:val="974" w:hRule="atLeast"/>
        </w:trPr>
        <w:tc>
          <w:tcPr>
            <w:tcW w:w="45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173A12">
            <w:pPr>
              <w:widowControl/>
              <w:jc w:val="center"/>
              <w:textAlignment w:val="center"/>
              <w:rPr>
                <w:rFonts w:hint="eastAsia" w:asciiTheme="minorEastAsia" w:hAnsiTheme="minorEastAsia" w:eastAsiaTheme="minorEastAsia" w:cstheme="minorEastAsia"/>
                <w:b/>
                <w:bCs/>
                <w:color w:val="000000"/>
                <w:kern w:val="0"/>
                <w:sz w:val="24"/>
                <w:szCs w:val="24"/>
                <w:lang w:eastAsia="zh-CN" w:bidi="ar"/>
              </w:rPr>
            </w:pPr>
            <w:r>
              <w:rPr>
                <w:rFonts w:hint="eastAsia" w:asciiTheme="minorEastAsia" w:hAnsiTheme="minorEastAsia" w:cstheme="minorEastAsia"/>
                <w:b/>
                <w:bCs/>
                <w:color w:val="000000"/>
                <w:kern w:val="0"/>
                <w:sz w:val="24"/>
                <w:szCs w:val="24"/>
                <w:lang w:eastAsia="zh-CN" w:bidi="ar"/>
              </w:rPr>
              <w:t>主观分</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30AA7">
            <w:pPr>
              <w:widowControl/>
              <w:jc w:val="center"/>
              <w:textAlignment w:val="center"/>
              <w:rPr>
                <w:rFonts w:hint="default"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cstheme="minorEastAsia"/>
                <w:b/>
                <w:bCs/>
                <w:color w:val="000000"/>
                <w:kern w:val="0"/>
                <w:sz w:val="24"/>
                <w:szCs w:val="24"/>
                <w:lang w:val="en-US" w:eastAsia="zh-CN" w:bidi="ar"/>
              </w:rPr>
              <w:t>10</w:t>
            </w:r>
          </w:p>
        </w:tc>
      </w:tr>
      <w:tr w14:paraId="56E69874">
        <w:tblPrEx>
          <w:tblCellMar>
            <w:top w:w="0" w:type="dxa"/>
            <w:left w:w="108" w:type="dxa"/>
            <w:bottom w:w="0" w:type="dxa"/>
            <w:right w:w="108" w:type="dxa"/>
          </w:tblCellMar>
        </w:tblPrEx>
        <w:trPr>
          <w:trHeight w:val="1560" w:hRule="atLeast"/>
        </w:trPr>
        <w:tc>
          <w:tcPr>
            <w:tcW w:w="6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5CE2F">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服务方案</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（10分）</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EC94A">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承保理赔服务方案</w:t>
            </w:r>
          </w:p>
        </w:tc>
        <w:tc>
          <w:tcPr>
            <w:tcW w:w="2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28BED">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结合遴选区域实际，拟定农业保险承保理赔方案，内容应包括但不限于：承保方案、理赔方案、公示方案、客户回访方案、争议处理方案等。评审专家综合评定认为方案能紧密结合实际、内容详实、具有很强的针对性和可行性的得5分；方案较能结合实际、内容较丰富、具有一定的针对性和可行性的得3分；方案基本能结合实际、内容较丰富、具有一定的针对性和可行性的得2分；其他不得分。</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21E13">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w:t>
            </w:r>
          </w:p>
        </w:tc>
      </w:tr>
      <w:tr w14:paraId="4CD31920">
        <w:tblPrEx>
          <w:tblCellMar>
            <w:top w:w="0" w:type="dxa"/>
            <w:left w:w="108" w:type="dxa"/>
            <w:bottom w:w="0" w:type="dxa"/>
            <w:right w:w="108" w:type="dxa"/>
          </w:tblCellMar>
        </w:tblPrEx>
        <w:trPr>
          <w:trHeight w:val="1872" w:hRule="atLeast"/>
        </w:trPr>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C8530">
            <w:pPr>
              <w:jc w:val="center"/>
              <w:rPr>
                <w:rFonts w:asciiTheme="minorEastAsia" w:hAnsiTheme="minorEastAsia" w:cstheme="minorEastAsia"/>
                <w:color w:val="000000"/>
                <w:sz w:val="24"/>
                <w:szCs w:val="24"/>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A5EE8">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服务创新方案</w:t>
            </w:r>
          </w:p>
        </w:tc>
        <w:tc>
          <w:tcPr>
            <w:tcW w:w="2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89338">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结合遴选区域实际，拟定农业保险服务创新方案，内容应包括但不限于：农业保险险种开发工作、农业保险风险减量举措、农业保险领域的科技运用、大灾风险应对等。评审专家综合评定认为方案能紧密结合实际、创新思路多且清晰、具有很强的可行性的得5分；方案较能结合实际、创新思路较多、具有一定可行性的得3分；方案基本能结合实际、创新思路较多、具有一定可行性的得2分；其他不得分。</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7EAC5">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w:t>
            </w:r>
          </w:p>
        </w:tc>
      </w:tr>
    </w:tbl>
    <w:p w14:paraId="499A0B75">
      <w:pPr>
        <w:tabs>
          <w:tab w:val="left" w:pos="5940"/>
        </w:tabs>
        <w:snapToGrid w:val="0"/>
        <w:spacing w:line="360" w:lineRule="auto"/>
        <w:ind w:firstLine="480" w:firstLineChars="200"/>
        <w:jc w:val="left"/>
        <w:rPr>
          <w:rFonts w:ascii="宋体" w:hAnsi="宋体" w:cs="宋体"/>
          <w:bCs/>
          <w:sz w:val="24"/>
        </w:rPr>
      </w:pPr>
      <w:r>
        <w:rPr>
          <w:rFonts w:hint="eastAsia" w:ascii="宋体" w:hAnsi="宋体" w:cs="宋体"/>
          <w:bCs/>
          <w:sz w:val="24"/>
        </w:rPr>
        <w:t>注：</w:t>
      </w:r>
    </w:p>
    <w:p w14:paraId="01B048F2">
      <w:pPr>
        <w:tabs>
          <w:tab w:val="left" w:pos="5940"/>
        </w:tabs>
        <w:snapToGrid w:val="0"/>
        <w:spacing w:line="360" w:lineRule="auto"/>
        <w:ind w:firstLine="480" w:firstLineChars="200"/>
        <w:jc w:val="left"/>
        <w:rPr>
          <w:rFonts w:ascii="宋体" w:hAnsi="宋体" w:cs="宋体"/>
          <w:bCs/>
          <w:sz w:val="24"/>
        </w:rPr>
      </w:pPr>
      <w:r>
        <w:rPr>
          <w:rFonts w:hint="eastAsia" w:ascii="宋体" w:hAnsi="宋体" w:cs="宋体"/>
          <w:bCs/>
          <w:sz w:val="24"/>
        </w:rPr>
        <w:t>1、评分细则中要求提供的证明文件及资料等在响应文件中提供复印件，过时不予接收。</w:t>
      </w:r>
    </w:p>
    <w:p w14:paraId="4BC94CC9">
      <w:pPr>
        <w:tabs>
          <w:tab w:val="left" w:pos="5940"/>
        </w:tabs>
        <w:snapToGrid w:val="0"/>
        <w:spacing w:line="360" w:lineRule="auto"/>
        <w:ind w:firstLine="480" w:firstLineChars="200"/>
        <w:jc w:val="left"/>
        <w:rPr>
          <w:rFonts w:ascii="宋体" w:hAnsi="宋体" w:cs="宋体"/>
          <w:bCs/>
          <w:sz w:val="24"/>
        </w:rPr>
      </w:pPr>
      <w:r>
        <w:rPr>
          <w:rFonts w:hint="eastAsia" w:ascii="宋体" w:hAnsi="宋体" w:cs="宋体"/>
          <w:bCs/>
          <w:sz w:val="24"/>
        </w:rPr>
        <w:t>2、评审时，未能按以上要求提供相应证明的，不作为评审依据，不得分。</w:t>
      </w:r>
    </w:p>
    <w:p w14:paraId="45646253">
      <w:pPr>
        <w:tabs>
          <w:tab w:val="left" w:pos="5940"/>
        </w:tabs>
        <w:snapToGrid w:val="0"/>
        <w:spacing w:line="360" w:lineRule="auto"/>
        <w:ind w:firstLine="480" w:firstLineChars="200"/>
        <w:jc w:val="left"/>
        <w:rPr>
          <w:rFonts w:ascii="宋体" w:hAnsi="宋体" w:cs="宋体"/>
          <w:bCs/>
          <w:sz w:val="24"/>
        </w:rPr>
      </w:pPr>
      <w:r>
        <w:rPr>
          <w:rFonts w:hint="eastAsia" w:ascii="宋体" w:hAnsi="宋体" w:cs="宋体"/>
          <w:bCs/>
          <w:sz w:val="24"/>
        </w:rPr>
        <w:t>3、为便于评分，请供应商按样式逐条列出证明材料所在页码。</w:t>
      </w:r>
    </w:p>
    <w:p w14:paraId="1E5AE966">
      <w:pPr>
        <w:tabs>
          <w:tab w:val="left" w:pos="5940"/>
        </w:tabs>
        <w:snapToGrid w:val="0"/>
        <w:spacing w:line="312" w:lineRule="auto"/>
        <w:ind w:firstLine="458" w:firstLineChars="200"/>
        <w:jc w:val="left"/>
        <w:rPr>
          <w:rFonts w:ascii="宋体" w:hAnsi="宋体" w:cs="宋体"/>
          <w:b/>
          <w:color w:val="FF0000"/>
          <w:spacing w:val="-6"/>
          <w:sz w:val="24"/>
        </w:rPr>
      </w:pPr>
    </w:p>
    <w:p w14:paraId="715225C1">
      <w:pPr>
        <w:tabs>
          <w:tab w:val="left" w:pos="5940"/>
        </w:tabs>
        <w:snapToGrid w:val="0"/>
        <w:spacing w:line="312" w:lineRule="auto"/>
        <w:ind w:firstLine="458" w:firstLineChars="200"/>
        <w:jc w:val="left"/>
        <w:rPr>
          <w:rFonts w:ascii="宋体" w:hAnsi="宋体" w:cs="宋体"/>
          <w:b/>
          <w:color w:val="FF0000"/>
          <w:spacing w:val="-6"/>
          <w:sz w:val="24"/>
        </w:rPr>
      </w:pPr>
    </w:p>
    <w:p w14:paraId="334B0FDD">
      <w:pPr>
        <w:tabs>
          <w:tab w:val="left" w:pos="5940"/>
        </w:tabs>
        <w:snapToGrid w:val="0"/>
        <w:spacing w:line="312" w:lineRule="auto"/>
        <w:ind w:firstLine="458" w:firstLineChars="200"/>
        <w:jc w:val="left"/>
        <w:rPr>
          <w:rFonts w:ascii="宋体" w:hAnsi="宋体" w:cs="宋体"/>
          <w:b/>
          <w:color w:val="FF0000"/>
          <w:spacing w:val="-6"/>
          <w:sz w:val="24"/>
        </w:rPr>
      </w:pPr>
    </w:p>
    <w:p w14:paraId="69F6DB15">
      <w:pPr>
        <w:tabs>
          <w:tab w:val="left" w:pos="5940"/>
        </w:tabs>
        <w:snapToGrid w:val="0"/>
        <w:spacing w:line="312" w:lineRule="auto"/>
        <w:ind w:firstLine="458" w:firstLineChars="200"/>
        <w:jc w:val="left"/>
        <w:rPr>
          <w:rFonts w:ascii="宋体" w:hAnsi="宋体" w:cs="宋体"/>
          <w:b/>
          <w:color w:val="FF0000"/>
          <w:spacing w:val="-6"/>
          <w:sz w:val="24"/>
        </w:rPr>
      </w:pPr>
    </w:p>
    <w:p w14:paraId="6E7D0953">
      <w:pPr>
        <w:tabs>
          <w:tab w:val="left" w:pos="5940"/>
        </w:tabs>
        <w:snapToGrid w:val="0"/>
        <w:spacing w:line="312" w:lineRule="auto"/>
        <w:ind w:firstLine="480" w:firstLineChars="200"/>
        <w:jc w:val="left"/>
        <w:rPr>
          <w:rFonts w:ascii="宋体" w:hAnsi="宋体" w:cs="宋体"/>
          <w:bCs/>
          <w:sz w:val="24"/>
        </w:rPr>
      </w:pPr>
    </w:p>
    <w:p w14:paraId="7EE7D3DC">
      <w:pPr>
        <w:tabs>
          <w:tab w:val="left" w:pos="5940"/>
        </w:tabs>
        <w:snapToGrid w:val="0"/>
        <w:spacing w:line="312" w:lineRule="auto"/>
        <w:jc w:val="left"/>
        <w:rPr>
          <w:rFonts w:ascii="宋体" w:hAnsi="宋体" w:cs="宋体"/>
          <w:bCs/>
          <w:sz w:val="24"/>
        </w:rPr>
      </w:pPr>
    </w:p>
    <w:p w14:paraId="38FD0172">
      <w:pPr>
        <w:pStyle w:val="3"/>
        <w:keepNext w:val="0"/>
        <w:snapToGrid w:val="0"/>
        <w:spacing w:line="360" w:lineRule="auto"/>
        <w:ind w:left="0" w:firstLine="0"/>
        <w:rPr>
          <w:rFonts w:ascii="黑体" w:hAnsi="黑体" w:cs="黑体"/>
          <w:b w:val="0"/>
          <w:bCs/>
          <w:szCs w:val="44"/>
        </w:rPr>
      </w:pPr>
      <w:r>
        <w:rPr>
          <w:rFonts w:hint="eastAsia" w:ascii="黑体" w:hAnsi="黑体" w:cs="黑体"/>
          <w:b w:val="0"/>
          <w:bCs/>
          <w:szCs w:val="44"/>
        </w:rPr>
        <w:t>第九章 合同文本</w:t>
      </w:r>
      <w:bookmarkEnd w:id="101"/>
    </w:p>
    <w:p w14:paraId="4D330019">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甲方（需方）： </w:t>
      </w:r>
    </w:p>
    <w:p w14:paraId="627BD2A5">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乙方（供方）：</w:t>
      </w:r>
    </w:p>
    <w:p w14:paraId="45881591">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签订地点：</w:t>
      </w:r>
    </w:p>
    <w:p w14:paraId="05107A73">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合同签订时间：     年     月    日</w:t>
      </w:r>
    </w:p>
    <w:p w14:paraId="09E89D42">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根据招标编号为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招标文件及投标单位的投标文件和中标通知书，甲、乙双方本着自愿、平等、互利和诚实信用的原则，就此次确定的常州市钟楼区政策性农业保险遴选事宜依法签订本合同。</w:t>
      </w:r>
    </w:p>
    <w:p w14:paraId="488B6D7D">
      <w:pPr>
        <w:snapToGrid w:val="0"/>
        <w:spacing w:line="360" w:lineRule="auto"/>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一、定义</w:t>
      </w:r>
    </w:p>
    <w:p w14:paraId="2F31DDCA">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除非另有特别约定，在本合同以及与本合同有关的甲乙双方另行签订的其他文件中，下列词语按如下定义进行解释：</w:t>
      </w:r>
    </w:p>
    <w:p w14:paraId="1CD6AB8C">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1、“合同”是指甲方和乙方已达成的协议，即由双方签订的合同格式中的文件，包括所有的附件、附录和组成合同部分的所有其他文件。</w:t>
      </w:r>
    </w:p>
    <w:p w14:paraId="6C50C362">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2、“服务”是指本合同约定的乙方同意按照甲方的要求为政策性农业保险的承保、理赔、服务等一系列工作的总称。</w:t>
      </w:r>
    </w:p>
    <w:p w14:paraId="22F31659">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3、“被保险人”是指按本合同约定在乙方处办理政策性农业保险业务的具体投保单位或个人。</w:t>
      </w:r>
    </w:p>
    <w:p w14:paraId="470D6562">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4、“工作日”是指除公休日和国家法定节假日以外的日历日。</w:t>
      </w:r>
    </w:p>
    <w:p w14:paraId="1AC4AF24">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5、“第三方”是指本合同以外的任何中国境内、境外的法人、自然人或其他组织。</w:t>
      </w:r>
    </w:p>
    <w:p w14:paraId="12DA5271">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6、“附件”是指与本合同的订立、履行有关的，经甲乙双方认可的，对本合同约定的内容进行细化、补充、修改、变更的文件、图纸、音像制品等资料。</w:t>
      </w:r>
    </w:p>
    <w:p w14:paraId="56711E46">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7、“乙方”是指为本次招标提供政策性农业保险承保出单、理赔以及相关保险服务的保险机构。</w:t>
      </w:r>
    </w:p>
    <w:p w14:paraId="42285503">
      <w:pPr>
        <w:snapToGrid w:val="0"/>
        <w:spacing w:line="360" w:lineRule="auto"/>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二、适用范围</w:t>
      </w:r>
    </w:p>
    <w:p w14:paraId="6E67333D">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本合同条款仅适用于本次招标所规定的内容。</w:t>
      </w:r>
    </w:p>
    <w:p w14:paraId="4A99F2C3">
      <w:pPr>
        <w:snapToGrid w:val="0"/>
        <w:spacing w:line="360" w:lineRule="auto"/>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三、合同的组成</w:t>
      </w:r>
    </w:p>
    <w:p w14:paraId="01CC6CE5">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下列文件应作为本合同的组成部分：</w:t>
      </w:r>
    </w:p>
    <w:p w14:paraId="6780260D">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1、本合同书；</w:t>
      </w:r>
    </w:p>
    <w:p w14:paraId="5CE94FBD">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2、中标通知书；</w:t>
      </w:r>
    </w:p>
    <w:p w14:paraId="000A543F">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3、投标文件及其附件（含投标人在评标期间递交和确认并经招标代理人同意的对有关问题的补充资料和澄清文件等）；</w:t>
      </w:r>
    </w:p>
    <w:p w14:paraId="5CF385FD">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4、招标文件及其附件（含招标代理人在招标过程中对有关问题的补充资料和澄清文件等，如果有）；</w:t>
      </w:r>
    </w:p>
    <w:p w14:paraId="5BA73E1C">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5、与本次招标有关的并经当事人双方确认的其他文件。</w:t>
      </w:r>
    </w:p>
    <w:p w14:paraId="6FCA8076">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上述文件互为补充和解释，如有不清或相互矛盾之处，以所列顺序在前的为准，但甲乙双方有特别约定的除外。</w:t>
      </w:r>
    </w:p>
    <w:p w14:paraId="748BB817">
      <w:pPr>
        <w:snapToGrid w:val="0"/>
        <w:spacing w:line="360" w:lineRule="auto"/>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四、基本约定</w:t>
      </w:r>
    </w:p>
    <w:p w14:paraId="46515B4C">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1、常州市钟楼区政策性农业保险模式为政府指导下的保险机构承保，区政府不分担保费收入和承担赔付责任。</w:t>
      </w:r>
    </w:p>
    <w:p w14:paraId="2F2E2C0B">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本次招标的险种包含</w:t>
      </w:r>
      <w:r>
        <w:rPr>
          <w:rFonts w:hint="eastAsia" w:asciiTheme="minorEastAsia" w:hAnsiTheme="minorEastAsia" w:cstheme="minorEastAsia"/>
          <w:bCs/>
          <w:kern w:val="0"/>
          <w:sz w:val="24"/>
          <w:szCs w:val="24"/>
        </w:rPr>
        <w:t>种植业、养殖业、高效设施农业、农业机械以及根据上级有关规定和钟楼区农业生产实际情况增设的其他险种</w:t>
      </w:r>
      <w:r>
        <w:rPr>
          <w:rFonts w:hint="eastAsia" w:asciiTheme="minorEastAsia" w:hAnsiTheme="minorEastAsia" w:cstheme="minorEastAsia"/>
          <w:sz w:val="24"/>
          <w:szCs w:val="24"/>
        </w:rPr>
        <w:t>，具体投保险种以最终出具的保单为准。</w:t>
      </w:r>
    </w:p>
    <w:p w14:paraId="01A4410B">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2、保险条款、费率</w:t>
      </w:r>
    </w:p>
    <w:p w14:paraId="4BE8C672">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乙方必须使用经中国银保监会和江苏省农业保险工作小组办公室批准的农险条款和费率。</w:t>
      </w:r>
    </w:p>
    <w:p w14:paraId="09C61E58">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3、投保险种与保险金额/赔偿限额</w:t>
      </w:r>
    </w:p>
    <w:p w14:paraId="450AAF90">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（1）投保的农业保险险种以中央、省、市、区财政补贴的险种为准。</w:t>
      </w:r>
    </w:p>
    <w:p w14:paraId="6DDFBD3A">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（2）保险金额与赔偿限额根据市、区具体情况而定。</w:t>
      </w:r>
    </w:p>
    <w:p w14:paraId="42C8CE49">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4、保险期限</w:t>
      </w:r>
    </w:p>
    <w:p w14:paraId="2F08DB45">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保险期限由保险投保单位或农户选择确定，但应符合下列条件：保险期限符合农业种植业、养殖业生长周期，符合保险条款有关规定，最长为一年。</w:t>
      </w:r>
    </w:p>
    <w:p w14:paraId="73937595">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5、保险服务保证</w:t>
      </w:r>
    </w:p>
    <w:p w14:paraId="3EA236E6">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乙方应保证辖区内每个乡镇具有服务网点和必要的人、财、物，服务网点正常运转。</w:t>
      </w:r>
    </w:p>
    <w:p w14:paraId="1F3CB0F4">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6、履约保证</w:t>
      </w:r>
    </w:p>
    <w:p w14:paraId="7DE35F7B">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乙方严格按合同执行，并接受相关行业主管部门的考核。</w:t>
      </w:r>
    </w:p>
    <w:p w14:paraId="2EFC4D5F">
      <w:pPr>
        <w:snapToGrid w:val="0"/>
        <w:spacing w:line="360" w:lineRule="auto"/>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五、技术要求</w:t>
      </w:r>
    </w:p>
    <w:p w14:paraId="3308C29A">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1、保险模式</w:t>
      </w:r>
    </w:p>
    <w:p w14:paraId="09A2ADA0">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（1）政策性农业保险模式为政府指导下的保险机构承保，区政府不分担保费收入和承担赔付责任。</w:t>
      </w:r>
    </w:p>
    <w:p w14:paraId="57D57738">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（2）本项目乙方需承接钟楼区域内所有政策性农业保险。</w:t>
      </w:r>
    </w:p>
    <w:p w14:paraId="5EB4C9E0">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对享受财政补贴的政策性农业保险品种给予乙方在本行政区域独家经营的首创保护期，保护期一般为3年。保护期与正在履行的服务合同（协议）期限不一致的，可以适当延长。乙方自主开展的其他各类涉农商业性保险品种不受限制。</w:t>
      </w:r>
    </w:p>
    <w:p w14:paraId="0870BD98">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2、运作方式</w:t>
      </w:r>
    </w:p>
    <w:p w14:paraId="7CCA6D72">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（1）投保自愿。钟楼区政策性农业保险按照自主自愿原则，由政府实施引导鼓励，乙方开展组织、宣传、推动，保户自愿投保，农户在承担农业保险部分自缴保费的同时，享受相应比例的财政保费补贴。</w:t>
      </w:r>
    </w:p>
    <w:p w14:paraId="1A8CF651">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（2）政府补贴。钟楼区政策性农业保险各险种保费补贴比例按中央、省、市和区相关文件规定执行。</w:t>
      </w:r>
    </w:p>
    <w:p w14:paraId="60BFD1A3">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（3）市场运作。乙方单独设立农业保险财务账户，单独核算，专款专用，主要用于展业承保、查勘定损、理赔支出、再保支出、协保费用支出等规定用途。</w:t>
      </w:r>
    </w:p>
    <w:p w14:paraId="16910B1A">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保险险种。钟楼区政策性农业保险险种主要包括种植业、养殖业、高效设施农业、农业机械及根据上级有关规定和钟楼区农业生产实际情况增设的其他险种。以上险种根据上级有关规定和本地实际情况进行调整。对于服务期内新增的奖补险种，由正在服务的乙方承办。</w:t>
      </w:r>
    </w:p>
    <w:p w14:paraId="70EC73E2">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钟楼区政策性农业保险各险种保费补贴比例按各级政策规定执行。</w:t>
      </w:r>
    </w:p>
    <w:p w14:paraId="269F2743">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4、保险期限</w:t>
      </w:r>
    </w:p>
    <w:p w14:paraId="612E70FA">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所属范围内主要种植业保险责任的起始时间与终止时间为省统一《保险条款》规定的时间，与保单具体的签订时间无关；其他保险品种的起止时间以保单约定时间为准。</w:t>
      </w:r>
    </w:p>
    <w:p w14:paraId="0D61D1AC">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5、执行的标准和原则</w:t>
      </w:r>
    </w:p>
    <w:p w14:paraId="3A2F5FF1">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乙方应严格按照按照《农业保险条例》《中央财政农业保险保费补贴管理办法》《农业保险承保理赔管理办法》《江苏省省级财政农业保</w:t>
      </w:r>
      <w:r>
        <w:rPr>
          <w:rFonts w:hint="eastAsia" w:asciiTheme="minorEastAsia" w:hAnsiTheme="minorEastAsia" w:cstheme="minorEastAsia"/>
          <w:sz w:val="24"/>
          <w:szCs w:val="24"/>
          <w:lang w:eastAsia="zh-CN"/>
        </w:rPr>
        <w:t>险保</w:t>
      </w:r>
      <w:r>
        <w:rPr>
          <w:rFonts w:hint="eastAsia" w:asciiTheme="minorEastAsia" w:hAnsiTheme="minorEastAsia" w:cstheme="minorEastAsia"/>
          <w:sz w:val="24"/>
          <w:szCs w:val="24"/>
        </w:rPr>
        <w:t>费补贴资金管理办法》《江苏省财政厅关于进一步加强和改进农业保险保费补贴资金管理的通知》等政策制度的规定，结合投标文件的承诺事项实施。</w:t>
      </w:r>
    </w:p>
    <w:p w14:paraId="269820DE">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执行江苏省政策性农业保险条款设定的保险责任。</w:t>
      </w:r>
    </w:p>
    <w:p w14:paraId="671039BF">
      <w:pPr>
        <w:snapToGrid w:val="0"/>
        <w:spacing w:line="360" w:lineRule="auto"/>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六、服务体系及团队要求</w:t>
      </w:r>
    </w:p>
    <w:p w14:paraId="3FE030F7">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乙方须设置农业保险责任部门，并配备必要的农业、保险等相关专业人员，具有较强的农业保险经营和风险管理能力。</w:t>
      </w:r>
    </w:p>
    <w:p w14:paraId="374E34D7">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（1）设立农业保险部门。乙方设置农险业务部门，安排专职人员负责组织实施本项目所有要求，为各被保险人提供承保、理赔及相关农业保险方面的服务，包括内外各方关系的协调工作。</w:t>
      </w:r>
    </w:p>
    <w:p w14:paraId="6B321423">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（2）人员配置。乙方落实展业、核保、出单、查勘、核赔、定损、财务、统计、档案等人员，变更农业保险专职人员应书面报钟楼区农业保险工作领导小组办公室。</w:t>
      </w:r>
    </w:p>
    <w:p w14:paraId="2CCBB768">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（3）乙方公司相关人员应经过专门培训。在业务素质和数量上要充分保障本项目相关条件及要求。</w:t>
      </w:r>
    </w:p>
    <w:p w14:paraId="1980827A">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a、每月5日前，乙方必须按本次招标相关内容、条件的要求，向农险办提交上月份展业、理赔统计报表，同时提交电子文档。</w:t>
      </w:r>
    </w:p>
    <w:p w14:paraId="1E42BE6D">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b、每年度2月15日前，乙方必须按本次招标相关内容、条件的要求，向农险办及其相关管理部门提交上年财政年度决算报告，同时提交电子文档。</w:t>
      </w:r>
    </w:p>
    <w:p w14:paraId="22E438E6">
      <w:pPr>
        <w:snapToGrid w:val="0"/>
        <w:spacing w:line="360" w:lineRule="auto"/>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七、操作流程</w:t>
      </w:r>
    </w:p>
    <w:p w14:paraId="1A39C638">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1、乙方主动到各投保单位或农户处开展政策性农业保险业务并收取保费，各投保单位或农户也可自行到乙方进行投保。</w:t>
      </w:r>
    </w:p>
    <w:p w14:paraId="7337D89F">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乙方根据投保资料协助投保户填写《农业保险投保单》，并完成核保与出单事宜，并在收到投保单5个工作日内将保单正本和保险费发票派专人送达投保人指定地点或指定部门。投保信息要完整，验标后承保。投保信息须包括（但不限于）投保人（被保险人）姓名（或组织名称）、身份证号码（或组织机构代码）、联系方式、标的种类及数量、种养地点、林权信息、标的识别码、总保费、农户自缴保费、资金账号（一卡通或一折通号码、银行卡号码、存折账号等）及开户行信息等内容。</w:t>
      </w:r>
    </w:p>
    <w:p w14:paraId="487AEA7B">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乙方应投保人要求提供上门服务，并在投保人递交投保资料之日起（包括传真形式，但以传真形式递交投保资料之后应补递正本）5个工作日内完成出单事宜并将保单正本和保费收据送达各投保人指定地点或指定部门（人员）。</w:t>
      </w:r>
    </w:p>
    <w:p w14:paraId="3304B488">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4、乙方只有在收取农户自缴保费后，才能向投保人出具相应的保险单和保费收据。</w:t>
      </w:r>
    </w:p>
    <w:p w14:paraId="50C66AC2">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5、承保公示时间不得少于3天。公示期间，乙方若接到对公示内容的反馈意见，应及时进行核实，必要时修改投保信息。</w:t>
      </w:r>
    </w:p>
    <w:p w14:paraId="5665866D">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6、乙方应根据保险标的种植和养殖周期以及条款规定按时做好承保工作。</w:t>
      </w:r>
    </w:p>
    <w:p w14:paraId="23FBF0FC">
      <w:pPr>
        <w:snapToGrid w:val="0"/>
        <w:spacing w:line="360" w:lineRule="auto"/>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八、商务要求</w:t>
      </w:r>
    </w:p>
    <w:p w14:paraId="651F8553">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1、理赔要求</w:t>
      </w:r>
    </w:p>
    <w:p w14:paraId="4B87E91A">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乙方应建立政策性农业保险理赔服务绿色通道，保证农业保险获得优先服务的权利，以优良的服务态度、便利、快捷的上门服务方式响应被保险人的索赔要求，主动迅速地为各被保险人提供优质的理赔服务，不断提高客户满意度。</w:t>
      </w:r>
    </w:p>
    <w:p w14:paraId="15F6AD66">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接报案。乙方应设立24小时保险服务专线电话，全年365天随时接受被保险人的出险报案，并应立即通知本公司相关部门及人员。发生大灾和突发事件后，乙方应启动大灾及突发事件应急预案，会同当地农险办及时向上级政府和上级保险机构汇报灾情及突发事件情况。</w:t>
      </w:r>
    </w:p>
    <w:p w14:paraId="53A2C970">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现场查勘。乙方接到报案后需要进行现场查勘的，应于24小时内到达现场，组织现场查勘工作。如乙方无法按照约定时间到达出险现场，应以被保险人提供的现场照片、损失清单、出险说明及其他证明材料作为赔付理算依据；如被保险人当时无法拍照，可不提供现场照片。对畜禽必须进行现场查勘，病死保险畜禽必须100%无害化处理。</w:t>
      </w:r>
    </w:p>
    <w:p w14:paraId="4F568312">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定责定损。乙方应及时定责定损，对于不属于保险责任的，在接到被保险人赔偿请求后3个工作日内向其发出《拒赔通知书》。重大索赔案件应报农险办审核，并在接到被保险人赔偿请求后10个工作日内向其发出《拒赔通知书》。</w:t>
      </w:r>
    </w:p>
    <w:p w14:paraId="6B0F49CB">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索赔材料递交。乙方接到被保险人索赔材料后应立即审查核实，若认为有关证明或材料不完整，应一次性通知被保险人补充提供有关证明或材料。若乙方在接到索赔资料后10个工作日内未给予有关审核意见，则视为认可索赔资料的完整性。</w:t>
      </w:r>
    </w:p>
    <w:p w14:paraId="4B409D71">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（5）赔款时限。乙方收到被保险人提供的完整必要的索赔材料并达成赔偿协议后10日内无条件支付赔款。</w:t>
      </w:r>
    </w:p>
    <w:p w14:paraId="2A7AC129">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（6）疑难案件处理。乙方对于技术性较强或有争议、疑难的案件时，应当聘请保险公估机构、第三方专家或技术人员参与赔案的处理。</w:t>
      </w:r>
    </w:p>
    <w:p w14:paraId="6F89244E">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（7）理赔签字确认。被保险人必须对定损结果和理赔清单有关内容进行签字确认。如由他人代签，应告知被保险人本人，注明“××代签”不得模仿他人签字，保险机构人员不得代签字。</w:t>
      </w:r>
    </w:p>
    <w:p w14:paraId="7D0FEE20">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（8）理赔公示。乙方应通过三农保险服务站、点，以行政村为单位将相关理赔信息在村务公开栏予以公示，有条件的地区还可另外通过地方报纸集中公示。公示时间不得少于3天。</w:t>
      </w:r>
    </w:p>
    <w:p w14:paraId="0BD4EEBD">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（9）赔付方式。农业保险赔款一律采取转账方式直接支付到农户一卡通财政涉农补贴账户或被保险人银行账户（卡）。</w:t>
      </w:r>
    </w:p>
    <w:p w14:paraId="73E50067">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10）乙方防灾防损服务。乙方制定年度防灾防损方案，报采购方批准后实施，包括防灾防损活动内容、方案、时间、对象、实施责任人等。按计划开展各类保险培训、养殖种植科技培训、防灾防损主体宣传、风险评估活动，提高农户的防灾防损尤其是防范大灾的能力，降低事故发生率、降低因自然灾害造成的损失程度。</w:t>
      </w:r>
    </w:p>
    <w:p w14:paraId="7E5773FB">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（11）乙方负责建立农业种植、养殖技术专家队伍、动物防疫技术专家组、协助开展村镇社区防疫站的技术培训工作以及对农户的知识普及工作。</w:t>
      </w:r>
    </w:p>
    <w:p w14:paraId="1A8DAD80">
      <w:pPr>
        <w:snapToGrid w:val="0"/>
        <w:spacing w:line="360" w:lineRule="auto"/>
        <w:ind w:firstLine="482" w:firstLineChars="200"/>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九、保险期限</w:t>
      </w:r>
    </w:p>
    <w:p w14:paraId="54B5ABAF">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本项目保险服务期共三年，自2025年6月17日零时起至2028年6月16日二十四时止。</w:t>
      </w:r>
    </w:p>
    <w:p w14:paraId="22FEDCA3">
      <w:pPr>
        <w:snapToGrid w:val="0"/>
        <w:spacing w:line="360" w:lineRule="auto"/>
        <w:ind w:firstLine="482" w:firstLineChars="200"/>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十、服务区域</w:t>
      </w:r>
    </w:p>
    <w:p w14:paraId="03D52117">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常州市钟楼区范围内。</w:t>
      </w:r>
    </w:p>
    <w:p w14:paraId="4A30F95B">
      <w:pPr>
        <w:snapToGrid w:val="0"/>
        <w:spacing w:line="360" w:lineRule="auto"/>
        <w:ind w:firstLine="482" w:firstLineChars="200"/>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十一、支付方式和进度要求</w:t>
      </w:r>
    </w:p>
    <w:p w14:paraId="39093D7E">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乙方与区农业农村局核对承保数据，并将核对后的数据提供给区财政局。区财政局对保单进行抽查，在审核检查无误的基础上，将保险费划转承保机构，实行季度结算。</w:t>
      </w:r>
    </w:p>
    <w:p w14:paraId="6C631AF2">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承保的保单生成后，根据政策性农业保险补贴标准，每季度汇总核准一次，根据核准的补贴款项全额支付给乙方。</w:t>
      </w:r>
    </w:p>
    <w:p w14:paraId="24CDC3C8">
      <w:pPr>
        <w:snapToGrid w:val="0"/>
        <w:spacing w:line="360" w:lineRule="auto"/>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十二、信息技术支持</w:t>
      </w:r>
    </w:p>
    <w:p w14:paraId="23E70195">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1、乙方具有完善的农业保险大灾风险分散机制；</w:t>
      </w:r>
    </w:p>
    <w:p w14:paraId="4CECE784">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2、乙方具有完善的基层服务网络；</w:t>
      </w:r>
    </w:p>
    <w:p w14:paraId="7CE4B2B6">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3、信息化建设满足业务管理要求，乙方能够按要求与中国农业再保险股份有限公司约定分保业务信息系统对接；</w:t>
      </w:r>
    </w:p>
    <w:p w14:paraId="634C686C">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4、乙方业务管理系统能够直接导出农业保险承保、理赔、批改等数据，并于月度终了后5个工作日内向同级财政和农业农村部门报送完整准确的原始数据信息；</w:t>
      </w:r>
    </w:p>
    <w:p w14:paraId="283C2E22">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5、乙方能够满足农业保险业务管理和服务的需要；保险公司农业保险业务要与其他保险业务分开管理，信息系统支持单独核算农业保险业务损益，能够提供农业保险专项业务报表和损益报表。</w:t>
      </w:r>
    </w:p>
    <w:p w14:paraId="2F145953">
      <w:pPr>
        <w:snapToGrid w:val="0"/>
        <w:spacing w:line="360" w:lineRule="auto"/>
        <w:ind w:firstLine="482" w:firstLineChars="200"/>
        <w:rPr>
          <w:rFonts w:hint="eastAsia" w:asciiTheme="minorEastAsia" w:hAnsiTheme="minorEastAsia" w:eastAsiaTheme="minorEastAsia" w:cstheme="minorEastAsia"/>
          <w:b/>
          <w:bCs/>
          <w:sz w:val="24"/>
          <w:szCs w:val="24"/>
          <w:lang w:eastAsia="zh-CN"/>
        </w:rPr>
      </w:pPr>
      <w:r>
        <w:rPr>
          <w:rFonts w:hint="eastAsia" w:asciiTheme="minorEastAsia" w:hAnsiTheme="minorEastAsia" w:cstheme="minorEastAsia"/>
          <w:b/>
          <w:bCs/>
          <w:sz w:val="24"/>
          <w:szCs w:val="24"/>
        </w:rPr>
        <w:t>十三、</w:t>
      </w:r>
      <w:r>
        <w:rPr>
          <w:rFonts w:hint="eastAsia" w:asciiTheme="minorEastAsia" w:hAnsiTheme="minorEastAsia" w:cstheme="minorEastAsia"/>
          <w:b/>
          <w:bCs/>
          <w:sz w:val="24"/>
          <w:szCs w:val="24"/>
          <w:lang w:eastAsia="zh-CN"/>
        </w:rPr>
        <w:t>服务绩效</w:t>
      </w:r>
    </w:p>
    <w:p w14:paraId="723E1F51">
      <w:pPr>
        <w:pStyle w:val="2"/>
        <w:snapToGrid w:val="0"/>
        <w:spacing w:before="0" w:after="0" w:line="360" w:lineRule="auto"/>
        <w:ind w:firstLine="480"/>
        <w:jc w:val="both"/>
        <w:rPr>
          <w:rFonts w:hint="eastAsia"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Cs/>
          <w:kern w:val="0"/>
          <w:sz w:val="24"/>
          <w:szCs w:val="24"/>
          <w:lang w:val="en-US" w:eastAsia="zh-CN"/>
        </w:rPr>
        <w:t>1</w:t>
      </w:r>
      <w:r>
        <w:rPr>
          <w:rFonts w:hint="eastAsia" w:asciiTheme="minorEastAsia" w:hAnsiTheme="minorEastAsia" w:eastAsiaTheme="minorEastAsia" w:cstheme="minorEastAsia"/>
          <w:bCs/>
          <w:kern w:val="0"/>
          <w:sz w:val="24"/>
          <w:szCs w:val="24"/>
        </w:rPr>
        <w:t>、</w:t>
      </w:r>
      <w:r>
        <w:rPr>
          <w:rFonts w:hint="eastAsia" w:asciiTheme="minorEastAsia" w:hAnsiTheme="minorEastAsia" w:eastAsiaTheme="minorEastAsia" w:cstheme="minorEastAsia"/>
          <w:bCs/>
          <w:kern w:val="0"/>
          <w:sz w:val="24"/>
          <w:szCs w:val="24"/>
          <w:lang w:val="en-US" w:eastAsia="zh-CN"/>
        </w:rPr>
        <w:t>三大粮食作物承保率、育肥猪保险等不低于省、市、区下达的年度指标。</w:t>
      </w:r>
    </w:p>
    <w:p w14:paraId="15CDEB98">
      <w:pPr>
        <w:pStyle w:val="2"/>
        <w:snapToGrid w:val="0"/>
        <w:spacing w:before="0" w:after="0" w:line="360" w:lineRule="auto"/>
        <w:ind w:firstLine="480"/>
        <w:jc w:val="both"/>
        <w:rPr>
          <w:rFonts w:hint="eastAsia"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Cs/>
          <w:kern w:val="0"/>
          <w:sz w:val="24"/>
          <w:szCs w:val="24"/>
          <w:lang w:val="en-US" w:eastAsia="zh-CN"/>
        </w:rPr>
        <w:t>2</w:t>
      </w:r>
      <w:r>
        <w:rPr>
          <w:rFonts w:hint="eastAsia" w:asciiTheme="minorEastAsia" w:hAnsiTheme="minorEastAsia" w:eastAsiaTheme="minorEastAsia" w:cstheme="minorEastAsia"/>
          <w:bCs/>
          <w:kern w:val="0"/>
          <w:sz w:val="24"/>
          <w:szCs w:val="24"/>
        </w:rPr>
        <w:t>、</w:t>
      </w:r>
      <w:r>
        <w:rPr>
          <w:rFonts w:hint="eastAsia" w:asciiTheme="minorEastAsia" w:hAnsiTheme="minorEastAsia" w:eastAsiaTheme="minorEastAsia" w:cstheme="minorEastAsia"/>
          <w:bCs/>
          <w:kern w:val="0"/>
          <w:sz w:val="24"/>
          <w:szCs w:val="24"/>
          <w:lang w:val="en-US" w:eastAsia="zh-CN"/>
        </w:rPr>
        <w:t>政策性农业保险保费规模、保障总额不低于上年。</w:t>
      </w:r>
    </w:p>
    <w:p w14:paraId="5167B6EA">
      <w:pPr>
        <w:pStyle w:val="2"/>
        <w:snapToGrid w:val="0"/>
        <w:spacing w:before="0" w:after="0" w:line="360" w:lineRule="auto"/>
        <w:ind w:firstLine="480"/>
        <w:jc w:val="both"/>
        <w:rPr>
          <w:rFonts w:hint="eastAsia"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Cs/>
          <w:kern w:val="0"/>
          <w:sz w:val="24"/>
          <w:szCs w:val="24"/>
          <w:lang w:val="en-US" w:eastAsia="zh-CN"/>
        </w:rPr>
        <w:t>3</w:t>
      </w:r>
      <w:r>
        <w:rPr>
          <w:rFonts w:hint="eastAsia" w:asciiTheme="minorEastAsia" w:hAnsiTheme="minorEastAsia" w:eastAsiaTheme="minorEastAsia" w:cstheme="minorEastAsia"/>
          <w:bCs/>
          <w:kern w:val="0"/>
          <w:sz w:val="24"/>
          <w:szCs w:val="24"/>
        </w:rPr>
        <w:t>、</w:t>
      </w:r>
      <w:r>
        <w:rPr>
          <w:rFonts w:hint="eastAsia" w:asciiTheme="minorEastAsia" w:hAnsiTheme="minorEastAsia" w:eastAsiaTheme="minorEastAsia" w:cstheme="minorEastAsia"/>
          <w:bCs/>
          <w:kern w:val="0"/>
          <w:sz w:val="24"/>
          <w:szCs w:val="24"/>
          <w:lang w:val="en-US" w:eastAsia="zh-CN"/>
        </w:rPr>
        <w:t>农业保险费用率不高于省有关要求。</w:t>
      </w:r>
    </w:p>
    <w:p w14:paraId="7D93CE9A">
      <w:pPr>
        <w:pStyle w:val="2"/>
        <w:snapToGrid w:val="0"/>
        <w:spacing w:before="0" w:after="0" w:line="360" w:lineRule="auto"/>
        <w:ind w:firstLine="480"/>
        <w:jc w:val="both"/>
        <w:rPr>
          <w:rFonts w:hint="eastAsia"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Cs/>
          <w:kern w:val="0"/>
          <w:sz w:val="24"/>
          <w:szCs w:val="24"/>
          <w:lang w:val="en-US" w:eastAsia="zh-CN"/>
        </w:rPr>
        <w:t>4</w:t>
      </w:r>
      <w:r>
        <w:rPr>
          <w:rFonts w:hint="eastAsia" w:asciiTheme="minorEastAsia" w:hAnsiTheme="minorEastAsia" w:eastAsiaTheme="minorEastAsia" w:cstheme="minorEastAsia"/>
          <w:bCs/>
          <w:kern w:val="0"/>
          <w:sz w:val="24"/>
          <w:szCs w:val="24"/>
        </w:rPr>
        <w:t>、</w:t>
      </w:r>
      <w:r>
        <w:rPr>
          <w:rFonts w:hint="eastAsia" w:asciiTheme="minorEastAsia" w:hAnsiTheme="minorEastAsia" w:eastAsiaTheme="minorEastAsia" w:cstheme="minorEastAsia"/>
          <w:bCs/>
          <w:kern w:val="0"/>
          <w:sz w:val="24"/>
          <w:szCs w:val="24"/>
          <w:lang w:val="en-US" w:eastAsia="zh-CN"/>
        </w:rPr>
        <w:t>年度结案率95%以上，按已决赔款、已决案件数计算的理赔结案率不低于省、市、区下达的年度指标。</w:t>
      </w:r>
    </w:p>
    <w:p w14:paraId="35C160C2">
      <w:pPr>
        <w:pStyle w:val="2"/>
        <w:snapToGrid w:val="0"/>
        <w:spacing w:before="0" w:after="0" w:line="360" w:lineRule="auto"/>
        <w:ind w:firstLine="480"/>
        <w:jc w:val="both"/>
        <w:rPr>
          <w:rFonts w:hint="eastAsia"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Cs/>
          <w:kern w:val="0"/>
          <w:sz w:val="24"/>
          <w:szCs w:val="24"/>
          <w:lang w:val="en-US" w:eastAsia="zh-CN"/>
        </w:rPr>
        <w:t>5</w:t>
      </w:r>
      <w:r>
        <w:rPr>
          <w:rFonts w:hint="eastAsia" w:asciiTheme="minorEastAsia" w:hAnsiTheme="minorEastAsia" w:eastAsiaTheme="minorEastAsia" w:cstheme="minorEastAsia"/>
          <w:bCs/>
          <w:kern w:val="0"/>
          <w:sz w:val="24"/>
          <w:szCs w:val="24"/>
        </w:rPr>
        <w:t>、</w:t>
      </w:r>
      <w:r>
        <w:rPr>
          <w:rFonts w:hint="eastAsia" w:asciiTheme="minorEastAsia" w:hAnsiTheme="minorEastAsia" w:eastAsiaTheme="minorEastAsia" w:cstheme="minorEastAsia"/>
          <w:bCs/>
          <w:kern w:val="0"/>
          <w:sz w:val="24"/>
          <w:szCs w:val="24"/>
          <w:lang w:val="en-US" w:eastAsia="zh-CN"/>
        </w:rPr>
        <w:t>不得因拒绝承保、拖赔、惜赔等损害农民权益行为被农户投诉、举报、上访，理赔纠纷能够得到及时处理，妥善化解矛盾与争议。</w:t>
      </w:r>
    </w:p>
    <w:p w14:paraId="44CBB244">
      <w:pPr>
        <w:snapToGrid w:val="0"/>
        <w:spacing w:line="360" w:lineRule="auto"/>
        <w:ind w:firstLine="480" w:firstLineChars="200"/>
        <w:rPr>
          <w:rFonts w:hint="eastAsia"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Cs/>
          <w:kern w:val="0"/>
          <w:sz w:val="24"/>
          <w:szCs w:val="24"/>
          <w:lang w:val="en-US" w:eastAsia="zh-CN"/>
        </w:rPr>
        <w:t>6</w:t>
      </w:r>
      <w:r>
        <w:rPr>
          <w:rFonts w:hint="eastAsia" w:asciiTheme="minorEastAsia" w:hAnsiTheme="minorEastAsia" w:eastAsiaTheme="minorEastAsia" w:cstheme="minorEastAsia"/>
          <w:bCs/>
          <w:kern w:val="0"/>
          <w:sz w:val="24"/>
          <w:szCs w:val="24"/>
        </w:rPr>
        <w:t>、</w:t>
      </w:r>
      <w:r>
        <w:rPr>
          <w:rFonts w:hint="eastAsia" w:asciiTheme="minorEastAsia" w:hAnsiTheme="minorEastAsia" w:eastAsiaTheme="minorEastAsia" w:cstheme="minorEastAsia"/>
          <w:bCs/>
          <w:kern w:val="0"/>
          <w:sz w:val="24"/>
          <w:szCs w:val="24"/>
          <w:lang w:val="en-US" w:eastAsia="zh-CN"/>
        </w:rPr>
        <w:t>按照要求和承诺建设健全基层服务体系和防灾减损工作机制等。</w:t>
      </w:r>
    </w:p>
    <w:p w14:paraId="44DE8D0D">
      <w:pPr>
        <w:snapToGrid w:val="0"/>
        <w:spacing w:line="360" w:lineRule="auto"/>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十四、其他要求</w:t>
      </w:r>
    </w:p>
    <w:p w14:paraId="529E1737">
      <w:pPr>
        <w:pStyle w:val="2"/>
        <w:snapToGrid w:val="0"/>
        <w:spacing w:before="0" w:after="0" w:line="360" w:lineRule="auto"/>
        <w:ind w:firstLine="480"/>
        <w:jc w:val="both"/>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1、政策性农业保险保单（卡）由保险公司统一印制。保单由保险公司开具，须标明“</w:t>
      </w:r>
      <w:r>
        <w:rPr>
          <w:rFonts w:hint="eastAsia" w:asciiTheme="minorEastAsia" w:hAnsiTheme="minorEastAsia" w:eastAsiaTheme="minorEastAsia" w:cstheme="minorEastAsia"/>
          <w:bCs/>
          <w:kern w:val="0"/>
          <w:sz w:val="24"/>
          <w:szCs w:val="24"/>
          <w:lang w:eastAsia="zh-CN"/>
        </w:rPr>
        <w:t>江苏省</w:t>
      </w:r>
      <w:r>
        <w:rPr>
          <w:rFonts w:hint="eastAsia" w:asciiTheme="minorEastAsia" w:hAnsiTheme="minorEastAsia" w:eastAsiaTheme="minorEastAsia" w:cstheme="minorEastAsia"/>
          <w:bCs/>
          <w:kern w:val="0"/>
          <w:sz w:val="24"/>
          <w:szCs w:val="24"/>
        </w:rPr>
        <w:t>政策性农业保险”字样并加盖保险公司业务公章，保单须附公示后的投保到户清册，投保到户清册应做到齐全、准确和完整。</w:t>
      </w:r>
    </w:p>
    <w:p w14:paraId="7E9EF684">
      <w:pPr>
        <w:pStyle w:val="2"/>
        <w:snapToGrid w:val="0"/>
        <w:spacing w:before="0" w:after="0" w:line="360" w:lineRule="auto"/>
        <w:ind w:firstLine="480"/>
        <w:jc w:val="both"/>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在统筹做好政策性农业保险前提下，承保机构要树立商业性农业保险是政策性农业保险有益补充的理念。开展商业性农业保险创新试点，承保期间，既要覆盖稳定粮食安全和重要民生的大宗农产品险种，又要兼顾我区发生较为频繁和易造成较大损失的高效设施农业险种。</w:t>
      </w:r>
    </w:p>
    <w:p w14:paraId="5A6FC105">
      <w:pPr>
        <w:snapToGrid w:val="0"/>
        <w:spacing w:line="360" w:lineRule="auto"/>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十五、合同的法律适用及解释</w:t>
      </w:r>
    </w:p>
    <w:p w14:paraId="7F2484E0">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1、本合同及附件的订立、效力、解释、履行、争议的解决等适用本合同签订时有效的中华人民共和国法律、法规、规范性文件的有关规定。</w:t>
      </w:r>
    </w:p>
    <w:p w14:paraId="4FB2A7C1">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2、任何一方对本合同及其附件的解释均应遵循诚实信用原则，依照本合同签订时有效的中华人民共和国的法律、法规、司法解释等相关规定进行。</w:t>
      </w:r>
    </w:p>
    <w:p w14:paraId="64E8D0B6">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3、本合同标题仅供查阅方便，并非对本合同的诠释或解释，本合同中以日表述的时间期限均指公历日。</w:t>
      </w:r>
    </w:p>
    <w:p w14:paraId="413FD8F7">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4、对本合同的任何解释均应以书面做出。</w:t>
      </w:r>
    </w:p>
    <w:p w14:paraId="1057188D">
      <w:pPr>
        <w:snapToGrid w:val="0"/>
        <w:spacing w:line="360" w:lineRule="auto"/>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十六、争议的解决</w:t>
      </w:r>
    </w:p>
    <w:p w14:paraId="79B16816">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在执行本合同中发生的与本合同有关的争端，甲乙双方应通过友好协商解决，经协商不能达成协议时，甲乙双方同意将争议提交常州市仲裁委员会，按照该委员会仲裁规则进行仲裁，仲裁裁决是终局的，对双方均有约束力。</w:t>
      </w:r>
    </w:p>
    <w:p w14:paraId="5BC56BFC">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2、在仲裁期间，除正在进行的仲裁部分外，合同其他部分继续执行。</w:t>
      </w:r>
    </w:p>
    <w:p w14:paraId="624793FA">
      <w:pPr>
        <w:snapToGrid w:val="0"/>
        <w:spacing w:line="360" w:lineRule="auto"/>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十七、合同的变更和终止</w:t>
      </w:r>
    </w:p>
    <w:p w14:paraId="02A9A282">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1、本合同有效期内，乙方连续两年考核不合格或完不成服务承诺的，甲方有权取消乙方承保资格。</w:t>
      </w:r>
    </w:p>
    <w:p w14:paraId="3DBEEAD3">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2、除本合同另有约定外，发生任何以下一种情况，甲方有权解除本合同，对于由此给乙方造成的损失甲方不承担赔偿责任，对于由此给甲方造成的损失，乙方应负赔偿责任：</w:t>
      </w:r>
    </w:p>
    <w:p w14:paraId="5FC9CC23">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（1）乙方有违法违规经营行为，被保险监督管理机关、财政、审计部门处罚的，甲方有权终止“常州市钟楼区政策性农业保险服务合同”。</w:t>
      </w:r>
    </w:p>
    <w:p w14:paraId="7887C9EB">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（2）乙方未按规定及时补交履约保证金的。</w:t>
      </w:r>
    </w:p>
    <w:p w14:paraId="425FCB25">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（3）保险政策发生重大变化时，双方应及时协商重新修订合同相关条款。如协商未达成一致，甲方有权终止合同。</w:t>
      </w:r>
    </w:p>
    <w:p w14:paraId="6E086E21">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3、出现下列情况时本合同自行终止：</w:t>
      </w:r>
    </w:p>
    <w:p w14:paraId="28E90021">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（1）本合同正常履行完毕，双方没有续约约定的。</w:t>
      </w:r>
    </w:p>
    <w:p w14:paraId="4E21A1B2">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（2）甲乙双方协议终止本合同的履行。</w:t>
      </w:r>
    </w:p>
    <w:p w14:paraId="5E4F64A8">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（3）不可抗力导致本合同无法履行或履行不必要时。</w:t>
      </w:r>
    </w:p>
    <w:p w14:paraId="162FCC1F">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（4）一方不履行合同条款，造成另一方无法执行合同协议，协商不能解决的，责任方赔偿损失并经另一方同意后，合同终止。</w:t>
      </w:r>
    </w:p>
    <w:p w14:paraId="7E311124">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4、保密条款</w:t>
      </w:r>
    </w:p>
    <w:p w14:paraId="40FED101">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（1）任何一方对其获知的本合同涉及的所有有形、无形的信息及资料（包括但不限于甲乙双方的往来书面文字文件、电子邮件及信息、电子资料等）中另一方的商业秘密负有保密义务。</w:t>
      </w:r>
    </w:p>
    <w:p w14:paraId="2F9090F9">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（2）除非法律、法规另有规定或得到本合同之另一方的书面许可，任何一方不得向第三方泄露前款规定的商业秘密。保密期限自任何一方获知该商业秘密之日起至本条规定的秘密成为公众信息之日止。</w:t>
      </w:r>
    </w:p>
    <w:p w14:paraId="0D91465B">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5、权利的保留</w:t>
      </w:r>
    </w:p>
    <w:p w14:paraId="7D9639C6">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14:paraId="36691C06">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如果本合同部分条款依据现行有关法律、法规被确认为无效或无法履行，且该部分无效或无法履行的条款不影响本合同其他条款效力的，本合同其他条款继续有效；同时，本合同各方应根据现行有关法律、法规对该部分无效或无法履行的条款进行调整，使其依法成为有效条款，并尽量符合本合同所体现的原则和精神。</w:t>
      </w:r>
    </w:p>
    <w:p w14:paraId="783BFB81">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（3）在本合同履行期间，因中国法律、法规、政策的变化致使本合同的部分条款相冲突、无效或失去可强制执行效力时，甲乙双方应尽快修改本合同中相冲突或无效或失去可强制执行效力的条款。</w:t>
      </w:r>
    </w:p>
    <w:p w14:paraId="33F9A7C8">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6、合同修改</w:t>
      </w:r>
    </w:p>
    <w:p w14:paraId="4CABE993">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（1）对于本合同的未尽事宜，需进行修改、补充或完善的，甲乙双方必须就所修改的内容签订书面的合同修改书，作为本合同的补充协议。</w:t>
      </w:r>
    </w:p>
    <w:p w14:paraId="3CA0126C">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（2）补充协议与本合同具有同等法律效力。</w:t>
      </w:r>
    </w:p>
    <w:p w14:paraId="0B2C7D51">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7、合同生效及其他</w:t>
      </w:r>
    </w:p>
    <w:p w14:paraId="7D00DB8B">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（1）除非合同中另有说明，本合同经甲乙双方代表人或授权代理人签字盖章后，即开始生效。</w:t>
      </w:r>
    </w:p>
    <w:p w14:paraId="69E0C301">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（2）本合同中的附件均为本合同不可分割的部分，与本合同具有同等的法律效力。</w:t>
      </w:r>
    </w:p>
    <w:p w14:paraId="7761C213">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（3）本合同期满后，在合同有效期内乙方与被保险人签订的农业保险单，在保险单约定的保险期限内继续有效。</w:t>
      </w:r>
    </w:p>
    <w:p w14:paraId="3FC2071E">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、合同附件</w:t>
      </w:r>
    </w:p>
    <w:p w14:paraId="0C768D98">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附件1：招标文件及其附件</w:t>
      </w:r>
    </w:p>
    <w:p w14:paraId="06CCF6E6">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附件2：投标文件及其附件</w:t>
      </w:r>
    </w:p>
    <w:p w14:paraId="6ECE3708">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附件3：中标通知书</w:t>
      </w:r>
    </w:p>
    <w:p w14:paraId="15101F88">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、合同保存</w:t>
      </w:r>
    </w:p>
    <w:p w14:paraId="4BB0AC3C">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本合同一式伍份，甲方两份，乙方两份，常州市政府采购中心壹份（由乙方提交）。</w:t>
      </w:r>
    </w:p>
    <w:p w14:paraId="5994B500">
      <w:pPr>
        <w:snapToGrid w:val="0"/>
        <w:spacing w:line="360" w:lineRule="auto"/>
        <w:ind w:firstLine="480" w:firstLineChars="200"/>
        <w:jc w:val="left"/>
        <w:rPr>
          <w:rFonts w:asciiTheme="minorEastAsia" w:hAnsiTheme="minorEastAsia" w:cstheme="minorEastAsia"/>
          <w:sz w:val="24"/>
          <w:szCs w:val="24"/>
        </w:rPr>
      </w:pPr>
    </w:p>
    <w:p w14:paraId="4360A847">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甲方（盖公章）：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乙方（盖公章）：</w:t>
      </w:r>
    </w:p>
    <w:p w14:paraId="1B657D2C">
      <w:pPr>
        <w:snapToGrid w:val="0"/>
        <w:spacing w:line="360" w:lineRule="auto"/>
        <w:ind w:firstLine="480" w:firstLineChars="200"/>
        <w:jc w:val="left"/>
        <w:rPr>
          <w:rFonts w:asciiTheme="minorEastAsia" w:hAnsiTheme="minorEastAsia" w:cstheme="minorEastAsia"/>
          <w:sz w:val="24"/>
          <w:szCs w:val="24"/>
        </w:rPr>
      </w:pPr>
    </w:p>
    <w:p w14:paraId="64F531B8">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或负责人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法定代表人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或负责人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w:t>
      </w:r>
    </w:p>
    <w:p w14:paraId="44C86B71">
      <w:pPr>
        <w:snapToGrid w:val="0"/>
        <w:spacing w:line="360" w:lineRule="auto"/>
        <w:ind w:firstLine="480" w:firstLineChars="200"/>
        <w:jc w:val="left"/>
        <w:rPr>
          <w:rFonts w:asciiTheme="minorEastAsia" w:hAnsiTheme="minorEastAsia" w:cstheme="minorEastAsia"/>
          <w:sz w:val="24"/>
          <w:szCs w:val="24"/>
        </w:rPr>
      </w:pPr>
    </w:p>
    <w:p w14:paraId="5478CC7E">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代理人：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代理人：</w:t>
      </w:r>
    </w:p>
    <w:p w14:paraId="409A7D43">
      <w:pPr>
        <w:snapToGrid w:val="0"/>
        <w:spacing w:line="360" w:lineRule="auto"/>
        <w:ind w:firstLine="480" w:firstLineChars="200"/>
        <w:jc w:val="left"/>
        <w:rPr>
          <w:rFonts w:asciiTheme="minorEastAsia" w:hAnsiTheme="minorEastAsia" w:cstheme="minorEastAsia"/>
          <w:sz w:val="24"/>
          <w:szCs w:val="24"/>
        </w:rPr>
      </w:pPr>
    </w:p>
    <w:p w14:paraId="3225D705">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经办人：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电话：</w:t>
      </w:r>
    </w:p>
    <w:p w14:paraId="6F7511CB">
      <w:pPr>
        <w:snapToGrid w:val="0"/>
        <w:spacing w:line="360" w:lineRule="auto"/>
        <w:ind w:firstLine="480" w:firstLineChars="200"/>
        <w:jc w:val="left"/>
        <w:rPr>
          <w:rFonts w:asciiTheme="minorEastAsia" w:hAnsiTheme="minorEastAsia" w:cstheme="minorEastAsia"/>
          <w:sz w:val="24"/>
          <w:szCs w:val="24"/>
        </w:rPr>
      </w:pPr>
    </w:p>
    <w:p w14:paraId="67714680">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电话：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开户银行：</w:t>
      </w:r>
    </w:p>
    <w:p w14:paraId="58B71CAB">
      <w:pPr>
        <w:snapToGrid w:val="0"/>
        <w:spacing w:line="360" w:lineRule="auto"/>
        <w:ind w:firstLine="480" w:firstLineChars="200"/>
        <w:jc w:val="left"/>
        <w:rPr>
          <w:rFonts w:asciiTheme="minorEastAsia" w:hAnsiTheme="minorEastAsia" w:cstheme="minorEastAsia"/>
          <w:sz w:val="24"/>
          <w:szCs w:val="24"/>
        </w:rPr>
      </w:pPr>
    </w:p>
    <w:p w14:paraId="48CC9F64">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银行账号：</w:t>
      </w:r>
    </w:p>
    <w:p w14:paraId="1BF7A375">
      <w:pPr>
        <w:snapToGrid w:val="0"/>
        <w:spacing w:line="360" w:lineRule="auto"/>
        <w:ind w:firstLine="480" w:firstLineChars="200"/>
        <w:jc w:val="left"/>
        <w:rPr>
          <w:rFonts w:asciiTheme="minorEastAsia" w:hAnsiTheme="minorEastAsia" w:cstheme="minorEastAsia"/>
          <w:sz w:val="24"/>
          <w:szCs w:val="24"/>
        </w:rPr>
      </w:pPr>
    </w:p>
    <w:p w14:paraId="1F273556">
      <w:pPr>
        <w:snapToGrid w:val="0"/>
        <w:spacing w:line="360" w:lineRule="auto"/>
        <w:ind w:firstLine="480" w:firstLineChars="200"/>
        <w:jc w:val="left"/>
        <w:rPr>
          <w:rFonts w:asciiTheme="minorEastAsia" w:hAnsiTheme="minorEastAsia" w:cstheme="minorEastAsia"/>
          <w:sz w:val="24"/>
          <w:szCs w:val="24"/>
        </w:rPr>
      </w:pPr>
    </w:p>
    <w:p w14:paraId="7F8FE911">
      <w:pPr>
        <w:snapToGrid w:val="0"/>
        <w:spacing w:line="360" w:lineRule="auto"/>
        <w:ind w:firstLine="480" w:firstLineChars="200"/>
        <w:jc w:val="left"/>
        <w:rPr>
          <w:rFonts w:asciiTheme="minorEastAsia" w:hAnsiTheme="minorEastAsia" w:cstheme="minorEastAsia"/>
          <w:sz w:val="24"/>
          <w:szCs w:val="24"/>
        </w:rPr>
      </w:pPr>
    </w:p>
    <w:p w14:paraId="4E8B7B57">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集中采购机构（盖公章）：</w:t>
      </w:r>
    </w:p>
    <w:p w14:paraId="3254F183">
      <w:pPr>
        <w:snapToGrid w:val="0"/>
        <w:spacing w:line="360" w:lineRule="auto"/>
        <w:ind w:firstLine="480" w:firstLineChars="200"/>
        <w:jc w:val="left"/>
        <w:rPr>
          <w:rFonts w:asciiTheme="minorEastAsia" w:hAnsiTheme="minorEastAsia" w:cstheme="minorEastAsia"/>
          <w:sz w:val="24"/>
          <w:szCs w:val="24"/>
        </w:rPr>
      </w:pPr>
    </w:p>
    <w:p w14:paraId="3FDE7B01">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或负责人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w:t>
      </w:r>
    </w:p>
    <w:p w14:paraId="778B16FA">
      <w:pPr>
        <w:snapToGrid w:val="0"/>
        <w:spacing w:line="360" w:lineRule="auto"/>
        <w:ind w:firstLine="480" w:firstLineChars="200"/>
        <w:jc w:val="left"/>
        <w:rPr>
          <w:rFonts w:asciiTheme="minorEastAsia" w:hAnsiTheme="minorEastAsia" w:cstheme="minorEastAsia"/>
          <w:sz w:val="24"/>
          <w:szCs w:val="24"/>
        </w:rPr>
      </w:pPr>
    </w:p>
    <w:p w14:paraId="38D265E5">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代理人：</w:t>
      </w:r>
    </w:p>
    <w:p w14:paraId="4AECC2E8">
      <w:pPr>
        <w:snapToGrid w:val="0"/>
        <w:spacing w:line="360" w:lineRule="auto"/>
        <w:ind w:firstLine="480" w:firstLineChars="200"/>
        <w:jc w:val="left"/>
        <w:rPr>
          <w:rFonts w:asciiTheme="minorEastAsia" w:hAnsiTheme="minorEastAsia" w:cstheme="minorEastAsia"/>
          <w:sz w:val="24"/>
          <w:szCs w:val="24"/>
        </w:rPr>
      </w:pPr>
    </w:p>
    <w:p w14:paraId="357250F0">
      <w:pPr>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经办人：</w:t>
      </w:r>
    </w:p>
    <w:p w14:paraId="2AF45E36">
      <w:pPr>
        <w:tabs>
          <w:tab w:val="left" w:pos="5940"/>
        </w:tabs>
        <w:snapToGrid w:val="0"/>
        <w:spacing w:line="312" w:lineRule="auto"/>
        <w:jc w:val="left"/>
        <w:rPr>
          <w:rFonts w:ascii="宋体" w:hAnsi="宋体" w:cs="宋体"/>
          <w:bCs/>
          <w:sz w:val="24"/>
        </w:rPr>
      </w:pPr>
    </w:p>
    <w:p w14:paraId="2BFBC07F"/>
    <w:p w14:paraId="741492D6"/>
    <w:p w14:paraId="54521F9D"/>
    <w:p w14:paraId="42A8007C"/>
    <w:p w14:paraId="0D0A768D">
      <w:pPr>
        <w:pStyle w:val="2"/>
      </w:pPr>
    </w:p>
    <w:p w14:paraId="4834157C">
      <w:pPr>
        <w:pStyle w:val="2"/>
      </w:pPr>
    </w:p>
    <w:p w14:paraId="53A8624E">
      <w:pPr>
        <w:pStyle w:val="2"/>
      </w:pPr>
    </w:p>
    <w:p w14:paraId="45794AC3">
      <w:pPr>
        <w:pStyle w:val="2"/>
      </w:pPr>
    </w:p>
    <w:p w14:paraId="18FC6E6F">
      <w:pPr>
        <w:pStyle w:val="2"/>
      </w:pPr>
    </w:p>
    <w:p w14:paraId="3F4DCB13">
      <w:pPr>
        <w:rPr>
          <w:rFonts w:hint="eastAsia" w:eastAsiaTheme="minorEastAsia"/>
          <w:b/>
          <w:lang w:eastAsia="zh-CN"/>
        </w:rPr>
      </w:pPr>
      <w:r>
        <w:rPr>
          <w:rFonts w:hint="eastAsia"/>
          <w:b/>
        </w:rPr>
        <w:t>附件</w:t>
      </w:r>
      <w:r>
        <w:rPr>
          <w:rFonts w:hint="eastAsia"/>
          <w:b/>
          <w:lang w:eastAsia="zh-CN"/>
        </w:rPr>
        <w:t>五</w:t>
      </w:r>
    </w:p>
    <w:p w14:paraId="26D829AB">
      <w:pPr>
        <w:jc w:val="center"/>
        <w:rPr>
          <w:rFonts w:ascii="宋体" w:hAnsi="宋体" w:cs="仿宋"/>
          <w:b/>
          <w:bCs/>
          <w:sz w:val="32"/>
          <w:szCs w:val="32"/>
        </w:rPr>
      </w:pPr>
      <w:r>
        <w:rPr>
          <w:rFonts w:hint="eastAsia" w:ascii="宋体" w:hAnsi="宋体" w:cs="仿宋"/>
          <w:b/>
          <w:bCs/>
          <w:sz w:val="32"/>
          <w:szCs w:val="32"/>
        </w:rPr>
        <w:t>异议函范本</w:t>
      </w:r>
    </w:p>
    <w:p w14:paraId="4DC34748">
      <w:pPr>
        <w:adjustRightInd w:val="0"/>
        <w:spacing w:line="360" w:lineRule="auto"/>
        <w:rPr>
          <w:rFonts w:ascii="宋体" w:hAnsi="宋体" w:cs="仿宋"/>
          <w:bCs/>
          <w:sz w:val="24"/>
          <w:szCs w:val="24"/>
        </w:rPr>
      </w:pPr>
      <w:r>
        <w:rPr>
          <w:rFonts w:hint="eastAsia" w:ascii="宋体" w:hAnsi="宋体" w:cs="仿宋"/>
          <w:bCs/>
          <w:sz w:val="24"/>
          <w:szCs w:val="24"/>
        </w:rPr>
        <w:t>一、异议供应商基本信息</w:t>
      </w:r>
    </w:p>
    <w:p w14:paraId="57927DE8">
      <w:pPr>
        <w:adjustRightInd w:val="0"/>
        <w:spacing w:line="360" w:lineRule="auto"/>
        <w:rPr>
          <w:rFonts w:ascii="宋体" w:hAnsi="宋体" w:cs="仿宋"/>
          <w:sz w:val="24"/>
          <w:szCs w:val="24"/>
          <w:u w:val="dotted"/>
        </w:rPr>
      </w:pPr>
      <w:r>
        <w:rPr>
          <w:rFonts w:hint="eastAsia" w:ascii="宋体" w:hAnsi="宋体" w:cs="仿宋"/>
          <w:sz w:val="24"/>
          <w:szCs w:val="24"/>
        </w:rPr>
        <w:t>异议供应商：</w:t>
      </w:r>
      <w:r>
        <w:rPr>
          <w:rFonts w:hint="eastAsia" w:ascii="宋体" w:hAnsi="宋体" w:cs="仿宋"/>
          <w:sz w:val="24"/>
          <w:szCs w:val="24"/>
          <w:u w:val="dotted"/>
        </w:rPr>
        <w:t xml:space="preserve">                                                              </w:t>
      </w:r>
    </w:p>
    <w:p w14:paraId="29F50493">
      <w:pPr>
        <w:adjustRightInd w:val="0"/>
        <w:spacing w:line="360" w:lineRule="auto"/>
        <w:rPr>
          <w:rFonts w:ascii="宋体" w:hAnsi="宋体" w:cs="仿宋"/>
          <w:sz w:val="24"/>
          <w:szCs w:val="24"/>
        </w:rPr>
      </w:pPr>
      <w:r>
        <w:rPr>
          <w:rFonts w:hint="eastAsia" w:ascii="宋体" w:hAnsi="宋体" w:cs="仿宋"/>
          <w:sz w:val="24"/>
          <w:szCs w:val="24"/>
        </w:rPr>
        <w:t>地址：</w:t>
      </w:r>
      <w:r>
        <w:rPr>
          <w:rFonts w:hint="eastAsia" w:ascii="宋体" w:hAnsi="宋体" w:cs="仿宋"/>
          <w:sz w:val="24"/>
          <w:szCs w:val="24"/>
          <w:u w:val="dotted"/>
        </w:rPr>
        <w:t xml:space="preserve">                             </w:t>
      </w:r>
      <w:r>
        <w:rPr>
          <w:rFonts w:hint="eastAsia" w:ascii="宋体" w:hAnsi="宋体" w:cs="仿宋"/>
          <w:sz w:val="24"/>
          <w:szCs w:val="24"/>
        </w:rPr>
        <w:t>邮编：</w:t>
      </w:r>
      <w:r>
        <w:rPr>
          <w:rFonts w:hint="eastAsia" w:ascii="宋体" w:hAnsi="宋体" w:cs="仿宋"/>
          <w:sz w:val="24"/>
          <w:szCs w:val="24"/>
          <w:u w:val="dotted"/>
        </w:rPr>
        <w:t xml:space="preserve">                                    </w:t>
      </w:r>
    </w:p>
    <w:p w14:paraId="37BD4655">
      <w:pPr>
        <w:adjustRightInd w:val="0"/>
        <w:spacing w:line="360" w:lineRule="auto"/>
        <w:rPr>
          <w:rFonts w:ascii="宋体" w:hAnsi="宋体" w:cs="仿宋"/>
          <w:sz w:val="24"/>
          <w:szCs w:val="24"/>
        </w:rPr>
      </w:pPr>
      <w:r>
        <w:rPr>
          <w:rFonts w:hint="eastAsia" w:ascii="宋体" w:hAnsi="宋体" w:cs="仿宋"/>
          <w:sz w:val="24"/>
          <w:szCs w:val="24"/>
        </w:rPr>
        <w:t>联系人：</w:t>
      </w:r>
      <w:r>
        <w:rPr>
          <w:rFonts w:hint="eastAsia" w:ascii="宋体" w:hAnsi="宋体" w:cs="仿宋"/>
          <w:sz w:val="24"/>
          <w:szCs w:val="24"/>
          <w:u w:val="dotted"/>
        </w:rPr>
        <w:t xml:space="preserve">                      </w:t>
      </w:r>
      <w:r>
        <w:rPr>
          <w:rFonts w:hint="eastAsia" w:ascii="宋体" w:hAnsi="宋体" w:cs="仿宋"/>
          <w:sz w:val="24"/>
          <w:szCs w:val="24"/>
        </w:rPr>
        <w:t>联系电话：</w:t>
      </w:r>
      <w:r>
        <w:rPr>
          <w:rFonts w:hint="eastAsia" w:ascii="宋体" w:hAnsi="宋体" w:cs="仿宋"/>
          <w:sz w:val="24"/>
          <w:szCs w:val="24"/>
          <w:u w:val="dotted"/>
        </w:rPr>
        <w:t xml:space="preserve">                                       </w:t>
      </w:r>
    </w:p>
    <w:p w14:paraId="733FF6EE">
      <w:pPr>
        <w:adjustRightInd w:val="0"/>
        <w:spacing w:line="360" w:lineRule="auto"/>
        <w:rPr>
          <w:rFonts w:ascii="宋体" w:hAnsi="宋体" w:cs="仿宋"/>
          <w:sz w:val="24"/>
          <w:szCs w:val="24"/>
          <w:u w:val="dotted"/>
        </w:rPr>
      </w:pPr>
      <w:r>
        <w:rPr>
          <w:rFonts w:hint="eastAsia" w:ascii="宋体" w:hAnsi="宋体" w:cs="仿宋"/>
          <w:sz w:val="24"/>
          <w:szCs w:val="24"/>
        </w:rPr>
        <w:t>授权代表：</w:t>
      </w:r>
      <w:r>
        <w:rPr>
          <w:rFonts w:hint="eastAsia" w:ascii="宋体" w:hAnsi="宋体" w:cs="仿宋"/>
          <w:sz w:val="24"/>
          <w:szCs w:val="24"/>
          <w:u w:val="dotted"/>
        </w:rPr>
        <w:t xml:space="preserve">                                                                 </w:t>
      </w:r>
    </w:p>
    <w:p w14:paraId="77F0F04F">
      <w:pPr>
        <w:adjustRightInd w:val="0"/>
        <w:spacing w:line="360" w:lineRule="auto"/>
        <w:rPr>
          <w:rFonts w:ascii="宋体" w:hAnsi="宋体" w:cs="仿宋"/>
          <w:sz w:val="24"/>
          <w:szCs w:val="24"/>
        </w:rPr>
      </w:pPr>
      <w:r>
        <w:rPr>
          <w:rFonts w:hint="eastAsia" w:ascii="宋体" w:hAnsi="宋体" w:cs="仿宋"/>
          <w:sz w:val="24"/>
          <w:szCs w:val="24"/>
        </w:rPr>
        <w:t>联系电话：</w:t>
      </w:r>
      <w:r>
        <w:rPr>
          <w:rFonts w:hint="eastAsia" w:ascii="宋体" w:hAnsi="宋体" w:cs="仿宋"/>
          <w:sz w:val="24"/>
          <w:szCs w:val="24"/>
          <w:u w:val="dotted"/>
        </w:rPr>
        <w:t xml:space="preserve">                                                                </w:t>
      </w:r>
    </w:p>
    <w:p w14:paraId="713FFD9C">
      <w:pPr>
        <w:adjustRightInd w:val="0"/>
        <w:spacing w:line="360" w:lineRule="auto"/>
        <w:rPr>
          <w:rFonts w:ascii="宋体" w:hAnsi="宋体" w:cs="仿宋"/>
          <w:sz w:val="24"/>
          <w:szCs w:val="24"/>
        </w:rPr>
      </w:pPr>
      <w:r>
        <w:rPr>
          <w:rFonts w:hint="eastAsia" w:ascii="宋体" w:hAnsi="宋体" w:cs="仿宋"/>
          <w:sz w:val="24"/>
          <w:szCs w:val="24"/>
        </w:rPr>
        <w:t>地址：</w:t>
      </w:r>
      <w:r>
        <w:rPr>
          <w:rFonts w:ascii="宋体" w:hAnsi="宋体" w:cs="仿宋"/>
          <w:sz w:val="24"/>
          <w:szCs w:val="24"/>
        </w:rPr>
        <w:t xml:space="preserve"> </w:t>
      </w:r>
      <w:r>
        <w:rPr>
          <w:rFonts w:hint="eastAsia" w:ascii="宋体" w:hAnsi="宋体" w:cs="仿宋"/>
          <w:sz w:val="24"/>
          <w:szCs w:val="24"/>
          <w:u w:val="dotted"/>
        </w:rPr>
        <w:t xml:space="preserve">                        </w:t>
      </w:r>
      <w:r>
        <w:rPr>
          <w:rFonts w:hint="eastAsia" w:ascii="宋体" w:hAnsi="宋体" w:cs="仿宋"/>
          <w:sz w:val="24"/>
          <w:szCs w:val="24"/>
        </w:rPr>
        <w:t>邮编：</w:t>
      </w:r>
      <w:r>
        <w:rPr>
          <w:rFonts w:hint="eastAsia" w:ascii="宋体" w:hAnsi="宋体" w:cs="仿宋"/>
          <w:sz w:val="24"/>
          <w:szCs w:val="24"/>
          <w:u w:val="dotted"/>
        </w:rPr>
        <w:t xml:space="preserve">                                     </w:t>
      </w:r>
    </w:p>
    <w:p w14:paraId="3EF12DB4">
      <w:pPr>
        <w:adjustRightInd w:val="0"/>
        <w:spacing w:line="360" w:lineRule="auto"/>
        <w:rPr>
          <w:rFonts w:ascii="宋体" w:hAnsi="宋体" w:cs="仿宋"/>
          <w:bCs/>
          <w:sz w:val="24"/>
          <w:szCs w:val="24"/>
        </w:rPr>
      </w:pPr>
      <w:r>
        <w:rPr>
          <w:rFonts w:hint="eastAsia" w:ascii="宋体" w:hAnsi="宋体" w:cs="仿宋"/>
          <w:bCs/>
          <w:sz w:val="24"/>
          <w:szCs w:val="24"/>
        </w:rPr>
        <w:t>二、异议项目基本情况</w:t>
      </w:r>
    </w:p>
    <w:p w14:paraId="457318C0">
      <w:pPr>
        <w:adjustRightInd w:val="0"/>
        <w:spacing w:line="360" w:lineRule="auto"/>
        <w:rPr>
          <w:rFonts w:ascii="宋体" w:hAnsi="宋体" w:cs="仿宋"/>
          <w:sz w:val="24"/>
          <w:szCs w:val="24"/>
        </w:rPr>
      </w:pPr>
      <w:r>
        <w:rPr>
          <w:rFonts w:hint="eastAsia" w:ascii="宋体" w:hAnsi="宋体" w:cs="仿宋"/>
          <w:sz w:val="24"/>
          <w:szCs w:val="24"/>
        </w:rPr>
        <w:t>异议项目的名称：</w:t>
      </w:r>
      <w:r>
        <w:rPr>
          <w:rFonts w:hint="eastAsia" w:ascii="宋体" w:hAnsi="宋体" w:cs="仿宋"/>
          <w:sz w:val="24"/>
          <w:szCs w:val="24"/>
          <w:u w:val="dotted"/>
        </w:rPr>
        <w:t xml:space="preserve">                                                          </w:t>
      </w:r>
    </w:p>
    <w:p w14:paraId="6B8946BA">
      <w:pPr>
        <w:adjustRightInd w:val="0"/>
        <w:spacing w:line="360" w:lineRule="auto"/>
        <w:rPr>
          <w:rFonts w:ascii="宋体" w:hAnsi="宋体" w:cs="仿宋"/>
          <w:sz w:val="24"/>
          <w:szCs w:val="24"/>
        </w:rPr>
      </w:pPr>
      <w:r>
        <w:rPr>
          <w:rFonts w:hint="eastAsia" w:ascii="宋体" w:hAnsi="宋体" w:cs="仿宋"/>
          <w:sz w:val="24"/>
          <w:szCs w:val="24"/>
        </w:rPr>
        <w:t>异议项目的编号：</w:t>
      </w:r>
      <w:r>
        <w:rPr>
          <w:rFonts w:hint="eastAsia" w:ascii="宋体" w:hAnsi="宋体" w:cs="仿宋"/>
          <w:sz w:val="24"/>
          <w:szCs w:val="24"/>
          <w:u w:val="dotted"/>
        </w:rPr>
        <w:t xml:space="preserve">                         </w:t>
      </w:r>
      <w:r>
        <w:rPr>
          <w:rFonts w:hint="eastAsia" w:ascii="宋体" w:hAnsi="宋体" w:cs="仿宋"/>
          <w:sz w:val="24"/>
          <w:szCs w:val="24"/>
        </w:rPr>
        <w:t>包号：</w:t>
      </w:r>
      <w:r>
        <w:rPr>
          <w:rFonts w:hint="eastAsia" w:ascii="宋体" w:hAnsi="宋体" w:cs="仿宋"/>
          <w:sz w:val="24"/>
          <w:szCs w:val="24"/>
          <w:u w:val="dotted"/>
        </w:rPr>
        <w:t xml:space="preserve">                           </w:t>
      </w:r>
    </w:p>
    <w:p w14:paraId="0C6B4AA1">
      <w:pPr>
        <w:adjustRightInd w:val="0"/>
        <w:spacing w:line="360" w:lineRule="auto"/>
        <w:rPr>
          <w:rFonts w:ascii="宋体" w:hAnsi="宋体" w:cs="仿宋"/>
          <w:sz w:val="24"/>
          <w:szCs w:val="24"/>
          <w:u w:val="dotted"/>
        </w:rPr>
      </w:pPr>
      <w:r>
        <w:rPr>
          <w:rFonts w:hint="eastAsia" w:ascii="宋体" w:hAnsi="宋体" w:cs="仿宋"/>
          <w:sz w:val="24"/>
          <w:szCs w:val="24"/>
        </w:rPr>
        <w:t>遴选人名称：</w:t>
      </w:r>
      <w:r>
        <w:rPr>
          <w:rFonts w:hint="eastAsia" w:ascii="宋体" w:hAnsi="宋体" w:cs="仿宋"/>
          <w:sz w:val="24"/>
          <w:szCs w:val="24"/>
          <w:u w:val="dotted"/>
        </w:rPr>
        <w:t xml:space="preserve">                                                              </w:t>
      </w:r>
    </w:p>
    <w:p w14:paraId="0B1ABC1D">
      <w:pPr>
        <w:adjustRightInd w:val="0"/>
        <w:spacing w:line="360" w:lineRule="auto"/>
        <w:rPr>
          <w:rFonts w:ascii="宋体" w:hAnsi="宋体" w:cs="仿宋"/>
          <w:sz w:val="24"/>
          <w:szCs w:val="24"/>
        </w:rPr>
      </w:pPr>
      <w:r>
        <w:rPr>
          <w:rFonts w:hint="eastAsia" w:ascii="宋体" w:hAnsi="宋体" w:cs="仿宋"/>
          <w:sz w:val="24"/>
          <w:szCs w:val="24"/>
        </w:rPr>
        <w:t>遴选文件获取日期：</w:t>
      </w:r>
      <w:r>
        <w:rPr>
          <w:rFonts w:hint="eastAsia" w:ascii="宋体" w:hAnsi="宋体" w:cs="仿宋"/>
          <w:sz w:val="24"/>
          <w:szCs w:val="24"/>
          <w:u w:val="dotted"/>
        </w:rPr>
        <w:t xml:space="preserve">                                                        </w:t>
      </w:r>
    </w:p>
    <w:p w14:paraId="1BAF4BCD">
      <w:pPr>
        <w:adjustRightInd w:val="0"/>
        <w:spacing w:line="360" w:lineRule="auto"/>
        <w:rPr>
          <w:rFonts w:ascii="宋体" w:hAnsi="宋体" w:cs="仿宋"/>
          <w:bCs/>
          <w:sz w:val="24"/>
          <w:szCs w:val="24"/>
        </w:rPr>
      </w:pPr>
      <w:r>
        <w:rPr>
          <w:rFonts w:hint="eastAsia" w:ascii="宋体" w:hAnsi="宋体" w:cs="仿宋"/>
          <w:bCs/>
          <w:sz w:val="24"/>
          <w:szCs w:val="24"/>
        </w:rPr>
        <w:t>三、异议事项具体内容</w:t>
      </w:r>
    </w:p>
    <w:p w14:paraId="2EFBB1D8">
      <w:pPr>
        <w:adjustRightInd w:val="0"/>
        <w:spacing w:line="360" w:lineRule="auto"/>
        <w:rPr>
          <w:rFonts w:ascii="宋体" w:hAnsi="宋体" w:cs="仿宋"/>
          <w:sz w:val="24"/>
          <w:szCs w:val="24"/>
          <w:u w:val="dotted"/>
        </w:rPr>
      </w:pPr>
      <w:r>
        <w:rPr>
          <w:rFonts w:hint="eastAsia" w:ascii="宋体" w:hAnsi="宋体" w:cs="仿宋"/>
          <w:sz w:val="24"/>
          <w:szCs w:val="24"/>
        </w:rPr>
        <w:t>异议事项1：</w:t>
      </w:r>
      <w:r>
        <w:rPr>
          <w:rFonts w:hint="eastAsia" w:ascii="宋体" w:hAnsi="宋体" w:cs="仿宋"/>
          <w:sz w:val="24"/>
          <w:szCs w:val="24"/>
          <w:u w:val="dotted"/>
        </w:rPr>
        <w:t xml:space="preserve">                                                              </w:t>
      </w:r>
    </w:p>
    <w:p w14:paraId="08E2720E">
      <w:pPr>
        <w:adjustRightInd w:val="0"/>
        <w:spacing w:line="360" w:lineRule="auto"/>
        <w:rPr>
          <w:rFonts w:ascii="宋体" w:hAnsi="宋体" w:cs="仿宋"/>
          <w:sz w:val="24"/>
          <w:szCs w:val="24"/>
          <w:u w:val="dotted"/>
        </w:rPr>
      </w:pPr>
      <w:r>
        <w:rPr>
          <w:rFonts w:hint="eastAsia" w:ascii="宋体" w:hAnsi="宋体" w:cs="仿宋"/>
          <w:sz w:val="24"/>
          <w:szCs w:val="24"/>
        </w:rPr>
        <w:t>事实依据：</w:t>
      </w:r>
      <w:r>
        <w:rPr>
          <w:rFonts w:hint="eastAsia" w:ascii="宋体" w:hAnsi="宋体" w:cs="仿宋"/>
          <w:sz w:val="24"/>
          <w:szCs w:val="24"/>
          <w:u w:val="dotted"/>
        </w:rPr>
        <w:t xml:space="preserve">                                                                </w:t>
      </w:r>
    </w:p>
    <w:p w14:paraId="723E3A9B">
      <w:pPr>
        <w:adjustRightInd w:val="0"/>
        <w:spacing w:line="360" w:lineRule="auto"/>
        <w:rPr>
          <w:rFonts w:ascii="宋体" w:hAnsi="宋体" w:cs="仿宋"/>
          <w:sz w:val="24"/>
          <w:szCs w:val="24"/>
        </w:rPr>
      </w:pPr>
      <w:r>
        <w:rPr>
          <w:rFonts w:hint="eastAsia" w:ascii="宋体" w:hAnsi="宋体" w:cs="仿宋"/>
          <w:sz w:val="24"/>
          <w:szCs w:val="24"/>
          <w:u w:val="dotted"/>
        </w:rPr>
        <w:t xml:space="preserve">                                                                           </w:t>
      </w:r>
    </w:p>
    <w:p w14:paraId="585B3D00">
      <w:pPr>
        <w:adjustRightInd w:val="0"/>
        <w:spacing w:line="360" w:lineRule="auto"/>
        <w:rPr>
          <w:rFonts w:ascii="宋体" w:hAnsi="宋体" w:cs="仿宋"/>
          <w:sz w:val="24"/>
          <w:szCs w:val="24"/>
          <w:u w:val="dotted"/>
        </w:rPr>
      </w:pPr>
      <w:r>
        <w:rPr>
          <w:rFonts w:hint="eastAsia" w:ascii="宋体" w:hAnsi="宋体" w:cs="仿宋"/>
          <w:sz w:val="24"/>
          <w:szCs w:val="24"/>
        </w:rPr>
        <w:t>法律依据：</w:t>
      </w:r>
      <w:r>
        <w:rPr>
          <w:rFonts w:hint="eastAsia" w:ascii="宋体" w:hAnsi="宋体" w:cs="仿宋"/>
          <w:sz w:val="24"/>
          <w:szCs w:val="24"/>
          <w:u w:val="dotted"/>
        </w:rPr>
        <w:t xml:space="preserve">                                                                 </w:t>
      </w:r>
    </w:p>
    <w:p w14:paraId="3F400A08">
      <w:pPr>
        <w:adjustRightInd w:val="0"/>
        <w:spacing w:line="360" w:lineRule="auto"/>
        <w:rPr>
          <w:rFonts w:ascii="宋体" w:hAnsi="宋体" w:cs="仿宋"/>
          <w:sz w:val="24"/>
          <w:szCs w:val="24"/>
          <w:u w:val="dotted"/>
        </w:rPr>
      </w:pPr>
      <w:r>
        <w:rPr>
          <w:rFonts w:hint="eastAsia" w:ascii="宋体" w:hAnsi="宋体" w:cs="仿宋"/>
          <w:sz w:val="24"/>
          <w:szCs w:val="24"/>
          <w:u w:val="dotted"/>
        </w:rPr>
        <w:t xml:space="preserve">                                                                           </w:t>
      </w:r>
    </w:p>
    <w:p w14:paraId="16CDB75D">
      <w:pPr>
        <w:adjustRightInd w:val="0"/>
        <w:spacing w:line="360" w:lineRule="auto"/>
        <w:rPr>
          <w:rFonts w:ascii="宋体" w:hAnsi="宋体" w:cs="仿宋"/>
          <w:sz w:val="24"/>
          <w:szCs w:val="24"/>
          <w:u w:val="dotted"/>
        </w:rPr>
      </w:pPr>
      <w:r>
        <w:rPr>
          <w:rFonts w:hint="eastAsia" w:ascii="宋体" w:hAnsi="宋体" w:cs="仿宋"/>
          <w:sz w:val="24"/>
          <w:szCs w:val="24"/>
        </w:rPr>
        <w:t>异议事项2</w:t>
      </w:r>
    </w:p>
    <w:p w14:paraId="6D00382F">
      <w:pPr>
        <w:adjustRightInd w:val="0"/>
        <w:spacing w:line="360" w:lineRule="auto"/>
        <w:rPr>
          <w:rFonts w:ascii="宋体" w:hAnsi="宋体" w:cs="仿宋"/>
          <w:sz w:val="24"/>
          <w:szCs w:val="24"/>
        </w:rPr>
      </w:pPr>
      <w:r>
        <w:rPr>
          <w:rFonts w:hint="eastAsia" w:ascii="宋体" w:hAnsi="宋体" w:cs="仿宋"/>
          <w:sz w:val="24"/>
          <w:szCs w:val="24"/>
        </w:rPr>
        <w:t>……</w:t>
      </w:r>
    </w:p>
    <w:p w14:paraId="3C785544">
      <w:pPr>
        <w:adjustRightInd w:val="0"/>
        <w:spacing w:line="360" w:lineRule="auto"/>
        <w:rPr>
          <w:rFonts w:ascii="宋体" w:hAnsi="宋体" w:cs="仿宋"/>
          <w:bCs/>
          <w:sz w:val="24"/>
          <w:szCs w:val="24"/>
        </w:rPr>
      </w:pPr>
      <w:r>
        <w:rPr>
          <w:rFonts w:hint="eastAsia" w:ascii="宋体" w:hAnsi="宋体" w:cs="仿宋"/>
          <w:bCs/>
          <w:sz w:val="24"/>
          <w:szCs w:val="24"/>
        </w:rPr>
        <w:t>四、与异议事项相关的异议请求</w:t>
      </w:r>
    </w:p>
    <w:p w14:paraId="6F6BE4A5">
      <w:pPr>
        <w:adjustRightInd w:val="0"/>
        <w:spacing w:line="360" w:lineRule="auto"/>
        <w:rPr>
          <w:rFonts w:ascii="宋体" w:hAnsi="宋体" w:cs="仿宋"/>
          <w:sz w:val="24"/>
          <w:szCs w:val="24"/>
          <w:u w:val="dotted"/>
        </w:rPr>
      </w:pPr>
      <w:r>
        <w:rPr>
          <w:rFonts w:hint="eastAsia" w:ascii="宋体" w:hAnsi="宋体" w:cs="仿宋"/>
          <w:sz w:val="24"/>
          <w:szCs w:val="24"/>
        </w:rPr>
        <w:t>请求：</w:t>
      </w:r>
      <w:r>
        <w:rPr>
          <w:rFonts w:hint="eastAsia" w:ascii="宋体" w:hAnsi="宋体" w:cs="仿宋"/>
          <w:sz w:val="24"/>
          <w:szCs w:val="24"/>
          <w:u w:val="dotted"/>
        </w:rPr>
        <w:t xml:space="preserve">                                                                     </w:t>
      </w:r>
    </w:p>
    <w:p w14:paraId="192F9112">
      <w:pPr>
        <w:spacing w:line="360" w:lineRule="auto"/>
        <w:rPr>
          <w:rFonts w:ascii="宋体" w:hAnsi="宋体"/>
          <w:sz w:val="24"/>
          <w:szCs w:val="24"/>
        </w:rPr>
      </w:pPr>
      <w:r>
        <w:rPr>
          <w:rFonts w:hint="eastAsia" w:ascii="宋体" w:hAnsi="宋体"/>
          <w:sz w:val="24"/>
          <w:szCs w:val="24"/>
        </w:rPr>
        <w:t xml:space="preserve">签字（签章）：                   公章：                      </w:t>
      </w:r>
    </w:p>
    <w:p w14:paraId="50DD0E38">
      <w:pPr>
        <w:spacing w:line="360" w:lineRule="auto"/>
        <w:rPr>
          <w:rFonts w:ascii="宋体" w:hAnsi="宋体"/>
          <w:sz w:val="24"/>
          <w:szCs w:val="24"/>
        </w:rPr>
      </w:pPr>
      <w:r>
        <w:rPr>
          <w:rFonts w:hint="eastAsia" w:ascii="宋体" w:hAnsi="宋体"/>
          <w:sz w:val="24"/>
          <w:szCs w:val="24"/>
        </w:rPr>
        <w:t xml:space="preserve">日期：    </w:t>
      </w:r>
    </w:p>
    <w:p w14:paraId="4B775A67">
      <w:pPr>
        <w:spacing w:line="400" w:lineRule="exact"/>
        <w:rPr>
          <w:rFonts w:ascii="宋体" w:hAnsi="宋体"/>
          <w:b/>
          <w:sz w:val="24"/>
          <w:szCs w:val="24"/>
        </w:rPr>
      </w:pPr>
    </w:p>
    <w:p w14:paraId="3CD3F603">
      <w:pPr>
        <w:spacing w:line="400" w:lineRule="exact"/>
        <w:rPr>
          <w:rFonts w:ascii="宋体" w:hAnsi="宋体"/>
          <w:b/>
          <w:sz w:val="24"/>
          <w:szCs w:val="24"/>
        </w:rPr>
      </w:pPr>
    </w:p>
    <w:p w14:paraId="2A91ADB4">
      <w:pPr>
        <w:spacing w:line="400" w:lineRule="exact"/>
        <w:rPr>
          <w:rFonts w:ascii="宋体" w:hAnsi="宋体"/>
          <w:b/>
          <w:sz w:val="24"/>
          <w:szCs w:val="24"/>
        </w:rPr>
      </w:pPr>
    </w:p>
    <w:p w14:paraId="31C19959">
      <w:pPr>
        <w:spacing w:line="400" w:lineRule="exact"/>
        <w:rPr>
          <w:rFonts w:ascii="宋体" w:hAnsi="宋体"/>
          <w:b/>
          <w:sz w:val="24"/>
          <w:szCs w:val="24"/>
        </w:rPr>
      </w:pPr>
    </w:p>
    <w:p w14:paraId="6B24C5B1">
      <w:pPr>
        <w:snapToGrid w:val="0"/>
        <w:spacing w:line="360" w:lineRule="auto"/>
        <w:rPr>
          <w:rFonts w:ascii="宋体" w:hAnsi="宋体"/>
          <w:b/>
          <w:sz w:val="24"/>
          <w:szCs w:val="24"/>
        </w:rPr>
      </w:pPr>
      <w:r>
        <w:rPr>
          <w:rFonts w:hint="eastAsia" w:ascii="宋体" w:hAnsi="宋体"/>
          <w:b/>
          <w:sz w:val="24"/>
          <w:szCs w:val="24"/>
        </w:rPr>
        <w:t>异议函制作说明：</w:t>
      </w:r>
    </w:p>
    <w:p w14:paraId="7CC119BF">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1.供应商提出异议时，应提交异议函和必要的证明材料。</w:t>
      </w:r>
    </w:p>
    <w:p w14:paraId="1705BDBC">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2.异议供应商若委托代理人进行异议的，异议函应按要求列明“授权代表”的有关内容，并在附件中提交由异议</w:t>
      </w:r>
      <w:r>
        <w:rPr>
          <w:rFonts w:hint="eastAsia" w:ascii="宋体" w:hAnsi="宋体" w:cs="宋体"/>
          <w:kern w:val="0"/>
          <w:sz w:val="24"/>
          <w:szCs w:val="24"/>
        </w:rPr>
        <w:t>供应商签署的授权委托书。授权委托书应载明代理人的姓名或者名称、代理事项、具体权限、期限和相关事项。</w:t>
      </w:r>
    </w:p>
    <w:p w14:paraId="524C86D3">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3.异议供应商若对项目的某一分包进行异议，异议函中应列明具体分包号。</w:t>
      </w:r>
    </w:p>
    <w:p w14:paraId="5CDD28F6">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4.异议函的异议事项应具体、明确，并有必要的事实依据和法律依据。</w:t>
      </w:r>
    </w:p>
    <w:p w14:paraId="2B795D2E">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5.异议函的异议请求应与异议事项相关。</w:t>
      </w:r>
    </w:p>
    <w:p w14:paraId="69F87231">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6.异议供应商为自然人的，异议函应由本人签字；异议供应商为法人或者其他组织的，异议函应由法定代表人、主要负责人，或者其授权代表签字或者盖章，并加盖公章。</w:t>
      </w:r>
    </w:p>
    <w:p w14:paraId="7D93B6C9"/>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Adobe 仿宋 Std R">
    <w:altName w:val="微软雅黑"/>
    <w:panose1 w:val="00000000000000000000"/>
    <w:charset w:val="86"/>
    <w:family w:val="roman"/>
    <w:pitch w:val="default"/>
    <w:sig w:usb0="00000000" w:usb1="00000000" w:usb2="00000016" w:usb3="00000000" w:csb0="00060007"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altName w:val="Malgun Gothic"/>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52008"/>
    </w:sdtPr>
    <w:sdtContent>
      <w:sdt>
        <w:sdtPr>
          <w:id w:val="171357217"/>
        </w:sdtPr>
        <w:sdtContent>
          <w:p w14:paraId="161BB1C3">
            <w:pPr>
              <w:pStyle w:val="10"/>
              <w:jc w:val="center"/>
            </w:pPr>
            <w:r>
              <w:rPr>
                <w:b/>
                <w:sz w:val="24"/>
                <w:szCs w:val="24"/>
              </w:rPr>
              <w:fldChar w:fldCharType="begin"/>
            </w:r>
            <w:r>
              <w:rPr>
                <w:b/>
              </w:rPr>
              <w:instrText xml:space="preserve">PAGE</w:instrText>
            </w:r>
            <w:r>
              <w:rPr>
                <w:b/>
                <w:sz w:val="24"/>
                <w:szCs w:val="24"/>
              </w:rPr>
              <w:fldChar w:fldCharType="separate"/>
            </w:r>
            <w:r>
              <w:rPr>
                <w:b/>
              </w:rPr>
              <w:t>44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59</w:t>
            </w:r>
            <w:r>
              <w:rPr>
                <w:b/>
                <w:sz w:val="24"/>
                <w:szCs w:val="24"/>
              </w:rPr>
              <w:fldChar w:fldCharType="end"/>
            </w:r>
          </w:p>
        </w:sdtContent>
      </w:sdt>
    </w:sdtContent>
  </w:sdt>
  <w:p w14:paraId="3F7F5231">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8A9"/>
    <w:rsid w:val="000039E7"/>
    <w:rsid w:val="000040CB"/>
    <w:rsid w:val="00023918"/>
    <w:rsid w:val="00036CDA"/>
    <w:rsid w:val="000B6DD6"/>
    <w:rsid w:val="000F492C"/>
    <w:rsid w:val="000F6DCB"/>
    <w:rsid w:val="00126F28"/>
    <w:rsid w:val="00127097"/>
    <w:rsid w:val="0014463E"/>
    <w:rsid w:val="00161DCB"/>
    <w:rsid w:val="00187D14"/>
    <w:rsid w:val="001E4FB1"/>
    <w:rsid w:val="001F6B48"/>
    <w:rsid w:val="0022658B"/>
    <w:rsid w:val="0023440E"/>
    <w:rsid w:val="0024445C"/>
    <w:rsid w:val="002445E4"/>
    <w:rsid w:val="00280CC0"/>
    <w:rsid w:val="002B782E"/>
    <w:rsid w:val="002F302D"/>
    <w:rsid w:val="003138A9"/>
    <w:rsid w:val="003341F6"/>
    <w:rsid w:val="003569FA"/>
    <w:rsid w:val="003938CF"/>
    <w:rsid w:val="003B0411"/>
    <w:rsid w:val="003C7C88"/>
    <w:rsid w:val="00412B7E"/>
    <w:rsid w:val="00430A4E"/>
    <w:rsid w:val="00434560"/>
    <w:rsid w:val="00463749"/>
    <w:rsid w:val="00474D37"/>
    <w:rsid w:val="004918A5"/>
    <w:rsid w:val="005418C5"/>
    <w:rsid w:val="005455EA"/>
    <w:rsid w:val="005C260D"/>
    <w:rsid w:val="005C3986"/>
    <w:rsid w:val="006018E4"/>
    <w:rsid w:val="00607CE7"/>
    <w:rsid w:val="00610834"/>
    <w:rsid w:val="0065011C"/>
    <w:rsid w:val="00651A30"/>
    <w:rsid w:val="00693D76"/>
    <w:rsid w:val="006D6145"/>
    <w:rsid w:val="007013E7"/>
    <w:rsid w:val="00707DF3"/>
    <w:rsid w:val="0072033D"/>
    <w:rsid w:val="00723631"/>
    <w:rsid w:val="007330AB"/>
    <w:rsid w:val="00746595"/>
    <w:rsid w:val="00757B17"/>
    <w:rsid w:val="00774CDD"/>
    <w:rsid w:val="00782A91"/>
    <w:rsid w:val="0078726B"/>
    <w:rsid w:val="007E7A61"/>
    <w:rsid w:val="00816D16"/>
    <w:rsid w:val="0082028C"/>
    <w:rsid w:val="00866E38"/>
    <w:rsid w:val="0087339D"/>
    <w:rsid w:val="008A2BD0"/>
    <w:rsid w:val="008A33DD"/>
    <w:rsid w:val="008B472E"/>
    <w:rsid w:val="008B5D94"/>
    <w:rsid w:val="008E3AF7"/>
    <w:rsid w:val="008E5095"/>
    <w:rsid w:val="0093714F"/>
    <w:rsid w:val="00976C7D"/>
    <w:rsid w:val="009C313E"/>
    <w:rsid w:val="009D1174"/>
    <w:rsid w:val="009D20AF"/>
    <w:rsid w:val="00A003F5"/>
    <w:rsid w:val="00A05565"/>
    <w:rsid w:val="00A2231C"/>
    <w:rsid w:val="00A42357"/>
    <w:rsid w:val="00AD0A8C"/>
    <w:rsid w:val="00AE01AB"/>
    <w:rsid w:val="00AF3C02"/>
    <w:rsid w:val="00B14326"/>
    <w:rsid w:val="00B5211B"/>
    <w:rsid w:val="00B57D40"/>
    <w:rsid w:val="00B735C2"/>
    <w:rsid w:val="00BA7C09"/>
    <w:rsid w:val="00BE01CF"/>
    <w:rsid w:val="00C06B93"/>
    <w:rsid w:val="00C129D2"/>
    <w:rsid w:val="00C14420"/>
    <w:rsid w:val="00C55482"/>
    <w:rsid w:val="00C90661"/>
    <w:rsid w:val="00CA2558"/>
    <w:rsid w:val="00CE114D"/>
    <w:rsid w:val="00D062B8"/>
    <w:rsid w:val="00D45F74"/>
    <w:rsid w:val="00D50B97"/>
    <w:rsid w:val="00DB01B8"/>
    <w:rsid w:val="00DB792F"/>
    <w:rsid w:val="00DC7096"/>
    <w:rsid w:val="00DD1FCE"/>
    <w:rsid w:val="00E22BFE"/>
    <w:rsid w:val="00E45B71"/>
    <w:rsid w:val="00E545B3"/>
    <w:rsid w:val="00E8582D"/>
    <w:rsid w:val="00E93487"/>
    <w:rsid w:val="00EE5AD3"/>
    <w:rsid w:val="00EF6BD4"/>
    <w:rsid w:val="00F10EE7"/>
    <w:rsid w:val="00F16019"/>
    <w:rsid w:val="00F83AE9"/>
    <w:rsid w:val="00FA43FD"/>
    <w:rsid w:val="013014E3"/>
    <w:rsid w:val="0D0F228D"/>
    <w:rsid w:val="0E0E0300"/>
    <w:rsid w:val="13A565FF"/>
    <w:rsid w:val="18E80CA3"/>
    <w:rsid w:val="1921718A"/>
    <w:rsid w:val="1A60280D"/>
    <w:rsid w:val="2B92255E"/>
    <w:rsid w:val="2BFB36E9"/>
    <w:rsid w:val="2D185AEB"/>
    <w:rsid w:val="2F304B65"/>
    <w:rsid w:val="2FA403D9"/>
    <w:rsid w:val="378816EF"/>
    <w:rsid w:val="37CB0194"/>
    <w:rsid w:val="39CC40E7"/>
    <w:rsid w:val="3AD20213"/>
    <w:rsid w:val="42C044AF"/>
    <w:rsid w:val="4A6207F9"/>
    <w:rsid w:val="4DDE0AAE"/>
    <w:rsid w:val="527B5D61"/>
    <w:rsid w:val="54C079D9"/>
    <w:rsid w:val="59871009"/>
    <w:rsid w:val="5D2D30FB"/>
    <w:rsid w:val="5DA34C79"/>
    <w:rsid w:val="610B130F"/>
    <w:rsid w:val="61952D71"/>
    <w:rsid w:val="62CA6A4B"/>
    <w:rsid w:val="65092761"/>
    <w:rsid w:val="67374A51"/>
    <w:rsid w:val="6AE16C6D"/>
    <w:rsid w:val="70DD08A1"/>
    <w:rsid w:val="761640E8"/>
    <w:rsid w:val="7BDB3C42"/>
    <w:rsid w:val="7C885555"/>
    <w:rsid w:val="7EF45957"/>
    <w:rsid w:val="7F255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0"/>
    <w:pPr>
      <w:keepNext/>
      <w:pageBreakBefore/>
      <w:tabs>
        <w:tab w:val="left" w:pos="1571"/>
      </w:tabs>
      <w:adjustRightInd w:val="0"/>
      <w:spacing w:before="50"/>
      <w:ind w:left="1283" w:hanging="432"/>
      <w:jc w:val="center"/>
      <w:outlineLvl w:val="0"/>
    </w:pPr>
    <w:rPr>
      <w:rFonts w:ascii="Times New Roman" w:hAnsi="Times New Roman" w:eastAsia="黑体" w:cs="Times New Roman"/>
      <w:b/>
      <w:kern w:val="0"/>
      <w:sz w:val="44"/>
      <w:szCs w:val="20"/>
    </w:rPr>
  </w:style>
  <w:style w:type="paragraph" w:styleId="4">
    <w:name w:val="heading 2"/>
    <w:basedOn w:val="1"/>
    <w:next w:val="1"/>
    <w:link w:val="22"/>
    <w:unhideWhenUsed/>
    <w:qFormat/>
    <w:uiPriority w:val="0"/>
    <w:pPr>
      <w:keepNext/>
      <w:keepLines/>
      <w:tabs>
        <w:tab w:val="left" w:pos="0"/>
      </w:tabs>
      <w:spacing w:before="50"/>
      <w:jc w:val="left"/>
      <w:outlineLvl w:val="1"/>
    </w:pPr>
    <w:rPr>
      <w:rFonts w:ascii="Arial" w:hAnsi="Arial" w:eastAsia="黑体" w:cs="Times New Roman"/>
      <w:kern w:val="0"/>
      <w:sz w:val="32"/>
      <w:szCs w:val="20"/>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 w:type="paragraph" w:styleId="5">
    <w:name w:val="Normal Indent"/>
    <w:basedOn w:val="1"/>
    <w:link w:val="23"/>
    <w:unhideWhenUsed/>
    <w:qFormat/>
    <w:uiPriority w:val="0"/>
    <w:pPr>
      <w:ind w:firstLine="420" w:firstLineChars="200"/>
    </w:pPr>
    <w:rPr>
      <w:rFonts w:ascii="Calibri" w:hAnsi="Calibri" w:cs="Calibri"/>
      <w:sz w:val="24"/>
    </w:rPr>
  </w:style>
  <w:style w:type="paragraph" w:styleId="6">
    <w:name w:val="annotation text"/>
    <w:basedOn w:val="1"/>
    <w:link w:val="34"/>
    <w:semiHidden/>
    <w:unhideWhenUsed/>
    <w:qFormat/>
    <w:uiPriority w:val="99"/>
    <w:pPr>
      <w:jc w:val="left"/>
    </w:pPr>
  </w:style>
  <w:style w:type="paragraph" w:styleId="7">
    <w:name w:val="Body Text"/>
    <w:basedOn w:val="1"/>
    <w:link w:val="32"/>
    <w:qFormat/>
    <w:uiPriority w:val="1"/>
    <w:pPr>
      <w:autoSpaceDE w:val="0"/>
      <w:autoSpaceDN w:val="0"/>
      <w:ind w:left="220"/>
      <w:jc w:val="left"/>
    </w:pPr>
    <w:rPr>
      <w:rFonts w:ascii="仿宋" w:hAnsi="仿宋" w:eastAsia="仿宋" w:cs="仿宋"/>
      <w:kern w:val="0"/>
      <w:sz w:val="32"/>
      <w:szCs w:val="32"/>
      <w:lang w:val="zh-CN" w:bidi="zh-CN"/>
    </w:rPr>
  </w:style>
  <w:style w:type="paragraph" w:styleId="8">
    <w:name w:val="Plain Text"/>
    <w:basedOn w:val="1"/>
    <w:link w:val="24"/>
    <w:semiHidden/>
    <w:unhideWhenUsed/>
    <w:qFormat/>
    <w:uiPriority w:val="0"/>
    <w:rPr>
      <w:rFonts w:ascii="宋体" w:hAnsi="Courier New" w:eastAsia="宋体" w:cs="Times New Roman"/>
      <w:kern w:val="0"/>
      <w:sz w:val="20"/>
      <w:szCs w:val="20"/>
    </w:rPr>
  </w:style>
  <w:style w:type="paragraph" w:styleId="9">
    <w:name w:val="Balloon Text"/>
    <w:basedOn w:val="1"/>
    <w:link w:val="36"/>
    <w:semiHidden/>
    <w:unhideWhenUsed/>
    <w:qFormat/>
    <w:uiPriority w:val="99"/>
    <w:rPr>
      <w:sz w:val="18"/>
      <w:szCs w:val="18"/>
    </w:rPr>
  </w:style>
  <w:style w:type="paragraph" w:styleId="10">
    <w:name w:val="footer"/>
    <w:basedOn w:val="1"/>
    <w:link w:val="29"/>
    <w:unhideWhenUsed/>
    <w:qFormat/>
    <w:uiPriority w:val="99"/>
    <w:pPr>
      <w:tabs>
        <w:tab w:val="center" w:pos="4153"/>
        <w:tab w:val="right" w:pos="8306"/>
      </w:tabs>
      <w:snapToGrid w:val="0"/>
      <w:jc w:val="left"/>
    </w:pPr>
    <w:rPr>
      <w:sz w:val="18"/>
      <w:szCs w:val="18"/>
    </w:rPr>
  </w:style>
  <w:style w:type="paragraph" w:styleId="11">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pPr>
      <w:spacing w:before="120" w:after="120"/>
      <w:jc w:val="left"/>
    </w:pPr>
    <w:rPr>
      <w:rFonts w:ascii="Times New Roman" w:hAnsi="Times New Roman" w:eastAsia="宋体" w:cs="Times New Roman"/>
      <w:b/>
      <w:bCs/>
      <w:caps/>
      <w:sz w:val="20"/>
      <w:szCs w:val="20"/>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6"/>
    <w:next w:val="6"/>
    <w:link w:val="35"/>
    <w:semiHidden/>
    <w:unhideWhenUsed/>
    <w:qFormat/>
    <w:uiPriority w:val="99"/>
    <w:rPr>
      <w:b/>
      <w:bCs/>
    </w:rPr>
  </w:style>
  <w:style w:type="paragraph" w:styleId="15">
    <w:name w:val="Body Text First Indent"/>
    <w:basedOn w:val="1"/>
    <w:unhideWhenUsed/>
    <w:qFormat/>
    <w:uiPriority w:val="99"/>
    <w:pPr>
      <w:ind w:firstLine="420" w:firstLineChars="100"/>
    </w:pPr>
  </w:style>
  <w:style w:type="character" w:styleId="18">
    <w:name w:val="FollowedHyperlink"/>
    <w:basedOn w:val="17"/>
    <w:semiHidden/>
    <w:unhideWhenUsed/>
    <w:qFormat/>
    <w:uiPriority w:val="99"/>
    <w:rPr>
      <w:color w:val="800080" w:themeColor="followedHyperlink"/>
      <w:u w:val="single"/>
      <w14:textFill>
        <w14:solidFill>
          <w14:schemeClr w14:val="folHlink"/>
        </w14:solidFill>
      </w14:textFill>
    </w:rPr>
  </w:style>
  <w:style w:type="character" w:styleId="19">
    <w:name w:val="Hyperlink"/>
    <w:unhideWhenUsed/>
    <w:qFormat/>
    <w:uiPriority w:val="99"/>
    <w:rPr>
      <w:color w:val="0000FF"/>
      <w:u w:val="single"/>
    </w:rPr>
  </w:style>
  <w:style w:type="character" w:styleId="20">
    <w:name w:val="annotation reference"/>
    <w:basedOn w:val="17"/>
    <w:semiHidden/>
    <w:unhideWhenUsed/>
    <w:qFormat/>
    <w:uiPriority w:val="99"/>
    <w:rPr>
      <w:sz w:val="21"/>
      <w:szCs w:val="21"/>
    </w:rPr>
  </w:style>
  <w:style w:type="character" w:customStyle="1" w:styleId="21">
    <w:name w:val="标题 1 Char"/>
    <w:basedOn w:val="17"/>
    <w:link w:val="3"/>
    <w:qFormat/>
    <w:uiPriority w:val="0"/>
    <w:rPr>
      <w:rFonts w:ascii="Times New Roman" w:hAnsi="Times New Roman" w:eastAsia="黑体" w:cs="Times New Roman"/>
      <w:b/>
      <w:kern w:val="0"/>
      <w:sz w:val="44"/>
      <w:szCs w:val="20"/>
    </w:rPr>
  </w:style>
  <w:style w:type="character" w:customStyle="1" w:styleId="22">
    <w:name w:val="标题 2 Char"/>
    <w:basedOn w:val="17"/>
    <w:link w:val="4"/>
    <w:qFormat/>
    <w:uiPriority w:val="0"/>
    <w:rPr>
      <w:rFonts w:ascii="Arial" w:hAnsi="Arial" w:eastAsia="黑体" w:cs="Times New Roman"/>
      <w:kern w:val="0"/>
      <w:sz w:val="32"/>
      <w:szCs w:val="20"/>
    </w:rPr>
  </w:style>
  <w:style w:type="character" w:customStyle="1" w:styleId="23">
    <w:name w:val="正文缩进 Char"/>
    <w:link w:val="5"/>
    <w:semiHidden/>
    <w:qFormat/>
    <w:locked/>
    <w:uiPriority w:val="0"/>
    <w:rPr>
      <w:rFonts w:ascii="Calibri" w:hAnsi="Calibri" w:cs="Calibri"/>
      <w:sz w:val="24"/>
    </w:rPr>
  </w:style>
  <w:style w:type="character" w:customStyle="1" w:styleId="24">
    <w:name w:val="纯文本 Char"/>
    <w:basedOn w:val="17"/>
    <w:link w:val="8"/>
    <w:semiHidden/>
    <w:qFormat/>
    <w:uiPriority w:val="0"/>
    <w:rPr>
      <w:rFonts w:ascii="宋体" w:hAnsi="Courier New" w:eastAsia="宋体" w:cs="Times New Roman"/>
      <w:kern w:val="0"/>
      <w:sz w:val="20"/>
      <w:szCs w:val="20"/>
    </w:rPr>
  </w:style>
  <w:style w:type="paragraph" w:styleId="25">
    <w:name w:val="List Paragraph"/>
    <w:basedOn w:val="1"/>
    <w:qFormat/>
    <w:uiPriority w:val="34"/>
    <w:pPr>
      <w:ind w:firstLine="420" w:firstLineChars="200"/>
    </w:pPr>
    <w:rPr>
      <w:rFonts w:ascii="Times New Roman" w:hAnsi="Times New Roman" w:eastAsia="宋体" w:cs="Times New Roman"/>
      <w:szCs w:val="21"/>
    </w:rPr>
  </w:style>
  <w:style w:type="character" w:customStyle="1" w:styleId="26">
    <w:name w:val="列出段落 Char"/>
    <w:link w:val="27"/>
    <w:qFormat/>
    <w:locked/>
    <w:uiPriority w:val="0"/>
    <w:rPr>
      <w:rFonts w:ascii="Calibri" w:hAnsi="Calibri" w:cs="Calibri"/>
      <w:sz w:val="24"/>
      <w:szCs w:val="24"/>
      <w:lang w:eastAsia="en-US" w:bidi="en-US"/>
    </w:rPr>
  </w:style>
  <w:style w:type="paragraph" w:customStyle="1" w:styleId="27">
    <w:name w:val="列出段落1"/>
    <w:basedOn w:val="1"/>
    <w:link w:val="26"/>
    <w:qFormat/>
    <w:uiPriority w:val="0"/>
    <w:pPr>
      <w:widowControl/>
      <w:ind w:left="720"/>
      <w:contextualSpacing/>
      <w:jc w:val="left"/>
    </w:pPr>
    <w:rPr>
      <w:rFonts w:ascii="Calibri" w:hAnsi="Calibri" w:cs="Calibri"/>
      <w:sz w:val="24"/>
      <w:szCs w:val="24"/>
      <w:lang w:eastAsia="en-US" w:bidi="en-US"/>
    </w:rPr>
  </w:style>
  <w:style w:type="character" w:customStyle="1" w:styleId="28">
    <w:name w:val="页眉 Char"/>
    <w:basedOn w:val="17"/>
    <w:link w:val="11"/>
    <w:qFormat/>
    <w:uiPriority w:val="99"/>
    <w:rPr>
      <w:sz w:val="18"/>
      <w:szCs w:val="18"/>
    </w:rPr>
  </w:style>
  <w:style w:type="character" w:customStyle="1" w:styleId="29">
    <w:name w:val="页脚 Char"/>
    <w:basedOn w:val="17"/>
    <w:link w:val="10"/>
    <w:qFormat/>
    <w:uiPriority w:val="99"/>
    <w:rPr>
      <w:sz w:val="18"/>
      <w:szCs w:val="18"/>
    </w:rPr>
  </w:style>
  <w:style w:type="paragraph" w:customStyle="1" w:styleId="30">
    <w:name w:val="成文日期"/>
    <w:basedOn w:val="1"/>
    <w:link w:val="31"/>
    <w:autoRedefine/>
    <w:qFormat/>
    <w:uiPriority w:val="0"/>
    <w:pPr>
      <w:spacing w:line="570" w:lineRule="exact"/>
      <w:ind w:right="400" w:rightChars="400" w:firstLine="200" w:firstLineChars="200"/>
      <w:jc w:val="right"/>
    </w:pPr>
    <w:rPr>
      <w:rFonts w:ascii="仿宋_GB2312" w:hAnsi="Times New Roman" w:eastAsia="仿宋_GB2312" w:cs="Times New Roman"/>
      <w:sz w:val="32"/>
      <w:szCs w:val="20"/>
    </w:rPr>
  </w:style>
  <w:style w:type="character" w:customStyle="1" w:styleId="31">
    <w:name w:val="成文日期 Char"/>
    <w:link w:val="30"/>
    <w:qFormat/>
    <w:uiPriority w:val="0"/>
    <w:rPr>
      <w:rFonts w:ascii="仿宋_GB2312" w:hAnsi="Times New Roman" w:eastAsia="仿宋_GB2312" w:cs="Times New Roman"/>
      <w:sz w:val="32"/>
      <w:szCs w:val="20"/>
    </w:rPr>
  </w:style>
  <w:style w:type="character" w:customStyle="1" w:styleId="32">
    <w:name w:val="正文文本 Char"/>
    <w:basedOn w:val="17"/>
    <w:link w:val="7"/>
    <w:qFormat/>
    <w:uiPriority w:val="1"/>
    <w:rPr>
      <w:rFonts w:ascii="仿宋" w:hAnsi="仿宋" w:eastAsia="仿宋" w:cs="仿宋"/>
      <w:kern w:val="0"/>
      <w:sz w:val="32"/>
      <w:szCs w:val="32"/>
      <w:lang w:val="zh-CN" w:bidi="zh-CN"/>
    </w:rPr>
  </w:style>
  <w:style w:type="character" w:customStyle="1" w:styleId="33">
    <w:name w:val="正文缩进 Char1"/>
    <w:qFormat/>
    <w:uiPriority w:val="0"/>
    <w:rPr>
      <w:rFonts w:ascii="宋体" w:eastAsia="宋体"/>
      <w:kern w:val="2"/>
      <w:sz w:val="24"/>
      <w:szCs w:val="24"/>
      <w:lang w:val="en-US" w:eastAsia="zh-CN" w:bidi="ar-SA"/>
    </w:rPr>
  </w:style>
  <w:style w:type="character" w:customStyle="1" w:styleId="34">
    <w:name w:val="批注文字 Char"/>
    <w:basedOn w:val="17"/>
    <w:link w:val="6"/>
    <w:semiHidden/>
    <w:qFormat/>
    <w:uiPriority w:val="99"/>
    <w:rPr>
      <w:rFonts w:asciiTheme="minorHAnsi" w:hAnsiTheme="minorHAnsi" w:eastAsiaTheme="minorEastAsia" w:cstheme="minorBidi"/>
      <w:kern w:val="2"/>
      <w:sz w:val="21"/>
      <w:szCs w:val="22"/>
    </w:rPr>
  </w:style>
  <w:style w:type="character" w:customStyle="1" w:styleId="35">
    <w:name w:val="批注主题 Char"/>
    <w:basedOn w:val="34"/>
    <w:link w:val="14"/>
    <w:semiHidden/>
    <w:qFormat/>
    <w:uiPriority w:val="99"/>
    <w:rPr>
      <w:rFonts w:asciiTheme="minorHAnsi" w:hAnsiTheme="minorHAnsi" w:eastAsiaTheme="minorEastAsia" w:cstheme="minorBidi"/>
      <w:b/>
      <w:bCs/>
      <w:kern w:val="2"/>
      <w:sz w:val="21"/>
      <w:szCs w:val="22"/>
    </w:rPr>
  </w:style>
  <w:style w:type="character" w:customStyle="1" w:styleId="36">
    <w:name w:val="批注框文本 Char"/>
    <w:basedOn w:val="17"/>
    <w:link w:val="9"/>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54</Pages>
  <Words>7651</Words>
  <Characters>7928</Characters>
  <Lines>212</Lines>
  <Paragraphs>59</Paragraphs>
  <TotalTime>6</TotalTime>
  <ScaleCrop>false</ScaleCrop>
  <LinksUpToDate>false</LinksUpToDate>
  <CharactersWithSpaces>8108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2025-02-28T08:25:00Z</dcterms:created>
  <dc:creator>富深测试经办人</dc:creator>
  <cp:lastModifiedBy>林丹鹿</cp:lastModifiedBy>
  <cp:lastPrinted>2025-04-03T01:09:00Z</cp:lastPrinted>
  <dcterms:modified xsi:type="dcterms:W3CDTF">2025-04-09T03:26:35Z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eyJoZGlkIjoiZWJjNDRkNDliNmM0N2UxZDYzMjkyM2Y1YzZjODM4OTIiLCJ1c2VySWQiOiIyMjIwNzM1NSJ9</vt:lpwstr>
  </property>
  <property fmtid="{D5CDD505-2E9C-101B-9397-08002B2CF9AE}" pid="3" name="KSOProductBuildVer">
    <vt:lpwstr>2052-12.1.0.20305</vt:lpwstr>
  </property>
  <property fmtid="{D5CDD505-2E9C-101B-9397-08002B2CF9AE}" pid="4" name="ICV">
    <vt:lpwstr>0A3AEA22066A4BD9ACC2503C45B734EF_13</vt:lpwstr>
  </property>
</Properties>
</file>