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240C0">
      <w:pPr>
        <w:autoSpaceDE w:val="0"/>
        <w:autoSpaceDN w:val="0"/>
        <w:adjustRightInd w:val="0"/>
        <w:spacing w:line="540" w:lineRule="exact"/>
        <w:jc w:val="center"/>
        <w:rPr>
          <w:rFonts w:ascii="仿宋_GB2312" w:eastAsia="仿宋_GB2312"/>
          <w:b/>
          <w:bCs/>
          <w:color w:val="000000"/>
          <w:kern w:val="0"/>
          <w:sz w:val="32"/>
        </w:rPr>
      </w:pPr>
    </w:p>
    <w:p w14:paraId="67F0ED2E">
      <w:pPr>
        <w:autoSpaceDE w:val="0"/>
        <w:autoSpaceDN w:val="0"/>
        <w:adjustRightInd w:val="0"/>
        <w:spacing w:line="540" w:lineRule="exact"/>
        <w:jc w:val="center"/>
        <w:rPr>
          <w:rFonts w:ascii="仿宋_GB2312" w:eastAsia="仿宋_GB2312"/>
          <w:b/>
          <w:bCs/>
          <w:color w:val="000000"/>
          <w:kern w:val="0"/>
          <w:sz w:val="32"/>
        </w:rPr>
      </w:pPr>
    </w:p>
    <w:p w14:paraId="7815ABAB">
      <w:pPr>
        <w:autoSpaceDE w:val="0"/>
        <w:autoSpaceDN w:val="0"/>
        <w:adjustRightInd w:val="0"/>
        <w:spacing w:line="400" w:lineRule="exact"/>
        <w:jc w:val="center"/>
        <w:rPr>
          <w:rFonts w:ascii="仿宋_GB2312" w:eastAsia="仿宋_GB2312"/>
          <w:b/>
          <w:bCs/>
          <w:color w:val="000000"/>
          <w:kern w:val="0"/>
          <w:sz w:val="32"/>
        </w:rPr>
      </w:pPr>
    </w:p>
    <w:p w14:paraId="19271205">
      <w:pPr>
        <w:autoSpaceDE w:val="0"/>
        <w:autoSpaceDN w:val="0"/>
        <w:adjustRightInd w:val="0"/>
        <w:spacing w:line="540" w:lineRule="exact"/>
        <w:jc w:val="center"/>
        <w:rPr>
          <w:rFonts w:ascii="仿宋_GB2312" w:eastAsia="仿宋_GB2312"/>
          <w:b/>
          <w:bCs/>
          <w:color w:val="000000"/>
          <w:kern w:val="0"/>
          <w:sz w:val="32"/>
        </w:rPr>
      </w:pPr>
    </w:p>
    <w:p w14:paraId="35D4874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8519269">
      <w:pPr>
        <w:autoSpaceDE w:val="0"/>
        <w:autoSpaceDN w:val="0"/>
        <w:adjustRightInd w:val="0"/>
        <w:spacing w:line="480" w:lineRule="auto"/>
        <w:rPr>
          <w:rFonts w:ascii="仿宋_GB2312" w:eastAsia="仿宋_GB2312"/>
          <w:b/>
          <w:bCs/>
          <w:color w:val="000000"/>
          <w:kern w:val="0"/>
          <w:sz w:val="32"/>
        </w:rPr>
      </w:pPr>
    </w:p>
    <w:p w14:paraId="580E49E6">
      <w:pPr>
        <w:tabs>
          <w:tab w:val="left" w:pos="7335"/>
        </w:tabs>
        <w:spacing w:line="600" w:lineRule="exact"/>
        <w:ind w:firstLine="160" w:firstLineChars="50"/>
        <w:jc w:val="center"/>
        <w:rPr>
          <w:rFonts w:ascii="楷体_GB2312" w:eastAsia="楷体_GB2312"/>
          <w:color w:val="000000"/>
          <w:kern w:val="0"/>
          <w:sz w:val="32"/>
          <w:highlight w:val="yellow"/>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44</w:t>
      </w:r>
      <w:r>
        <w:rPr>
          <w:rFonts w:hint="eastAsia" w:ascii="仿宋_GB2312" w:eastAsia="仿宋_GB2312"/>
          <w:color w:val="000000"/>
          <w:kern w:val="0"/>
          <w:sz w:val="32"/>
          <w:highlight w:val="none"/>
        </w:rPr>
        <w:t>号</w:t>
      </w:r>
    </w:p>
    <w:p w14:paraId="4ABCE964">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45D65D3">
      <w:pPr>
        <w:pStyle w:val="10"/>
        <w:spacing w:line="600" w:lineRule="exact"/>
        <w:rPr>
          <w:rFonts w:ascii="方正小标宋简体" w:hAnsi="宋体" w:eastAsia="方正小标宋简体"/>
          <w:szCs w:val="44"/>
        </w:rPr>
      </w:pPr>
    </w:p>
    <w:p w14:paraId="1ACD473A">
      <w:pPr>
        <w:tabs>
          <w:tab w:val="left" w:pos="680"/>
        </w:tabs>
        <w:spacing w:line="540" w:lineRule="exact"/>
        <w:jc w:val="center"/>
        <w:rPr>
          <w:rFonts w:ascii="方正小标宋简体" w:hAnsi="宋体" w:eastAsia="方正小标宋简体"/>
          <w:kern w:val="15"/>
          <w:sz w:val="44"/>
          <w:szCs w:val="44"/>
        </w:rPr>
      </w:pPr>
      <w:bookmarkStart w:id="0" w:name="_GoBack"/>
      <w:r>
        <w:rPr>
          <w:rFonts w:hint="eastAsia" w:ascii="方正小标宋简体" w:hAnsi="宋体" w:eastAsia="方正小标宋简体"/>
          <w:kern w:val="15"/>
          <w:sz w:val="44"/>
          <w:szCs w:val="44"/>
        </w:rPr>
        <w:t>市生态环境局关于常州道企电子科技有限公司迁建PCB线路板生产线项目环境影响报告表的批复</w:t>
      </w:r>
      <w:bookmarkEnd w:id="0"/>
    </w:p>
    <w:p w14:paraId="22EEFA98">
      <w:pPr>
        <w:tabs>
          <w:tab w:val="left" w:pos="680"/>
        </w:tabs>
        <w:spacing w:line="540" w:lineRule="exact"/>
        <w:jc w:val="center"/>
        <w:rPr>
          <w:rFonts w:ascii="仿宋_GB2312" w:eastAsia="仿宋_GB2312"/>
          <w:b/>
          <w:bCs/>
          <w:sz w:val="32"/>
        </w:rPr>
      </w:pPr>
    </w:p>
    <w:p w14:paraId="7D9F9872">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常州道企电子科技有限公司：</w:t>
      </w:r>
    </w:p>
    <w:p w14:paraId="6D3AE31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你单位报批的《常州道企电子科技有限公司迁建PCB线路板生产线项目环境影响报告表》（以下简称《报告表》）等相关材料均悉。经研究，批复如下：</w:t>
      </w:r>
    </w:p>
    <w:p w14:paraId="784DC109">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650E905F">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highlight w:val="none"/>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850</w:t>
      </w:r>
      <w:r>
        <w:rPr>
          <w:rFonts w:hint="eastAsia" w:ascii="仿宋_GB2312" w:hAnsi="Times" w:eastAsia="仿宋_GB2312"/>
          <w:color w:val="000000"/>
          <w:sz w:val="32"/>
          <w:szCs w:val="32"/>
        </w:rPr>
        <w:t>万元，</w:t>
      </w:r>
      <w:r>
        <w:rPr>
          <w:rFonts w:hint="eastAsia" w:ascii="仿宋_GB2312" w:hAnsi="Times" w:eastAsia="仿宋_GB2312"/>
          <w:color w:val="000000"/>
          <w:sz w:val="32"/>
          <w:szCs w:val="32"/>
          <w:lang w:val="en-US" w:eastAsia="zh-CN"/>
        </w:rPr>
        <w:t>租赁</w:t>
      </w:r>
      <w:r>
        <w:rPr>
          <w:rFonts w:hint="eastAsia" w:ascii="仿宋_GB2312" w:hAnsi="Times" w:eastAsia="仿宋_GB2312"/>
          <w:color w:val="000000"/>
          <w:sz w:val="32"/>
          <w:szCs w:val="32"/>
        </w:rPr>
        <w:t>常州大数据产业园运营有限公司位于常州市钟楼区龙城大道2239号的智谷工场2号楼3层、5层西车间，迁建原有老厂房内PCB板加工生产线1条及相关辅助设备并购置洗板、水性漆（UV胶）覆盖固化生产线各1条。项目迁建完成后可形成年加工70万套PCB板的生产能力。</w:t>
      </w:r>
      <w:r>
        <w:rPr>
          <w:rFonts w:hint="eastAsia" w:ascii="仿宋_GB2312" w:hAnsi="Times" w:eastAsia="仿宋_GB2312"/>
          <w:color w:val="000000"/>
          <w:sz w:val="32"/>
          <w:szCs w:val="32"/>
          <w:highlight w:val="none"/>
        </w:rPr>
        <w:t>项目产品方案、主要原辅材料、主要设备及生产工艺按《报告表》确定的内容实施。</w:t>
      </w:r>
    </w:p>
    <w:p w14:paraId="0F97FC6D">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FD27375">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5B4FF4D4">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hint="default" w:ascii="仿宋_GB2312" w:hAnsi="Times" w:eastAsia="仿宋_GB2312"/>
          <w:sz w:val="32"/>
          <w:szCs w:val="32"/>
          <w:lang w:val="en-US" w:eastAsia="zh-CN"/>
        </w:rPr>
      </w:pPr>
      <w:r>
        <w:rPr>
          <w:rFonts w:hint="eastAsia" w:ascii="仿宋_GB2312" w:hAnsi="Times" w:eastAsia="仿宋_GB2312"/>
          <w:color w:val="000000"/>
          <w:sz w:val="32"/>
          <w:szCs w:val="32"/>
        </w:rPr>
        <w:t>（二）项目厂区应实行“雨污分流、清污分流”原则。本项目生活污水接入城市污水管网</w:t>
      </w:r>
      <w:r>
        <w:rPr>
          <w:rFonts w:hint="eastAsia" w:ascii="仿宋_GB2312" w:eastAsia="仿宋_GB2312"/>
          <w:color w:val="000000"/>
          <w:sz w:val="32"/>
          <w:szCs w:val="32"/>
        </w:rPr>
        <w:t>进常州市江边污水处理厂集中处理，</w:t>
      </w:r>
      <w:r>
        <w:rPr>
          <w:rFonts w:hint="eastAsia" w:ascii="仿宋_GB2312" w:hAnsi="Times" w:eastAsia="仿宋_GB2312"/>
          <w:color w:val="000000"/>
          <w:sz w:val="32"/>
          <w:szCs w:val="32"/>
        </w:rPr>
        <w:t>接管水质必须符合《污水排入城镇下水道水质标准》（GB/T31962-2015</w:t>
      </w:r>
      <w:r>
        <w:rPr>
          <w:rFonts w:hint="eastAsia" w:ascii="仿宋_GB2312" w:eastAsia="仿宋_GB2312"/>
          <w:color w:val="000000"/>
          <w:sz w:val="32"/>
          <w:szCs w:val="32"/>
        </w:rPr>
        <w:t>）表1中B等级标准</w:t>
      </w:r>
      <w:r>
        <w:rPr>
          <w:rFonts w:hint="eastAsia" w:ascii="仿宋_GB2312" w:hAnsi="Times" w:eastAsia="仿宋_GB2312"/>
          <w:color w:val="000000"/>
          <w:sz w:val="32"/>
          <w:szCs w:val="32"/>
          <w:lang w:val="en-US" w:eastAsia="zh-CN"/>
        </w:rPr>
        <w:t>。</w:t>
      </w:r>
    </w:p>
    <w:p w14:paraId="661C7504">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w w:val="100"/>
          <w:sz w:val="32"/>
          <w:szCs w:val="32"/>
        </w:rPr>
        <w:t>《大气污染物综合排放标准》（DB32/4041-2021）</w:t>
      </w:r>
      <w:r>
        <w:rPr>
          <w:rFonts w:hint="eastAsia" w:ascii="仿宋_GB2312" w:eastAsia="仿宋_GB2312"/>
          <w:color w:val="000000"/>
          <w:w w:val="100"/>
          <w:sz w:val="32"/>
          <w:szCs w:val="32"/>
          <w:lang w:eastAsia="zh-CN"/>
        </w:rPr>
        <w:t>、《挥发性有机物无组织排放控制标准》（GB37822-2019）</w:t>
      </w:r>
      <w:r>
        <w:rPr>
          <w:rFonts w:hint="eastAsia" w:ascii="仿宋_GB2312" w:eastAsia="仿宋_GB2312"/>
          <w:color w:val="000000"/>
          <w:w w:val="100"/>
          <w:sz w:val="32"/>
          <w:szCs w:val="32"/>
        </w:rPr>
        <w:t>中相应标准</w:t>
      </w:r>
      <w:r>
        <w:rPr>
          <w:rFonts w:hint="eastAsia" w:ascii="仿宋_GB2312" w:hAnsi="Times" w:eastAsia="仿宋_GB2312"/>
          <w:color w:val="000000"/>
          <w:sz w:val="32"/>
          <w:szCs w:val="32"/>
        </w:rPr>
        <w:t>。</w:t>
      </w:r>
    </w:p>
    <w:p w14:paraId="35460D0F">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各</w:t>
      </w:r>
      <w:r>
        <w:rPr>
          <w:rFonts w:hint="eastAsia" w:ascii="仿宋_GB2312" w:hAnsi="Times" w:eastAsia="仿宋_GB2312"/>
          <w:color w:val="000000"/>
          <w:sz w:val="32"/>
          <w:szCs w:val="32"/>
        </w:rPr>
        <w:t>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5EAEE1AA">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005E2481">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2369C1FE">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7FD8D0B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四、本项目实施后，污染物年排放量核定为（单位：t/a）：</w:t>
      </w:r>
    </w:p>
    <w:p w14:paraId="5D8339A8">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（一）水污染物排放总量（接管考核量）：污水总量≤</w:t>
      </w:r>
      <w:r>
        <w:rPr>
          <w:rFonts w:hint="eastAsia" w:ascii="仿宋_GB2312" w:hAnsi="Times" w:eastAsia="仿宋_GB2312"/>
          <w:sz w:val="32"/>
          <w:szCs w:val="32"/>
          <w:lang w:val="en-US" w:eastAsia="zh-CN"/>
        </w:rPr>
        <w:t>1560</w:t>
      </w:r>
      <w:r>
        <w:rPr>
          <w:rFonts w:hint="eastAsia" w:ascii="仿宋_GB2312" w:hAnsi="Times" w:eastAsia="仿宋_GB2312"/>
          <w:sz w:val="32"/>
          <w:szCs w:val="32"/>
        </w:rPr>
        <w:t>、COD≤</w:t>
      </w:r>
      <w:r>
        <w:rPr>
          <w:rFonts w:hint="eastAsia" w:ascii="仿宋_GB2312" w:hAnsi="Times" w:eastAsia="仿宋_GB2312"/>
          <w:sz w:val="32"/>
          <w:szCs w:val="32"/>
          <w:lang w:val="en-US" w:eastAsia="zh-CN"/>
        </w:rPr>
        <w:t>0.624</w:t>
      </w:r>
      <w:r>
        <w:rPr>
          <w:rFonts w:hint="eastAsia" w:ascii="仿宋_GB2312" w:hAnsi="Times" w:eastAsia="仿宋_GB2312"/>
          <w:sz w:val="32"/>
          <w:szCs w:val="32"/>
        </w:rPr>
        <w:t>、SS≤</w:t>
      </w:r>
      <w:r>
        <w:rPr>
          <w:rFonts w:hint="eastAsia" w:ascii="仿宋_GB2312" w:hAnsi="Times" w:eastAsia="仿宋_GB2312"/>
          <w:sz w:val="32"/>
          <w:szCs w:val="32"/>
          <w:lang w:val="en-US" w:eastAsia="zh-CN"/>
        </w:rPr>
        <w:t>0.468</w:t>
      </w:r>
      <w:r>
        <w:rPr>
          <w:rFonts w:hint="eastAsia" w:ascii="仿宋_GB2312" w:hAnsi="Times" w:eastAsia="仿宋_GB2312"/>
          <w:sz w:val="32"/>
          <w:szCs w:val="32"/>
        </w:rPr>
        <w:t>、NH</w:t>
      </w:r>
      <w:r>
        <w:rPr>
          <w:rFonts w:hint="eastAsia" w:ascii="仿宋_GB2312" w:hAnsi="Times" w:eastAsia="仿宋_GB2312"/>
          <w:sz w:val="32"/>
          <w:szCs w:val="32"/>
          <w:vertAlign w:val="subscript"/>
        </w:rPr>
        <w:t>3</w:t>
      </w:r>
      <w:r>
        <w:rPr>
          <w:rFonts w:hint="eastAsia" w:ascii="仿宋_GB2312" w:hAnsi="Times" w:eastAsia="仿宋_GB2312"/>
          <w:sz w:val="32"/>
          <w:szCs w:val="32"/>
        </w:rPr>
        <w:t>-N≤</w:t>
      </w:r>
      <w:r>
        <w:rPr>
          <w:rFonts w:hint="eastAsia" w:ascii="仿宋_GB2312" w:hAnsi="Times" w:eastAsia="仿宋_GB2312"/>
          <w:sz w:val="32"/>
          <w:szCs w:val="32"/>
          <w:lang w:val="en-US" w:eastAsia="zh-CN"/>
        </w:rPr>
        <w:t>0.0468</w:t>
      </w:r>
      <w:r>
        <w:rPr>
          <w:rFonts w:hint="eastAsia" w:ascii="仿宋_GB2312" w:hAnsi="Times" w:eastAsia="仿宋_GB2312"/>
          <w:sz w:val="32"/>
          <w:szCs w:val="32"/>
        </w:rPr>
        <w:t>、TP ≤0.0078、TN ≤0.0936</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动植物油类</w:t>
      </w:r>
      <w:r>
        <w:rPr>
          <w:rFonts w:hint="eastAsia" w:ascii="仿宋_GB2312" w:hAnsi="Times" w:eastAsia="仿宋_GB2312"/>
          <w:sz w:val="32"/>
          <w:szCs w:val="32"/>
        </w:rPr>
        <w:t>≤0.1248。</w:t>
      </w:r>
    </w:p>
    <w:p w14:paraId="6251EEF7">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（二）大气污染物排放总量：</w:t>
      </w:r>
    </w:p>
    <w:p w14:paraId="508A6C6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rPr>
        <w:t>有组织废气：</w:t>
      </w:r>
      <w:r>
        <w:rPr>
          <w:rFonts w:hint="eastAsia" w:ascii="仿宋_GB2312" w:hAnsi="Times" w:eastAsia="仿宋_GB2312"/>
          <w:sz w:val="32"/>
          <w:szCs w:val="32"/>
          <w:lang w:val="en-US" w:eastAsia="zh-CN"/>
        </w:rPr>
        <w:t>VOCs</w:t>
      </w:r>
      <w:r>
        <w:rPr>
          <w:rFonts w:hint="eastAsia" w:ascii="仿宋_GB2312" w:hAnsi="Times" w:eastAsia="仿宋_GB2312"/>
          <w:sz w:val="32"/>
          <w:szCs w:val="32"/>
        </w:rPr>
        <w:t>≤0.104</w:t>
      </w:r>
      <w:r>
        <w:rPr>
          <w:rFonts w:hint="eastAsia" w:ascii="仿宋_GB2312" w:hAnsi="Times" w:eastAsia="仿宋_GB2312"/>
          <w:sz w:val="32"/>
          <w:szCs w:val="32"/>
          <w:lang w:eastAsia="zh-CN"/>
        </w:rPr>
        <w:t>、</w:t>
      </w:r>
      <w:r>
        <w:rPr>
          <w:rFonts w:hint="eastAsia" w:ascii="仿宋_GB2312" w:hAnsi="Times" w:eastAsia="仿宋_GB2312"/>
          <w:sz w:val="32"/>
          <w:szCs w:val="32"/>
          <w:lang w:val="en-US" w:eastAsia="zh-CN"/>
        </w:rPr>
        <w:t>颗粒物</w:t>
      </w:r>
      <w:r>
        <w:rPr>
          <w:rFonts w:hint="eastAsia" w:ascii="仿宋_GB2312" w:hAnsi="Times" w:eastAsia="仿宋_GB2312"/>
          <w:sz w:val="32"/>
          <w:szCs w:val="32"/>
        </w:rPr>
        <w:t>≤</w:t>
      </w:r>
      <w:r>
        <w:rPr>
          <w:rFonts w:hint="eastAsia" w:ascii="仿宋_GB2312" w:hAnsi="Times" w:eastAsia="仿宋_GB2312"/>
          <w:sz w:val="32"/>
          <w:szCs w:val="32"/>
          <w:lang w:val="en-US" w:eastAsia="zh-CN"/>
        </w:rPr>
        <w:t>0.0028</w:t>
      </w:r>
      <w:r>
        <w:rPr>
          <w:rFonts w:hint="eastAsia" w:ascii="仿宋_GB2312" w:hAnsi="Times" w:eastAsia="仿宋_GB2312"/>
          <w:sz w:val="32"/>
          <w:szCs w:val="32"/>
        </w:rPr>
        <w:t>。</w:t>
      </w:r>
    </w:p>
    <w:p w14:paraId="3A62ACA8">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sz w:val="32"/>
          <w:szCs w:val="32"/>
        </w:rPr>
      </w:pPr>
      <w:r>
        <w:rPr>
          <w:rFonts w:hint="eastAsia" w:ascii="仿宋_GB2312" w:hAnsi="Times" w:eastAsia="仿宋_GB2312"/>
          <w:sz w:val="32"/>
          <w:szCs w:val="32"/>
          <w:lang w:val="en-US" w:eastAsia="zh-CN"/>
        </w:rPr>
        <w:t>无</w:t>
      </w:r>
      <w:r>
        <w:rPr>
          <w:rFonts w:hint="eastAsia" w:ascii="仿宋_GB2312" w:hAnsi="Times" w:eastAsia="仿宋_GB2312"/>
          <w:sz w:val="32"/>
          <w:szCs w:val="32"/>
        </w:rPr>
        <w:t>组织废气：</w:t>
      </w:r>
      <w:r>
        <w:rPr>
          <w:rFonts w:hint="eastAsia" w:ascii="仿宋_GB2312" w:hAnsi="Times" w:eastAsia="仿宋_GB2312"/>
          <w:sz w:val="32"/>
          <w:szCs w:val="32"/>
          <w:lang w:val="en-US" w:eastAsia="zh-CN"/>
        </w:rPr>
        <w:t>VOCs≤0.116、颗粒物≤0.00312</w:t>
      </w:r>
      <w:r>
        <w:rPr>
          <w:rFonts w:hint="eastAsia" w:ascii="仿宋_GB2312" w:hAnsi="Times" w:eastAsia="仿宋_GB2312"/>
          <w:sz w:val="32"/>
          <w:szCs w:val="32"/>
        </w:rPr>
        <w:t>。</w:t>
      </w:r>
    </w:p>
    <w:p w14:paraId="2F122BE4">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w:t>
      </w:r>
      <w:r>
        <w:rPr>
          <w:rFonts w:hint="eastAsia" w:ascii="仿宋_GB2312" w:hAnsi="Times" w:eastAsia="仿宋_GB2312"/>
          <w:color w:val="000000"/>
          <w:sz w:val="32"/>
          <w:szCs w:val="32"/>
        </w:rPr>
        <w:t>固体废物</w:t>
      </w:r>
      <w:r>
        <w:rPr>
          <w:rFonts w:hint="eastAsia" w:ascii="仿宋_GB2312" w:hAnsi="Times" w:eastAsia="仿宋_GB2312"/>
          <w:sz w:val="32"/>
          <w:szCs w:val="32"/>
        </w:rPr>
        <w:t>：全部综合利用或安全处置。</w:t>
      </w:r>
    </w:p>
    <w:p w14:paraId="3349172A">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2F3F9E85">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2D4A0357">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（项目代码：2501-320404-89-01-792007）</w:t>
      </w:r>
    </w:p>
    <w:p w14:paraId="37928EF1">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宋体" w:eastAsia="仿宋_GB2312"/>
          <w:sz w:val="32"/>
          <w:szCs w:val="32"/>
        </w:rPr>
      </w:pPr>
    </w:p>
    <w:p w14:paraId="4257B597">
      <w:pPr>
        <w:keepNext w:val="0"/>
        <w:keepLines w:val="0"/>
        <w:pageBreakBefore w:val="0"/>
        <w:widowControl w:val="0"/>
        <w:kinsoku/>
        <w:wordWrap/>
        <w:topLinePunct w:val="0"/>
        <w:autoSpaceDE/>
        <w:autoSpaceDN/>
        <w:bidi w:val="0"/>
        <w:adjustRightInd/>
        <w:spacing w:line="55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A00466D">
      <w:pPr>
        <w:keepNext w:val="0"/>
        <w:keepLines w:val="0"/>
        <w:pageBreakBefore w:val="0"/>
        <w:widowControl w:val="0"/>
        <w:tabs>
          <w:tab w:val="left" w:pos="680"/>
        </w:tabs>
        <w:kinsoku/>
        <w:wordWrap/>
        <w:topLinePunct w:val="0"/>
        <w:autoSpaceDE/>
        <w:autoSpaceDN/>
        <w:bidi w:val="0"/>
        <w:adjustRightInd/>
        <w:spacing w:line="550" w:lineRule="exact"/>
        <w:ind w:right="630" w:rightChars="300"/>
        <w:jc w:val="right"/>
        <w:textAlignment w:val="auto"/>
        <w:rPr>
          <w:rFonts w:ascii="仿宋_GB2312" w:eastAsia="仿宋_GB2312"/>
          <w:sz w:val="32"/>
          <w:szCs w:val="32"/>
          <w:highlight w:val="none"/>
        </w:rPr>
      </w:pPr>
      <w:r>
        <w:rPr>
          <w:rFonts w:hint="eastAsia" w:ascii="仿宋_GB2312" w:eastAsia="仿宋_GB2312"/>
          <w:sz w:val="32"/>
          <w:szCs w:val="32"/>
        </w:rPr>
        <w:t xml:space="preserve">                                  </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7</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23</w:t>
      </w:r>
      <w:r>
        <w:rPr>
          <w:rFonts w:hint="eastAsia" w:ascii="仿宋_GB2312" w:eastAsia="仿宋_GB2312"/>
          <w:sz w:val="32"/>
          <w:szCs w:val="32"/>
          <w:highlight w:val="none"/>
        </w:rPr>
        <w:t>日</w:t>
      </w:r>
    </w:p>
    <w:p w14:paraId="4CCB9127">
      <w:pPr>
        <w:keepNext w:val="0"/>
        <w:keepLines w:val="0"/>
        <w:pageBreakBefore w:val="0"/>
        <w:widowControl w:val="0"/>
        <w:kinsoku/>
        <w:wordWrap/>
        <w:topLinePunct w:val="0"/>
        <w:autoSpaceDE/>
        <w:autoSpaceDN/>
        <w:bidi w:val="0"/>
        <w:adjustRightInd/>
        <w:spacing w:line="550" w:lineRule="exact"/>
        <w:ind w:right="630" w:rightChars="300"/>
        <w:jc w:val="left"/>
        <w:textAlignment w:val="auto"/>
        <w:rPr>
          <w:rFonts w:hint="eastAsia" w:ascii="仿宋_GB2312" w:eastAsia="仿宋_GB2312"/>
          <w:sz w:val="32"/>
          <w:szCs w:val="32"/>
          <w:highlight w:val="none"/>
        </w:rPr>
      </w:pPr>
      <w:r>
        <w:rPr>
          <w:rFonts w:hint="eastAsia" w:ascii="仿宋_GB2312" w:eastAsia="仿宋_GB2312"/>
          <w:sz w:val="32"/>
          <w:szCs w:val="32"/>
          <w:highlight w:val="none"/>
        </w:rPr>
        <w:t>（此件公开发布）</w:t>
      </w:r>
    </w:p>
    <w:p w14:paraId="360C9848">
      <w:pPr>
        <w:spacing w:line="500" w:lineRule="exact"/>
        <w:ind w:right="630" w:rightChars="300"/>
        <w:jc w:val="left"/>
        <w:rPr>
          <w:rFonts w:hint="eastAsia" w:ascii="仿宋_GB2312" w:eastAsia="仿宋_GB2312"/>
          <w:sz w:val="32"/>
          <w:szCs w:val="32"/>
          <w:highlight w:val="none"/>
        </w:rPr>
      </w:pPr>
    </w:p>
    <w:p w14:paraId="7EB1A1CA">
      <w:pPr>
        <w:spacing w:line="500" w:lineRule="exact"/>
        <w:ind w:right="630" w:rightChars="300"/>
        <w:jc w:val="left"/>
        <w:rPr>
          <w:rFonts w:hint="eastAsia" w:ascii="仿宋_GB2312" w:eastAsia="仿宋_GB2312"/>
          <w:sz w:val="32"/>
          <w:szCs w:val="32"/>
          <w:highlight w:val="none"/>
        </w:rPr>
      </w:pPr>
    </w:p>
    <w:p w14:paraId="7FE51AF1">
      <w:pPr>
        <w:spacing w:line="500" w:lineRule="exact"/>
        <w:ind w:right="630" w:rightChars="300"/>
        <w:jc w:val="left"/>
        <w:rPr>
          <w:rFonts w:hint="eastAsia" w:ascii="仿宋_GB2312" w:eastAsia="仿宋_GB2312"/>
          <w:sz w:val="32"/>
          <w:szCs w:val="32"/>
          <w:highlight w:val="none"/>
        </w:rPr>
      </w:pPr>
    </w:p>
    <w:p w14:paraId="27D6008F">
      <w:pPr>
        <w:spacing w:line="500" w:lineRule="exact"/>
        <w:ind w:right="630" w:rightChars="300"/>
        <w:jc w:val="left"/>
        <w:rPr>
          <w:rFonts w:hint="eastAsia" w:ascii="仿宋_GB2312" w:eastAsia="仿宋_GB2312"/>
          <w:sz w:val="32"/>
          <w:szCs w:val="32"/>
          <w:highlight w:val="none"/>
        </w:rPr>
      </w:pPr>
    </w:p>
    <w:p w14:paraId="2608D465">
      <w:pPr>
        <w:spacing w:line="500" w:lineRule="exact"/>
        <w:ind w:right="630" w:rightChars="300"/>
        <w:jc w:val="left"/>
        <w:rPr>
          <w:rFonts w:hint="eastAsia" w:ascii="仿宋_GB2312" w:eastAsia="仿宋_GB2312"/>
          <w:sz w:val="32"/>
          <w:szCs w:val="32"/>
          <w:highlight w:val="none"/>
        </w:rPr>
      </w:pPr>
    </w:p>
    <w:p w14:paraId="597C96A1">
      <w:pPr>
        <w:spacing w:line="500" w:lineRule="exact"/>
        <w:ind w:right="630" w:rightChars="300"/>
        <w:jc w:val="left"/>
        <w:rPr>
          <w:rFonts w:hint="eastAsia" w:ascii="仿宋_GB2312" w:eastAsia="仿宋_GB2312"/>
          <w:sz w:val="32"/>
          <w:szCs w:val="32"/>
          <w:highlight w:val="none"/>
        </w:rPr>
      </w:pPr>
    </w:p>
    <w:p w14:paraId="553735EF">
      <w:pPr>
        <w:spacing w:line="500" w:lineRule="exact"/>
        <w:ind w:right="630" w:rightChars="300"/>
        <w:jc w:val="left"/>
        <w:rPr>
          <w:rFonts w:hint="eastAsia" w:ascii="仿宋_GB2312" w:eastAsia="仿宋_GB2312"/>
          <w:sz w:val="32"/>
          <w:szCs w:val="32"/>
          <w:highlight w:val="none"/>
        </w:rPr>
      </w:pPr>
    </w:p>
    <w:p w14:paraId="439E0C86">
      <w:pPr>
        <w:spacing w:line="500" w:lineRule="exact"/>
        <w:ind w:right="630" w:rightChars="300"/>
        <w:jc w:val="left"/>
        <w:rPr>
          <w:rFonts w:hint="eastAsia" w:ascii="仿宋_GB2312" w:eastAsia="仿宋_GB2312"/>
          <w:sz w:val="32"/>
          <w:szCs w:val="32"/>
          <w:highlight w:val="none"/>
        </w:rPr>
      </w:pPr>
    </w:p>
    <w:p w14:paraId="2F26763A">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05" w:firstLineChars="50"/>
        <w:textAlignment w:val="auto"/>
        <w:rPr>
          <w:rFonts w:ascii="仿宋_GB2312" w:hAnsi="宋体" w:eastAsia="仿宋_GB2312"/>
          <w:sz w:val="28"/>
          <w:szCs w:val="28"/>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highlight w:val="none"/>
        </w:rPr>
        <w:t>抄送：</w:t>
      </w:r>
      <w:r>
        <w:rPr>
          <w:rFonts w:hint="eastAsia" w:ascii="仿宋_GB2312" w:hAnsi="宋体" w:eastAsia="仿宋_GB2312"/>
          <w:sz w:val="28"/>
          <w:szCs w:val="28"/>
          <w:highlight w:val="none"/>
        </w:rPr>
        <w:t>钟楼经济开发区管理委员会、</w:t>
      </w:r>
      <w:r>
        <w:rPr>
          <w:rFonts w:hint="eastAsia" w:ascii="仿宋_GB2312" w:hAnsi="宋体" w:eastAsia="仿宋_GB2312"/>
          <w:sz w:val="28"/>
          <w:szCs w:val="28"/>
          <w:highlight w:val="none"/>
          <w:lang w:val="en-US" w:eastAsia="zh-CN"/>
        </w:rPr>
        <w:t>新闸</w:t>
      </w:r>
      <w:r>
        <w:rPr>
          <w:rFonts w:hint="eastAsia" w:ascii="仿宋_GB2312" w:hAnsi="宋体" w:eastAsia="仿宋_GB2312"/>
          <w:sz w:val="28"/>
          <w:szCs w:val="28"/>
          <w:highlight w:val="none"/>
        </w:rPr>
        <w:t>街道办事处，市生态环境综合行政执法局钟楼分局。</w:t>
      </w:r>
    </w:p>
    <w:p w14:paraId="44C67DF7">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40" w:firstLineChars="50"/>
        <w:textAlignment w:val="auto"/>
        <w:rPr>
          <w:rFonts w:ascii="仿宋_GB2312" w:eastAsia="仿宋_GB2312"/>
          <w:sz w:val="28"/>
          <w:szCs w:val="28"/>
        </w:rPr>
      </w:pPr>
      <w:r>
        <w:rPr>
          <w:rFonts w:hint="eastAsia" w:ascii="仿宋_GB2312" w:eastAsia="仿宋_GB2312"/>
          <w:sz w:val="28"/>
          <w:szCs w:val="28"/>
          <w:highlight w:val="none"/>
        </w:rPr>
        <w:t>常州市生态环境局办公室</w:t>
      </w:r>
      <w:r>
        <w:rPr>
          <w:highlight w:val="none"/>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highlight w:val="none"/>
        </w:rPr>
        <w:t xml:space="preserve">                   202</w:t>
      </w:r>
      <w:r>
        <w:rPr>
          <w:rFonts w:hint="eastAsia" w:ascii="仿宋_GB2312" w:eastAsia="仿宋_GB2312"/>
          <w:sz w:val="28"/>
          <w:szCs w:val="28"/>
          <w:highlight w:val="none"/>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7</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23</w:t>
      </w:r>
      <w:r>
        <w:rPr>
          <w:rFonts w:hint="eastAsia" w:ascii="仿宋_GB2312" w:eastAsia="仿宋_GB2312"/>
          <w:sz w:val="28"/>
          <w:szCs w:val="28"/>
          <w:highlight w:val="none"/>
        </w:rPr>
        <w:t>日印</w:t>
      </w:r>
      <w:r>
        <w:rPr>
          <w:rFonts w:hint="eastAsia" w:ascii="仿宋_GB2312" w:eastAsia="仿宋_GB2312"/>
          <w:sz w:val="28"/>
          <w:szCs w:val="28"/>
        </w:rPr>
        <w:t>发</w:t>
      </w:r>
    </w:p>
    <w:p w14:paraId="1E10C953">
      <w:pPr>
        <w:keepNext w:val="0"/>
        <w:keepLines w:val="0"/>
        <w:pageBreakBefore w:val="0"/>
        <w:widowControl w:val="0"/>
        <w:tabs>
          <w:tab w:val="left" w:pos="6795"/>
        </w:tabs>
        <w:kinsoku/>
        <w:wordWrap/>
        <w:overflowPunct/>
        <w:topLinePunct w:val="0"/>
        <w:autoSpaceDE/>
        <w:autoSpaceDN/>
        <w:bidi w:val="0"/>
        <w:adjustRightInd/>
        <w:snapToGrid/>
        <w:spacing w:line="50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290C0">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2</w:t>
    </w:r>
    <w:r>
      <w:rPr>
        <w:rFonts w:ascii="宋体" w:hAnsi="宋体"/>
        <w:sz w:val="30"/>
        <w:szCs w:val="30"/>
      </w:rPr>
      <w:fldChar w:fldCharType="end"/>
    </w:r>
    <w:r>
      <w:rPr>
        <w:rStyle w:val="7"/>
        <w:rFonts w:hint="eastAsia" w:ascii="宋体" w:hAnsi="宋体"/>
        <w:sz w:val="30"/>
        <w:szCs w:val="30"/>
      </w:rPr>
      <w:t xml:space="preserve"> —</w:t>
    </w:r>
  </w:p>
  <w:p w14:paraId="3680FB68">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871B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DD158F1">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8820A">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8962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05E35">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4EFA2">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130E61"/>
    <w:rsid w:val="00155653"/>
    <w:rsid w:val="00155ACB"/>
    <w:rsid w:val="00162E1C"/>
    <w:rsid w:val="001A4CE1"/>
    <w:rsid w:val="001D0075"/>
    <w:rsid w:val="001D0220"/>
    <w:rsid w:val="001D21E5"/>
    <w:rsid w:val="00204ABF"/>
    <w:rsid w:val="00270955"/>
    <w:rsid w:val="00271C6D"/>
    <w:rsid w:val="0029121B"/>
    <w:rsid w:val="002E3F9D"/>
    <w:rsid w:val="00312C45"/>
    <w:rsid w:val="00320F08"/>
    <w:rsid w:val="0036349E"/>
    <w:rsid w:val="003D404C"/>
    <w:rsid w:val="004038C2"/>
    <w:rsid w:val="00431570"/>
    <w:rsid w:val="00450C94"/>
    <w:rsid w:val="004549B7"/>
    <w:rsid w:val="004735B0"/>
    <w:rsid w:val="0049691D"/>
    <w:rsid w:val="004A378E"/>
    <w:rsid w:val="004B0224"/>
    <w:rsid w:val="004D4DF5"/>
    <w:rsid w:val="004E2238"/>
    <w:rsid w:val="00503795"/>
    <w:rsid w:val="00507263"/>
    <w:rsid w:val="005166B2"/>
    <w:rsid w:val="005400E1"/>
    <w:rsid w:val="00543DB7"/>
    <w:rsid w:val="005F35B5"/>
    <w:rsid w:val="006438E6"/>
    <w:rsid w:val="00651BDD"/>
    <w:rsid w:val="00657949"/>
    <w:rsid w:val="00662E6E"/>
    <w:rsid w:val="006860FC"/>
    <w:rsid w:val="00690F30"/>
    <w:rsid w:val="006939D1"/>
    <w:rsid w:val="006B5ED0"/>
    <w:rsid w:val="006C6417"/>
    <w:rsid w:val="00704F86"/>
    <w:rsid w:val="0072339C"/>
    <w:rsid w:val="00783979"/>
    <w:rsid w:val="007D24EB"/>
    <w:rsid w:val="007E1357"/>
    <w:rsid w:val="007E5068"/>
    <w:rsid w:val="008333F3"/>
    <w:rsid w:val="00887049"/>
    <w:rsid w:val="009542D0"/>
    <w:rsid w:val="00973558"/>
    <w:rsid w:val="009A52B8"/>
    <w:rsid w:val="00A02026"/>
    <w:rsid w:val="00A121C8"/>
    <w:rsid w:val="00A54755"/>
    <w:rsid w:val="00AB675D"/>
    <w:rsid w:val="00B00703"/>
    <w:rsid w:val="00B25F9B"/>
    <w:rsid w:val="00B7088B"/>
    <w:rsid w:val="00B9261C"/>
    <w:rsid w:val="00BA7F82"/>
    <w:rsid w:val="00BD511C"/>
    <w:rsid w:val="00BD77A1"/>
    <w:rsid w:val="00C0595D"/>
    <w:rsid w:val="00C1098D"/>
    <w:rsid w:val="00C152CD"/>
    <w:rsid w:val="00C735F0"/>
    <w:rsid w:val="00C85B7B"/>
    <w:rsid w:val="00C970DB"/>
    <w:rsid w:val="00CB21A9"/>
    <w:rsid w:val="00CD0300"/>
    <w:rsid w:val="00CD3D0E"/>
    <w:rsid w:val="00CE53D8"/>
    <w:rsid w:val="00D25DC2"/>
    <w:rsid w:val="00D45C64"/>
    <w:rsid w:val="00D6649D"/>
    <w:rsid w:val="00DA5F88"/>
    <w:rsid w:val="00DD360E"/>
    <w:rsid w:val="00DE285F"/>
    <w:rsid w:val="00DE70AD"/>
    <w:rsid w:val="00E00AC6"/>
    <w:rsid w:val="00E0387A"/>
    <w:rsid w:val="00E070CA"/>
    <w:rsid w:val="00E232A6"/>
    <w:rsid w:val="00E60A54"/>
    <w:rsid w:val="00E640A2"/>
    <w:rsid w:val="00EC5568"/>
    <w:rsid w:val="00ED011B"/>
    <w:rsid w:val="00EE016F"/>
    <w:rsid w:val="00EE734B"/>
    <w:rsid w:val="00F16C02"/>
    <w:rsid w:val="00F800AB"/>
    <w:rsid w:val="00F82FB9"/>
    <w:rsid w:val="00F96AE2"/>
    <w:rsid w:val="00F96DC4"/>
    <w:rsid w:val="00FD7E6E"/>
    <w:rsid w:val="03D474EA"/>
    <w:rsid w:val="082127AD"/>
    <w:rsid w:val="0C9A5C8E"/>
    <w:rsid w:val="0EEB1D0A"/>
    <w:rsid w:val="0FAA5842"/>
    <w:rsid w:val="1028726C"/>
    <w:rsid w:val="12D379DB"/>
    <w:rsid w:val="1DB10E44"/>
    <w:rsid w:val="1F30765A"/>
    <w:rsid w:val="2C0C4FAB"/>
    <w:rsid w:val="32713D93"/>
    <w:rsid w:val="3ACF1D9B"/>
    <w:rsid w:val="3CFC071D"/>
    <w:rsid w:val="3E060BCF"/>
    <w:rsid w:val="3E8B6203"/>
    <w:rsid w:val="42ED5B59"/>
    <w:rsid w:val="43E6537A"/>
    <w:rsid w:val="44CE0BF8"/>
    <w:rsid w:val="47243FC5"/>
    <w:rsid w:val="4BCC2EA1"/>
    <w:rsid w:val="4F7F495C"/>
    <w:rsid w:val="4F822D0B"/>
    <w:rsid w:val="58B328C3"/>
    <w:rsid w:val="5A766A76"/>
    <w:rsid w:val="5CDB39FC"/>
    <w:rsid w:val="5E5F2C46"/>
    <w:rsid w:val="5EA72FD8"/>
    <w:rsid w:val="62EE4313"/>
    <w:rsid w:val="68BE495C"/>
    <w:rsid w:val="7C043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1777</Words>
  <Characters>1954</Characters>
  <Lines>15</Lines>
  <Paragraphs>4</Paragraphs>
  <TotalTime>0</TotalTime>
  <ScaleCrop>false</ScaleCrop>
  <LinksUpToDate>false</LinksUpToDate>
  <CharactersWithSpaces>2009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2023-12-27T02:43:00Z</dcterms:created>
  <dc:creator>yangfan</dc:creator>
  <cp:lastModifiedBy>幵心</cp:lastModifiedBy>
  <dcterms:modified xsi:type="dcterms:W3CDTF">2025-07-10T03:53:56Z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0662E967A9284F7CB701077DAFEFAB84_13</vt:lpwstr>
  </property>
  <property fmtid="{D5CDD505-2E9C-101B-9397-08002B2CF9AE}" pid="4" name="KSOTemplateDocerSaveRecord">
    <vt:lpwstr>eyJoZGlkIjoiMjU3MmEzZjNhMWFiNGQ2MDA0N2I4YjY0M2JmM2ZlYjQiLCJ1c2VySWQiOiI2OTc2NzIxMTQifQ==</vt:lpwstr>
  </property>
</Properties>
</file>