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908F5">
      <w:pPr>
        <w:overflowPunct w:val="0"/>
        <w:autoSpaceDE w:val="0"/>
        <w:autoSpaceDN w:val="0"/>
        <w:spacing w:line="570" w:lineRule="exact"/>
        <w:jc w:val="center"/>
        <w:rPr>
          <w:rFonts w:hint="eastAsia"/>
          <w:spacing w:val="-1"/>
          <w:sz w:val="48"/>
        </w:rPr>
      </w:pPr>
    </w:p>
    <w:p w14:paraId="3DFCF17E">
      <w:pPr>
        <w:overflowPunct w:val="0"/>
        <w:autoSpaceDE w:val="0"/>
        <w:autoSpaceDN w:val="0"/>
        <w:spacing w:line="570" w:lineRule="exact"/>
        <w:jc w:val="center"/>
        <w:rPr>
          <w:rFonts w:hint="eastAsia"/>
          <w:spacing w:val="-1"/>
          <w:sz w:val="48"/>
        </w:rPr>
      </w:pPr>
    </w:p>
    <w:p w14:paraId="76DF453B">
      <w:pPr>
        <w:overflowPunct w:val="0"/>
        <w:autoSpaceDE w:val="0"/>
        <w:autoSpaceDN w:val="0"/>
        <w:spacing w:line="570" w:lineRule="exact"/>
        <w:jc w:val="center"/>
        <w:rPr>
          <w:rFonts w:hint="eastAsia" w:ascii="方正小标宋简体" w:eastAsia="方正小标宋简体"/>
          <w:sz w:val="48"/>
        </w:rPr>
      </w:pPr>
      <w:r>
        <w:rPr>
          <w:rFonts w:hint="eastAsia" w:ascii="方正小标宋简体" w:eastAsia="方正小标宋简体"/>
          <w:spacing w:val="-1"/>
          <w:sz w:val="48"/>
          <w:lang w:val="en-US" w:eastAsia="zh-CN"/>
        </w:rPr>
        <w:t>2025</w:t>
      </w:r>
      <w:r>
        <w:rPr>
          <w:rFonts w:hint="eastAsia" w:ascii="方正小标宋简体" w:hAnsi="OLIIDN+FZXiaoBiaoSong-B05" w:eastAsia="方正小标宋简体" w:cs="OLIIDN+FZXiaoBiaoSong-B05"/>
          <w:sz w:val="48"/>
        </w:rPr>
        <w:t>年常州市</w:t>
      </w:r>
      <w:r>
        <w:rPr>
          <w:rFonts w:hint="eastAsia" w:ascii="方正小标宋简体" w:eastAsia="方正小标宋简体"/>
          <w:spacing w:val="-1"/>
          <w:sz w:val="48"/>
          <w:lang w:val="en-US" w:eastAsia="zh-CN"/>
        </w:rPr>
        <w:t>钟楼区</w:t>
      </w:r>
      <w:r>
        <w:rPr>
          <w:rFonts w:hint="eastAsia" w:ascii="方正小标宋简体" w:hAnsi="OLIIDN+FZXiaoBiaoSong-B05" w:eastAsia="方正小标宋简体" w:cs="OLIIDN+FZXiaoBiaoSong-B05"/>
          <w:sz w:val="48"/>
        </w:rPr>
        <w:t>职业技能竞赛</w:t>
      </w:r>
    </w:p>
    <w:p w14:paraId="597D91B1">
      <w:pPr>
        <w:overflowPunct w:val="0"/>
        <w:autoSpaceDE w:val="0"/>
        <w:autoSpaceDN w:val="0"/>
        <w:spacing w:before="240" w:line="570" w:lineRule="exact"/>
        <w:jc w:val="center"/>
        <w:rPr>
          <w:rFonts w:hint="eastAsia" w:ascii="方正小标宋简体" w:hAnsi="黑体" w:eastAsia="方正小标宋简体" w:cs="黑体"/>
          <w:spacing w:val="-1"/>
          <w:sz w:val="44"/>
        </w:rPr>
      </w:pPr>
      <w:r>
        <w:rPr>
          <w:rFonts w:hint="eastAsia" w:ascii="方正小标宋简体" w:eastAsia="方正小标宋简体"/>
          <w:spacing w:val="-1"/>
          <w:sz w:val="44"/>
          <w:lang w:val="en-US" w:eastAsia="zh-CN"/>
        </w:rPr>
        <w:t>制图员</w:t>
      </w:r>
      <w:r>
        <w:rPr>
          <w:rFonts w:hint="eastAsia" w:ascii="方正小标宋简体" w:hAnsi="黑体" w:eastAsia="方正小标宋简体" w:cs="黑体"/>
          <w:sz w:val="44"/>
        </w:rPr>
        <w:t>项目</w:t>
      </w:r>
    </w:p>
    <w:p w14:paraId="13A6707E">
      <w:pPr>
        <w:overflowPunct w:val="0"/>
        <w:autoSpaceDE w:val="0"/>
        <w:autoSpaceDN w:val="0"/>
        <w:spacing w:line="570" w:lineRule="exact"/>
        <w:jc w:val="center"/>
        <w:rPr>
          <w:rFonts w:hint="eastAsia"/>
          <w:sz w:val="44"/>
        </w:rPr>
      </w:pPr>
    </w:p>
    <w:p w14:paraId="40AFB1DE">
      <w:pPr>
        <w:overflowPunct w:val="0"/>
        <w:autoSpaceDE w:val="0"/>
        <w:autoSpaceDN w:val="0"/>
        <w:spacing w:line="570" w:lineRule="exact"/>
        <w:jc w:val="center"/>
        <w:rPr>
          <w:rFonts w:hint="eastAsia"/>
          <w:sz w:val="44"/>
        </w:rPr>
      </w:pPr>
    </w:p>
    <w:p w14:paraId="31D10332">
      <w:pPr>
        <w:overflowPunct w:val="0"/>
        <w:autoSpaceDE w:val="0"/>
        <w:autoSpaceDN w:val="0"/>
        <w:spacing w:line="570" w:lineRule="exact"/>
        <w:jc w:val="center"/>
        <w:rPr>
          <w:sz w:val="44"/>
        </w:rPr>
      </w:pPr>
    </w:p>
    <w:p w14:paraId="3ADCD077">
      <w:pPr>
        <w:overflowPunct w:val="0"/>
        <w:autoSpaceDE w:val="0"/>
        <w:autoSpaceDN w:val="0"/>
        <w:spacing w:line="570" w:lineRule="exact"/>
        <w:jc w:val="center"/>
        <w:rPr>
          <w:rFonts w:hint="eastAsia" w:ascii="方正小标宋简体" w:hAnsi="黑体" w:eastAsia="方正小标宋简体" w:cs="黑体"/>
          <w:sz w:val="48"/>
        </w:rPr>
      </w:pPr>
      <w:r>
        <w:rPr>
          <w:rFonts w:hint="eastAsia" w:ascii="方正小标宋简体" w:hAnsi="黑体" w:eastAsia="方正小标宋简体" w:cs="黑体"/>
          <w:sz w:val="48"/>
        </w:rPr>
        <w:t>技 术 文 件</w:t>
      </w:r>
    </w:p>
    <w:p w14:paraId="15C3C1AD">
      <w:pPr>
        <w:overflowPunct w:val="0"/>
        <w:autoSpaceDE w:val="0"/>
        <w:autoSpaceDN w:val="0"/>
        <w:adjustRightInd w:val="0"/>
        <w:snapToGrid w:val="0"/>
        <w:spacing w:line="570" w:lineRule="exact"/>
        <w:rPr>
          <w:rFonts w:eastAsia="方正仿宋_GBK"/>
          <w:sz w:val="32"/>
          <w:szCs w:val="32"/>
        </w:rPr>
      </w:pPr>
    </w:p>
    <w:p w14:paraId="463F26BE">
      <w:pPr>
        <w:overflowPunct w:val="0"/>
        <w:autoSpaceDE w:val="0"/>
        <w:autoSpaceDN w:val="0"/>
        <w:spacing w:line="570" w:lineRule="exact"/>
        <w:jc w:val="center"/>
        <w:rPr>
          <w:rFonts w:ascii="仿宋_GB2312" w:hAnsi="仿宋" w:eastAsia="仿宋_GB2312"/>
          <w:sz w:val="32"/>
          <w:szCs w:val="32"/>
        </w:rPr>
      </w:pPr>
    </w:p>
    <w:p w14:paraId="0B177848">
      <w:pPr>
        <w:overflowPunct w:val="0"/>
        <w:autoSpaceDE w:val="0"/>
        <w:autoSpaceDN w:val="0"/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5D915E80">
      <w:pPr>
        <w:overflowPunct w:val="0"/>
        <w:autoSpaceDE w:val="0"/>
        <w:autoSpaceDN w:val="0"/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60A372DA">
      <w:pPr>
        <w:overflowPunct w:val="0"/>
        <w:autoSpaceDE w:val="0"/>
        <w:autoSpaceDN w:val="0"/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21C4E756">
      <w:pPr>
        <w:overflowPunct w:val="0"/>
        <w:autoSpaceDE w:val="0"/>
        <w:autoSpaceDN w:val="0"/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22B45360">
      <w:pPr>
        <w:overflowPunct w:val="0"/>
        <w:autoSpaceDE w:val="0"/>
        <w:autoSpaceDN w:val="0"/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7F704903">
      <w:pPr>
        <w:overflowPunct w:val="0"/>
        <w:autoSpaceDE w:val="0"/>
        <w:autoSpaceDN w:val="0"/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01A08B4E">
      <w:pPr>
        <w:overflowPunct w:val="0"/>
        <w:autoSpaceDE w:val="0"/>
        <w:autoSpaceDN w:val="0"/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276FE6AF">
      <w:pPr>
        <w:overflowPunct w:val="0"/>
        <w:autoSpaceDE w:val="0"/>
        <w:autoSpaceDN w:val="0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br w:type="page"/>
      </w:r>
    </w:p>
    <w:p w14:paraId="12F2CE9F">
      <w:pPr>
        <w:overflowPunct w:val="0"/>
        <w:autoSpaceDE w:val="0"/>
        <w:autoSpaceDN w:val="0"/>
        <w:spacing w:line="0" w:lineRule="atLeast"/>
        <w:jc w:val="left"/>
        <w:rPr>
          <w:rFonts w:ascii="Arial"/>
          <w:sz w:val="2"/>
        </w:rPr>
      </w:pPr>
    </w:p>
    <w:p w14:paraId="101A10C0">
      <w:pPr>
        <w:overflowPunct w:val="0"/>
        <w:autoSpaceDE w:val="0"/>
        <w:autoSpaceDN w:val="0"/>
        <w:spacing w:line="570" w:lineRule="exact"/>
        <w:jc w:val="center"/>
        <w:rPr>
          <w:rFonts w:hint="eastAsia" w:ascii="方正小标宋简体" w:hAnsi="NOGRPJ+FZHei-B01" w:eastAsia="方正小标宋简体" w:cs="NOGRPJ+FZHei-B01"/>
          <w:sz w:val="44"/>
        </w:rPr>
      </w:pPr>
      <w:bookmarkStart w:id="0" w:name="br14"/>
      <w:bookmarkEnd w:id="0"/>
      <w:r>
        <w:rPr>
          <w:rFonts w:hint="eastAsia" w:ascii="方正小标宋简体" w:hAnsi="NOGRPJ+FZHei-B01" w:eastAsia="方正小标宋简体" w:cs="NOGRPJ+FZHei-B01"/>
          <w:sz w:val="44"/>
        </w:rPr>
        <w:t>目    录</w:t>
      </w:r>
    </w:p>
    <w:p w14:paraId="20359058">
      <w:pPr>
        <w:overflowPunct w:val="0"/>
        <w:autoSpaceDE w:val="0"/>
        <w:autoSpaceDN w:val="0"/>
        <w:spacing w:line="570" w:lineRule="exact"/>
        <w:jc w:val="center"/>
        <w:rPr>
          <w:rFonts w:hint="eastAsia" w:ascii="方正小标宋简体" w:eastAsia="方正小标宋简体"/>
          <w:sz w:val="44"/>
        </w:rPr>
      </w:pPr>
    </w:p>
    <w:p w14:paraId="17A92D68">
      <w:pPr>
        <w:overflowPunct w:val="0"/>
        <w:autoSpaceDE w:val="0"/>
        <w:autoSpaceDN w:val="0"/>
        <w:spacing w:line="570" w:lineRule="exact"/>
        <w:ind w:firstLine="641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>一、编制依据</w:t>
      </w:r>
    </w:p>
    <w:p w14:paraId="63B19947">
      <w:pPr>
        <w:overflowPunct w:val="0"/>
        <w:autoSpaceDE w:val="0"/>
        <w:autoSpaceDN w:val="0"/>
        <w:spacing w:line="570" w:lineRule="exact"/>
        <w:ind w:firstLine="641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>二、技术描述</w:t>
      </w:r>
    </w:p>
    <w:p w14:paraId="15F58512">
      <w:pPr>
        <w:overflowPunct w:val="0"/>
        <w:autoSpaceDE w:val="0"/>
        <w:autoSpaceDN w:val="0"/>
        <w:spacing w:line="570" w:lineRule="exact"/>
        <w:ind w:firstLine="641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>三、技术纲要</w:t>
      </w:r>
    </w:p>
    <w:p w14:paraId="7A67B299">
      <w:pPr>
        <w:overflowPunct w:val="0"/>
        <w:autoSpaceDE w:val="0"/>
        <w:autoSpaceDN w:val="0"/>
        <w:spacing w:line="570" w:lineRule="exact"/>
        <w:ind w:firstLine="641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>四、场地设施设备简述</w:t>
      </w:r>
    </w:p>
    <w:p w14:paraId="6601E72B">
      <w:pPr>
        <w:overflowPunct w:val="0"/>
        <w:autoSpaceDE w:val="0"/>
        <w:autoSpaceDN w:val="0"/>
        <w:spacing w:line="570" w:lineRule="exact"/>
        <w:ind w:firstLine="641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>五、技术团队组成人员</w:t>
      </w:r>
    </w:p>
    <w:p w14:paraId="3564EE7E">
      <w:pPr>
        <w:overflowPunct w:val="0"/>
        <w:autoSpaceDE w:val="0"/>
        <w:autoSpaceDN w:val="0"/>
        <w:spacing w:line="570" w:lineRule="exact"/>
        <w:ind w:firstLine="641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>六、纪律要求</w:t>
      </w:r>
    </w:p>
    <w:p w14:paraId="50F772E6">
      <w:pPr>
        <w:overflowPunct w:val="0"/>
        <w:autoSpaceDE w:val="0"/>
        <w:autoSpaceDN w:val="0"/>
        <w:spacing w:line="570" w:lineRule="exact"/>
        <w:ind w:firstLine="641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>七、题库</w:t>
      </w:r>
    </w:p>
    <w:p w14:paraId="368FF7D1">
      <w:pPr>
        <w:overflowPunct w:val="0"/>
        <w:autoSpaceDE w:val="0"/>
        <w:autoSpaceDN w:val="0"/>
        <w:spacing w:line="560" w:lineRule="exact"/>
        <w:ind w:firstLine="641"/>
        <w:rPr>
          <w:rFonts w:ascii="黑体" w:hAnsi="黑体" w:eastAsia="黑体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br w:type="page"/>
      </w:r>
      <w:r>
        <w:rPr>
          <w:rFonts w:ascii="黑体" w:hAnsi="黑体" w:eastAsia="黑体"/>
          <w:sz w:val="32"/>
          <w:szCs w:val="32"/>
        </w:rPr>
        <w:t>一、编制依据</w:t>
      </w:r>
    </w:p>
    <w:p w14:paraId="23602394">
      <w:pPr>
        <w:pStyle w:val="8"/>
        <w:overflowPunct w:val="0"/>
        <w:autoSpaceDE w:val="0"/>
        <w:autoSpaceDN w:val="0"/>
        <w:adjustRightInd w:val="0"/>
        <w:snapToGrid w:val="0"/>
        <w:spacing w:line="570" w:lineRule="exact"/>
        <w:ind w:firstLine="640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sz w:val="32"/>
          <w:szCs w:val="32"/>
        </w:rPr>
        <w:t>本技术文件以</w:t>
      </w:r>
      <w:r>
        <w:rPr>
          <w:rFonts w:hint="eastAsia" w:eastAsia="仿宋_GB2312"/>
          <w:sz w:val="32"/>
          <w:szCs w:val="32"/>
          <w:lang w:val="en-US" w:eastAsia="zh-CN"/>
        </w:rPr>
        <w:t>制图员</w:t>
      </w:r>
      <w:r>
        <w:rPr>
          <w:rFonts w:eastAsia="仿宋_GB2312"/>
          <w:sz w:val="32"/>
          <w:szCs w:val="32"/>
        </w:rPr>
        <w:t>行业现状为背景，围绕该行业最新发展方向，对照</w:t>
      </w:r>
      <w:r>
        <w:rPr>
          <w:rFonts w:hint="eastAsia" w:eastAsia="仿宋_GB2312"/>
          <w:sz w:val="32"/>
          <w:szCs w:val="32"/>
          <w:lang w:val="en-US" w:eastAsia="zh-CN"/>
        </w:rPr>
        <w:t>制图员</w:t>
      </w:r>
      <w:r>
        <w:rPr>
          <w:rFonts w:eastAsia="仿宋_GB2312"/>
          <w:sz w:val="32"/>
          <w:szCs w:val="32"/>
        </w:rPr>
        <w:t>国家职业标准（三级）的规定进行编制（竞赛内</w:t>
      </w:r>
      <w:r>
        <w:rPr>
          <w:rFonts w:eastAsia="仿宋_GB2312"/>
          <w:b w:val="0"/>
          <w:bCs w:val="0"/>
          <w:sz w:val="32"/>
          <w:szCs w:val="32"/>
        </w:rPr>
        <w:t>容应覆盖国家职业标准80%以上）。</w:t>
      </w:r>
    </w:p>
    <w:p w14:paraId="45B4D660">
      <w:pPr>
        <w:pStyle w:val="8"/>
        <w:overflowPunct w:val="0"/>
        <w:autoSpaceDE w:val="0"/>
        <w:autoSpaceDN w:val="0"/>
        <w:adjustRightInd w:val="0"/>
        <w:snapToGrid w:val="0"/>
        <w:spacing w:line="57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二、技术描述</w:t>
      </w:r>
    </w:p>
    <w:p w14:paraId="0A6D9EC2">
      <w:pPr>
        <w:pStyle w:val="8"/>
        <w:overflowPunct w:val="0"/>
        <w:autoSpaceDE w:val="0"/>
        <w:autoSpaceDN w:val="0"/>
        <w:adjustRightInd w:val="0"/>
        <w:snapToGrid w:val="0"/>
        <w:spacing w:line="570" w:lineRule="exact"/>
        <w:ind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（一）赛项概要</w:t>
      </w:r>
    </w:p>
    <w:p w14:paraId="14D03F43">
      <w:pPr>
        <w:pStyle w:val="8"/>
        <w:overflowPunct w:val="0"/>
        <w:autoSpaceDE w:val="0"/>
        <w:autoSpaceDN w:val="0"/>
        <w:adjustRightInd w:val="0"/>
        <w:snapToGrid w:val="0"/>
        <w:spacing w:line="57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本赛项所考核的对象为“从事</w:t>
      </w:r>
      <w:r>
        <w:rPr>
          <w:rFonts w:hint="eastAsia" w:eastAsia="仿宋_GB2312"/>
          <w:sz w:val="32"/>
          <w:szCs w:val="32"/>
          <w:lang w:val="en-US" w:eastAsia="zh-CN"/>
        </w:rPr>
        <w:t>或拟从事</w:t>
      </w:r>
      <w:r>
        <w:rPr>
          <w:rFonts w:eastAsia="仿宋_GB2312"/>
          <w:sz w:val="32"/>
          <w:szCs w:val="32"/>
        </w:rPr>
        <w:t>计算机</w:t>
      </w:r>
      <w:r>
        <w:rPr>
          <w:rFonts w:hint="eastAsia" w:eastAsia="仿宋_GB2312"/>
          <w:sz w:val="32"/>
          <w:szCs w:val="32"/>
          <w:lang w:val="en-US" w:eastAsia="zh-CN"/>
        </w:rPr>
        <w:t>绘图</w:t>
      </w:r>
      <w:r>
        <w:rPr>
          <w:rFonts w:eastAsia="仿宋_GB2312"/>
          <w:sz w:val="32"/>
          <w:szCs w:val="32"/>
        </w:rPr>
        <w:t>和</w:t>
      </w:r>
      <w:r>
        <w:rPr>
          <w:rFonts w:hint="eastAsia" w:eastAsia="仿宋_GB2312"/>
          <w:sz w:val="32"/>
          <w:szCs w:val="32"/>
          <w:lang w:val="en-US" w:eastAsia="zh-CN"/>
        </w:rPr>
        <w:t>机械工业</w:t>
      </w:r>
      <w:r>
        <w:rPr>
          <w:rFonts w:eastAsia="仿宋_GB2312"/>
          <w:sz w:val="32"/>
          <w:szCs w:val="32"/>
        </w:rPr>
        <w:t>设计</w:t>
      </w:r>
      <w:r>
        <w:rPr>
          <w:rFonts w:hint="eastAsia" w:eastAsia="仿宋_GB2312"/>
          <w:sz w:val="32"/>
          <w:szCs w:val="32"/>
          <w:lang w:val="en-US" w:eastAsia="zh-CN"/>
        </w:rPr>
        <w:t>等相关</w:t>
      </w:r>
      <w:r>
        <w:rPr>
          <w:rFonts w:eastAsia="仿宋_GB2312"/>
          <w:sz w:val="32"/>
          <w:szCs w:val="32"/>
        </w:rPr>
        <w:t>人员”，所考核的主要内容包括：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应用绘图软件、绘图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技巧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、尺寸标注以及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职业意识、职业道德体系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等</w:t>
      </w:r>
      <w:r>
        <w:rPr>
          <w:rFonts w:eastAsia="仿宋_GB2312"/>
          <w:sz w:val="32"/>
          <w:szCs w:val="32"/>
        </w:rPr>
        <w:t>。</w:t>
      </w:r>
    </w:p>
    <w:p w14:paraId="2FB1DFF0">
      <w:pPr>
        <w:pStyle w:val="8"/>
        <w:overflowPunct w:val="0"/>
        <w:autoSpaceDE w:val="0"/>
        <w:autoSpaceDN w:val="0"/>
        <w:adjustRightInd w:val="0"/>
        <w:snapToGrid w:val="0"/>
        <w:spacing w:line="570" w:lineRule="exact"/>
        <w:ind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（二）能力特征</w:t>
      </w:r>
    </w:p>
    <w:p w14:paraId="4DEC0542">
      <w:pPr>
        <w:pStyle w:val="8"/>
        <w:overflowPunct w:val="0"/>
        <w:autoSpaceDE w:val="0"/>
        <w:autoSpaceDN w:val="0"/>
        <w:adjustRightInd w:val="0"/>
        <w:snapToGrid w:val="0"/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本赛项参赛选手应具有较强的学习、分析、逻辑、推理和判断能力，具有较强的</w:t>
      </w:r>
      <w:r>
        <w:rPr>
          <w:rFonts w:hint="eastAsia" w:eastAsia="仿宋_GB2312"/>
          <w:sz w:val="32"/>
          <w:szCs w:val="32"/>
          <w:lang w:val="en-US" w:eastAsia="zh-CN"/>
        </w:rPr>
        <w:t>空间想象</w:t>
      </w:r>
      <w:r>
        <w:rPr>
          <w:rFonts w:eastAsia="仿宋_GB2312"/>
          <w:sz w:val="32"/>
          <w:szCs w:val="32"/>
        </w:rPr>
        <w:t>力和</w:t>
      </w:r>
      <w:r>
        <w:rPr>
          <w:rFonts w:hint="eastAsia" w:eastAsia="仿宋_GB2312"/>
          <w:sz w:val="32"/>
          <w:szCs w:val="32"/>
          <w:lang w:val="en-US" w:eastAsia="zh-CN"/>
        </w:rPr>
        <w:t>三位思维</w:t>
      </w:r>
      <w:r>
        <w:rPr>
          <w:rFonts w:eastAsia="仿宋_GB2312"/>
          <w:sz w:val="32"/>
          <w:szCs w:val="32"/>
        </w:rPr>
        <w:t>能力，能</w:t>
      </w:r>
      <w:r>
        <w:rPr>
          <w:rFonts w:hint="eastAsia" w:eastAsia="仿宋_GB2312"/>
          <w:sz w:val="32"/>
          <w:szCs w:val="32"/>
          <w:lang w:val="en-US" w:eastAsia="zh-CN"/>
        </w:rPr>
        <w:t>独立完成复杂零件的建模和绘图工作，熟练使用各种测量工具和</w:t>
      </w:r>
      <w:r>
        <w:rPr>
          <w:rFonts w:eastAsia="仿宋_GB2312"/>
          <w:sz w:val="32"/>
          <w:szCs w:val="32"/>
        </w:rPr>
        <w:t>设备。</w:t>
      </w:r>
    </w:p>
    <w:p w14:paraId="52922BC8">
      <w:pPr>
        <w:pStyle w:val="8"/>
        <w:overflowPunct w:val="0"/>
        <w:autoSpaceDE w:val="0"/>
        <w:autoSpaceDN w:val="0"/>
        <w:adjustRightInd w:val="0"/>
        <w:snapToGrid w:val="0"/>
        <w:spacing w:line="54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三、技术纲要</w:t>
      </w:r>
    </w:p>
    <w:p w14:paraId="5996FB5E">
      <w:pPr>
        <w:pStyle w:val="8"/>
        <w:overflowPunct w:val="0"/>
        <w:autoSpaceDE w:val="0"/>
        <w:autoSpaceDN w:val="0"/>
        <w:adjustRightInd w:val="0"/>
        <w:snapToGrid w:val="0"/>
        <w:spacing w:line="540" w:lineRule="exact"/>
        <w:ind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（一）赛制</w:t>
      </w:r>
    </w:p>
    <w:p w14:paraId="04238275">
      <w:pPr>
        <w:pStyle w:val="8"/>
        <w:overflowPunct w:val="0"/>
        <w:autoSpaceDE w:val="0"/>
        <w:autoSpaceDN w:val="0"/>
        <w:adjustRightInd w:val="0"/>
        <w:snapToGrid w:val="0"/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本赛项采用“单人赛制”。</w:t>
      </w:r>
    </w:p>
    <w:p w14:paraId="7A3181BD">
      <w:pPr>
        <w:pStyle w:val="8"/>
        <w:overflowPunct w:val="0"/>
        <w:autoSpaceDE w:val="0"/>
        <w:autoSpaceDN w:val="0"/>
        <w:adjustRightInd w:val="0"/>
        <w:snapToGrid w:val="0"/>
        <w:spacing w:line="540" w:lineRule="exact"/>
        <w:ind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（二）科目</w:t>
      </w:r>
    </w:p>
    <w:p w14:paraId="13A739E6">
      <w:pPr>
        <w:pStyle w:val="8"/>
        <w:overflowPunct w:val="0"/>
        <w:autoSpaceDE w:val="0"/>
        <w:autoSpaceDN w:val="0"/>
        <w:adjustRightInd w:val="0"/>
        <w:snapToGrid w:val="0"/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本赛项设“理论知识</w:t>
      </w:r>
      <w:r>
        <w:rPr>
          <w:rFonts w:hint="eastAsia" w:eastAsia="仿宋_GB2312"/>
          <w:sz w:val="32"/>
          <w:szCs w:val="32"/>
        </w:rPr>
        <w:t>”“</w:t>
      </w:r>
      <w:r>
        <w:rPr>
          <w:rFonts w:eastAsia="仿宋_GB2312"/>
          <w:sz w:val="32"/>
          <w:szCs w:val="32"/>
        </w:rPr>
        <w:t>操作技能”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>2个科目；“理论知识”科目考核时长为60分钟、“操作技能”科目考核时长为180分钟；“理论知识”科目满分为100分（60分以上合格）、“操作技能”科目满分为100分（60分以上合格）；总成绩按“</w:t>
      </w:r>
      <w:r>
        <w:rPr>
          <w:rFonts w:eastAsia="仿宋_GB2312"/>
          <w:b/>
          <w:bCs/>
          <w:sz w:val="32"/>
          <w:szCs w:val="32"/>
        </w:rPr>
        <w:t>理论知识科目成绩*20%+操作技能成绩*80%”计算得出</w:t>
      </w:r>
      <w:r>
        <w:rPr>
          <w:rFonts w:eastAsia="仿宋_GB2312"/>
          <w:sz w:val="32"/>
          <w:szCs w:val="32"/>
        </w:rPr>
        <w:t>，满分为100分（60分以上合格）。</w:t>
      </w:r>
    </w:p>
    <w:p w14:paraId="726E7419">
      <w:pPr>
        <w:pStyle w:val="8"/>
        <w:overflowPunct w:val="0"/>
        <w:autoSpaceDE w:val="0"/>
        <w:autoSpaceDN w:val="0"/>
        <w:adjustRightInd w:val="0"/>
        <w:snapToGrid w:val="0"/>
        <w:spacing w:line="570" w:lineRule="exact"/>
        <w:ind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</w:t>
      </w:r>
      <w:r>
        <w:rPr>
          <w:rFonts w:hint="eastAsia" w:eastAsia="楷体_GB2312"/>
          <w:b/>
          <w:sz w:val="32"/>
          <w:szCs w:val="32"/>
        </w:rPr>
        <w:t>三</w:t>
      </w:r>
      <w:r>
        <w:rPr>
          <w:rFonts w:eastAsia="楷体_GB2312"/>
          <w:b/>
          <w:sz w:val="32"/>
          <w:szCs w:val="32"/>
        </w:rPr>
        <w:t>）</w:t>
      </w:r>
      <w:r>
        <w:rPr>
          <w:rFonts w:hint="eastAsia" w:eastAsia="楷体_GB2312"/>
          <w:b/>
          <w:sz w:val="32"/>
          <w:szCs w:val="32"/>
        </w:rPr>
        <w:t>权重表</w:t>
      </w:r>
    </w:p>
    <w:tbl>
      <w:tblPr>
        <w:tblStyle w:val="4"/>
        <w:tblW w:w="506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2008"/>
        <w:gridCol w:w="3780"/>
        <w:gridCol w:w="1240"/>
      </w:tblGrid>
      <w:tr w14:paraId="017DA1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5" w:type="dxa"/>
            <w:vAlign w:val="center"/>
          </w:tcPr>
          <w:p w14:paraId="63E17A89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-3"/>
                <w:position w:val="1"/>
                <w:sz w:val="24"/>
              </w:rPr>
              <w:t>科目</w:t>
            </w:r>
          </w:p>
        </w:tc>
        <w:tc>
          <w:tcPr>
            <w:tcW w:w="5777" w:type="dxa"/>
            <w:gridSpan w:val="2"/>
            <w:vAlign w:val="center"/>
          </w:tcPr>
          <w:p w14:paraId="0784EF67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-2"/>
                <w:sz w:val="24"/>
              </w:rPr>
              <w:t>模块</w:t>
            </w:r>
          </w:p>
        </w:tc>
        <w:tc>
          <w:tcPr>
            <w:tcW w:w="1238" w:type="dxa"/>
            <w:vAlign w:val="center"/>
          </w:tcPr>
          <w:p w14:paraId="477B6879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10"/>
                <w:position w:val="1"/>
                <w:sz w:val="24"/>
              </w:rPr>
              <w:t>权重（%）</w:t>
            </w:r>
          </w:p>
        </w:tc>
      </w:tr>
      <w:tr w14:paraId="10E41C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5" w:type="dxa"/>
            <w:vMerge w:val="restart"/>
            <w:vAlign w:val="center"/>
          </w:tcPr>
          <w:p w14:paraId="61F4CB5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6"/>
                <w:sz w:val="24"/>
              </w:rPr>
              <w:t>理论知识</w:t>
            </w:r>
          </w:p>
        </w:tc>
        <w:tc>
          <w:tcPr>
            <w:tcW w:w="2004" w:type="dxa"/>
            <w:vMerge w:val="restart"/>
            <w:vAlign w:val="center"/>
          </w:tcPr>
          <w:p w14:paraId="43A31592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8"/>
                <w:sz w:val="24"/>
              </w:rPr>
              <w:t>基础知识</w:t>
            </w:r>
          </w:p>
        </w:tc>
        <w:tc>
          <w:tcPr>
            <w:tcW w:w="3773" w:type="dxa"/>
            <w:vAlign w:val="center"/>
          </w:tcPr>
          <w:p w14:paraId="3EBF9F20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8"/>
                <w:sz w:val="24"/>
              </w:rPr>
            </w:pPr>
            <w:r>
              <w:rPr>
                <w:rFonts w:eastAsia="仿宋_GB2312"/>
                <w:spacing w:val="8"/>
                <w:sz w:val="24"/>
              </w:rPr>
              <w:t>机械制图国家标准（GB）</w:t>
            </w:r>
          </w:p>
        </w:tc>
        <w:tc>
          <w:tcPr>
            <w:tcW w:w="1238" w:type="dxa"/>
            <w:vAlign w:val="center"/>
          </w:tcPr>
          <w:p w14:paraId="20A93B0C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15</w:t>
            </w:r>
          </w:p>
        </w:tc>
      </w:tr>
      <w:tr w14:paraId="40C2DE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5" w:type="dxa"/>
            <w:vMerge w:val="continue"/>
            <w:vAlign w:val="center"/>
          </w:tcPr>
          <w:p w14:paraId="7C049FE6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4" w:type="dxa"/>
            <w:vMerge w:val="continue"/>
            <w:vAlign w:val="center"/>
          </w:tcPr>
          <w:p w14:paraId="4BFA867A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73" w:type="dxa"/>
            <w:vAlign w:val="center"/>
          </w:tcPr>
          <w:p w14:paraId="3BA86052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8"/>
                <w:sz w:val="24"/>
              </w:rPr>
            </w:pPr>
            <w:r>
              <w:rPr>
                <w:rFonts w:eastAsia="仿宋_GB2312"/>
                <w:spacing w:val="8"/>
                <w:sz w:val="24"/>
              </w:rPr>
              <w:t>投影基础（正投影、轴测投影等）</w:t>
            </w:r>
          </w:p>
        </w:tc>
        <w:tc>
          <w:tcPr>
            <w:tcW w:w="1238" w:type="dxa"/>
            <w:vAlign w:val="center"/>
          </w:tcPr>
          <w:p w14:paraId="5405201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eastAsia="仿宋_GB2312"/>
                <w:sz w:val="24"/>
              </w:rPr>
              <w:t>5</w:t>
            </w:r>
          </w:p>
        </w:tc>
      </w:tr>
      <w:tr w14:paraId="046451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5" w:type="dxa"/>
            <w:vMerge w:val="continue"/>
            <w:vAlign w:val="center"/>
          </w:tcPr>
          <w:p w14:paraId="4D62B2AE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4" w:type="dxa"/>
            <w:vMerge w:val="continue"/>
            <w:vAlign w:val="center"/>
          </w:tcPr>
          <w:p w14:paraId="3812E56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73" w:type="dxa"/>
            <w:vAlign w:val="center"/>
          </w:tcPr>
          <w:p w14:paraId="52ACD55E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8"/>
                <w:sz w:val="24"/>
              </w:rPr>
            </w:pPr>
            <w:r>
              <w:rPr>
                <w:rFonts w:eastAsia="仿宋_GB2312"/>
                <w:spacing w:val="8"/>
                <w:sz w:val="24"/>
              </w:rPr>
              <w:t>零件图绘制规范与要求</w:t>
            </w:r>
          </w:p>
        </w:tc>
        <w:tc>
          <w:tcPr>
            <w:tcW w:w="1238" w:type="dxa"/>
            <w:vAlign w:val="center"/>
          </w:tcPr>
          <w:p w14:paraId="695517EC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1"/>
                <w:sz w:val="24"/>
                <w:lang w:val="en-US" w:eastAsia="zh-CN"/>
              </w:rPr>
              <w:t>20</w:t>
            </w:r>
          </w:p>
        </w:tc>
      </w:tr>
      <w:tr w14:paraId="10C6D4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5" w:type="dxa"/>
            <w:vMerge w:val="continue"/>
            <w:vAlign w:val="center"/>
          </w:tcPr>
          <w:p w14:paraId="75463B09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4" w:type="dxa"/>
            <w:vMerge w:val="continue"/>
            <w:vAlign w:val="center"/>
          </w:tcPr>
          <w:p w14:paraId="46470D28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73" w:type="dxa"/>
            <w:vAlign w:val="center"/>
          </w:tcPr>
          <w:p w14:paraId="7BA30AAF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8"/>
                <w:sz w:val="24"/>
              </w:rPr>
            </w:pPr>
            <w:r>
              <w:rPr>
                <w:rFonts w:eastAsia="仿宋_GB2312"/>
                <w:spacing w:val="8"/>
                <w:sz w:val="24"/>
              </w:rPr>
              <w:t>装配图绘制规范与要求</w:t>
            </w:r>
          </w:p>
        </w:tc>
        <w:tc>
          <w:tcPr>
            <w:tcW w:w="1238" w:type="dxa"/>
            <w:vAlign w:val="center"/>
          </w:tcPr>
          <w:p w14:paraId="373C3FA0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</w:t>
            </w:r>
          </w:p>
        </w:tc>
      </w:tr>
      <w:tr w14:paraId="763B6E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5" w:type="dxa"/>
            <w:vMerge w:val="continue"/>
            <w:vAlign w:val="center"/>
          </w:tcPr>
          <w:p w14:paraId="338C30FC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4" w:type="dxa"/>
            <w:vMerge w:val="continue"/>
            <w:vAlign w:val="center"/>
          </w:tcPr>
          <w:p w14:paraId="47D64FEE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73" w:type="dxa"/>
            <w:vAlign w:val="center"/>
          </w:tcPr>
          <w:p w14:paraId="210DEF3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8"/>
                <w:sz w:val="24"/>
              </w:rPr>
            </w:pPr>
            <w:r>
              <w:rPr>
                <w:rFonts w:eastAsia="仿宋_GB2312"/>
                <w:spacing w:val="8"/>
                <w:sz w:val="24"/>
              </w:rPr>
              <w:t>CAD 软件原理与功能模块</w:t>
            </w:r>
          </w:p>
        </w:tc>
        <w:tc>
          <w:tcPr>
            <w:tcW w:w="1238" w:type="dxa"/>
            <w:vAlign w:val="center"/>
          </w:tcPr>
          <w:p w14:paraId="0B42866D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</w:t>
            </w:r>
          </w:p>
        </w:tc>
      </w:tr>
      <w:tr w14:paraId="2A3DD2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5" w:type="dxa"/>
            <w:vMerge w:val="continue"/>
            <w:vAlign w:val="center"/>
          </w:tcPr>
          <w:p w14:paraId="17855C54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4" w:type="dxa"/>
            <w:vMerge w:val="restart"/>
            <w:vAlign w:val="center"/>
          </w:tcPr>
          <w:p w14:paraId="505C6688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8"/>
                <w:sz w:val="24"/>
              </w:rPr>
              <w:t>相关知识</w:t>
            </w:r>
          </w:p>
        </w:tc>
        <w:tc>
          <w:tcPr>
            <w:tcW w:w="3773" w:type="dxa"/>
            <w:vAlign w:val="center"/>
          </w:tcPr>
          <w:p w14:paraId="0DE87CBF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8"/>
                <w:sz w:val="24"/>
                <w:lang w:val="en-US" w:eastAsia="zh-CN"/>
              </w:rPr>
              <w:t>制图员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4"/>
                <w:lang w:val="en-US" w:eastAsia="zh-CN"/>
              </w:rPr>
              <w:t>行业政策</w:t>
            </w:r>
            <w:r>
              <w:rPr>
                <w:rFonts w:ascii="Times New Roman" w:hAnsi="Times New Roman" w:eastAsia="仿宋_GB2312" w:cs="Times New Roman"/>
                <w:spacing w:val="8"/>
                <w:sz w:val="24"/>
              </w:rPr>
              <w:t>标准</w:t>
            </w:r>
            <w:r>
              <w:rPr>
                <w:rFonts w:hint="eastAsia" w:ascii="Times New Roman" w:hAnsi="Times New Roman" w:eastAsia="仿宋_GB2312" w:cs="Times New Roman"/>
                <w:spacing w:val="8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pacing w:val="8"/>
                <w:sz w:val="24"/>
                <w:lang w:val="en-US" w:eastAsia="zh-CN"/>
              </w:rPr>
              <w:t>法律法规</w:t>
            </w:r>
          </w:p>
        </w:tc>
        <w:tc>
          <w:tcPr>
            <w:tcW w:w="1238" w:type="dxa"/>
            <w:vAlign w:val="center"/>
          </w:tcPr>
          <w:p w14:paraId="3E21E3B8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1"/>
                <w:sz w:val="24"/>
              </w:rPr>
              <w:t>10</w:t>
            </w:r>
          </w:p>
        </w:tc>
      </w:tr>
      <w:tr w14:paraId="32AC79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5" w:type="dxa"/>
            <w:vMerge w:val="continue"/>
            <w:vAlign w:val="center"/>
          </w:tcPr>
          <w:p w14:paraId="22EB170D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4" w:type="dxa"/>
            <w:vMerge w:val="continue"/>
            <w:vAlign w:val="center"/>
          </w:tcPr>
          <w:p w14:paraId="612CF6F2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73" w:type="dxa"/>
            <w:vAlign w:val="center"/>
          </w:tcPr>
          <w:p w14:paraId="2CEB9277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8"/>
                <w:sz w:val="24"/>
                <w:lang w:val="en-US" w:eastAsia="zh-CN"/>
              </w:rPr>
              <w:t>制图员行业</w:t>
            </w:r>
            <w:r>
              <w:rPr>
                <w:rFonts w:ascii="Times New Roman" w:hAnsi="Times New Roman" w:eastAsia="仿宋_GB2312" w:cs="Times New Roman"/>
                <w:spacing w:val="8"/>
                <w:sz w:val="24"/>
              </w:rPr>
              <w:t>知识产权知识</w:t>
            </w:r>
          </w:p>
        </w:tc>
        <w:tc>
          <w:tcPr>
            <w:tcW w:w="1238" w:type="dxa"/>
            <w:vAlign w:val="center"/>
          </w:tcPr>
          <w:p w14:paraId="3D57B1BA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1"/>
                <w:sz w:val="24"/>
                <w:lang w:val="en-US" w:eastAsia="zh-CN"/>
              </w:rPr>
              <w:t>1</w:t>
            </w:r>
            <w:r>
              <w:rPr>
                <w:rFonts w:eastAsia="仿宋_GB2312"/>
                <w:spacing w:val="1"/>
                <w:sz w:val="24"/>
              </w:rPr>
              <w:t>0</w:t>
            </w:r>
          </w:p>
        </w:tc>
      </w:tr>
      <w:tr w14:paraId="3D0DCE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5" w:type="dxa"/>
            <w:vMerge w:val="continue"/>
            <w:vAlign w:val="center"/>
          </w:tcPr>
          <w:p w14:paraId="00A69DB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77" w:type="dxa"/>
            <w:gridSpan w:val="2"/>
            <w:vAlign w:val="center"/>
          </w:tcPr>
          <w:p w14:paraId="3A813B5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3"/>
                <w:sz w:val="24"/>
              </w:rPr>
              <w:t>合计</w:t>
            </w:r>
          </w:p>
        </w:tc>
        <w:tc>
          <w:tcPr>
            <w:tcW w:w="1238" w:type="dxa"/>
            <w:vAlign w:val="center"/>
          </w:tcPr>
          <w:p w14:paraId="1A6BA4DA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100</w:t>
            </w:r>
          </w:p>
        </w:tc>
      </w:tr>
      <w:tr w14:paraId="6771B6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5" w:type="dxa"/>
            <w:vMerge w:val="restart"/>
            <w:vAlign w:val="center"/>
          </w:tcPr>
          <w:p w14:paraId="26723AF1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6"/>
                <w:sz w:val="24"/>
              </w:rPr>
              <w:t>操作技能</w:t>
            </w:r>
          </w:p>
        </w:tc>
        <w:tc>
          <w:tcPr>
            <w:tcW w:w="2004" w:type="dxa"/>
            <w:vMerge w:val="restart"/>
            <w:vAlign w:val="center"/>
          </w:tcPr>
          <w:p w14:paraId="7FE7F73C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7"/>
                <w:sz w:val="24"/>
                <w:lang w:val="en-US" w:eastAsia="zh-CN"/>
              </w:rPr>
              <w:t>绘图前</w:t>
            </w:r>
            <w:r>
              <w:rPr>
                <w:rFonts w:eastAsia="仿宋_GB2312"/>
                <w:spacing w:val="7"/>
                <w:sz w:val="24"/>
              </w:rPr>
              <w:t>准备</w:t>
            </w:r>
          </w:p>
        </w:tc>
        <w:tc>
          <w:tcPr>
            <w:tcW w:w="3773" w:type="dxa"/>
            <w:vAlign w:val="center"/>
          </w:tcPr>
          <w:p w14:paraId="5BC7CE9E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pacing w:val="8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8"/>
                <w:sz w:val="24"/>
                <w:lang w:val="en-US" w:eastAsia="zh-CN"/>
              </w:rPr>
              <w:t>图纸分析与工艺解读</w:t>
            </w:r>
          </w:p>
        </w:tc>
        <w:tc>
          <w:tcPr>
            <w:tcW w:w="1238" w:type="dxa"/>
            <w:vAlign w:val="center"/>
          </w:tcPr>
          <w:p w14:paraId="4F7C7CC9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</w:t>
            </w:r>
          </w:p>
        </w:tc>
      </w:tr>
      <w:tr w14:paraId="1FBABD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5" w:type="dxa"/>
            <w:vMerge w:val="continue"/>
            <w:vAlign w:val="center"/>
          </w:tcPr>
          <w:p w14:paraId="5B6E87E4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4" w:type="dxa"/>
            <w:vMerge w:val="continue"/>
            <w:vAlign w:val="center"/>
          </w:tcPr>
          <w:p w14:paraId="653D1624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73" w:type="dxa"/>
            <w:vAlign w:val="center"/>
          </w:tcPr>
          <w:p w14:paraId="1E7F788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pacing w:val="8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8"/>
                <w:sz w:val="24"/>
                <w:lang w:val="en-US" w:eastAsia="zh-CN"/>
              </w:rPr>
              <w:t>绘图环境设置（CAD 模板、图层等）</w:t>
            </w:r>
          </w:p>
        </w:tc>
        <w:tc>
          <w:tcPr>
            <w:tcW w:w="1238" w:type="dxa"/>
            <w:vAlign w:val="center"/>
          </w:tcPr>
          <w:p w14:paraId="3E56F81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</w:t>
            </w:r>
          </w:p>
        </w:tc>
      </w:tr>
      <w:tr w14:paraId="1174A6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5" w:type="dxa"/>
            <w:vMerge w:val="continue"/>
            <w:vAlign w:val="center"/>
          </w:tcPr>
          <w:p w14:paraId="2B7A4DCD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4" w:type="dxa"/>
            <w:vMerge w:val="restart"/>
            <w:vAlign w:val="center"/>
          </w:tcPr>
          <w:p w14:paraId="2AF87A1E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8"/>
                <w:sz w:val="24"/>
                <w:lang w:val="en-US" w:eastAsia="zh-CN"/>
              </w:rPr>
              <w:t>零件图、装配图绘制</w:t>
            </w:r>
          </w:p>
        </w:tc>
        <w:tc>
          <w:tcPr>
            <w:tcW w:w="3773" w:type="dxa"/>
            <w:vAlign w:val="center"/>
          </w:tcPr>
          <w:p w14:paraId="61C15FF5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8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8"/>
                <w:sz w:val="24"/>
              </w:rPr>
              <w:t>视图选择</w:t>
            </w:r>
          </w:p>
        </w:tc>
        <w:tc>
          <w:tcPr>
            <w:tcW w:w="1238" w:type="dxa"/>
            <w:vAlign w:val="center"/>
          </w:tcPr>
          <w:p w14:paraId="58776CB7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</w:t>
            </w:r>
          </w:p>
        </w:tc>
      </w:tr>
      <w:tr w14:paraId="0E0ADE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5" w:type="dxa"/>
            <w:vMerge w:val="continue"/>
            <w:vAlign w:val="center"/>
          </w:tcPr>
          <w:p w14:paraId="230C31C1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4" w:type="dxa"/>
            <w:vMerge w:val="continue"/>
            <w:vAlign w:val="center"/>
          </w:tcPr>
          <w:p w14:paraId="3159858A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73" w:type="dxa"/>
            <w:vAlign w:val="center"/>
          </w:tcPr>
          <w:p w14:paraId="6744FDE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8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8"/>
                <w:sz w:val="24"/>
              </w:rPr>
              <w:t>尺寸标注、技术要求标注</w:t>
            </w:r>
          </w:p>
        </w:tc>
        <w:tc>
          <w:tcPr>
            <w:tcW w:w="1238" w:type="dxa"/>
            <w:vAlign w:val="center"/>
          </w:tcPr>
          <w:p w14:paraId="20F8C47A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</w:t>
            </w:r>
          </w:p>
        </w:tc>
      </w:tr>
      <w:tr w14:paraId="74636B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5" w:type="dxa"/>
            <w:vMerge w:val="continue"/>
            <w:vAlign w:val="center"/>
          </w:tcPr>
          <w:p w14:paraId="037C249F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4" w:type="dxa"/>
            <w:vMerge w:val="continue"/>
            <w:vAlign w:val="center"/>
          </w:tcPr>
          <w:p w14:paraId="4A0F5A96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73" w:type="dxa"/>
            <w:vAlign w:val="center"/>
          </w:tcPr>
          <w:p w14:paraId="32631E82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8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8"/>
                <w:sz w:val="24"/>
              </w:rPr>
              <w:t>装配关系表达、零件序号标注</w:t>
            </w:r>
          </w:p>
        </w:tc>
        <w:tc>
          <w:tcPr>
            <w:tcW w:w="1238" w:type="dxa"/>
            <w:vAlign w:val="center"/>
          </w:tcPr>
          <w:p w14:paraId="0D1A9E5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30</w:t>
            </w:r>
          </w:p>
        </w:tc>
      </w:tr>
      <w:tr w14:paraId="76E56D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5" w:type="dxa"/>
            <w:vMerge w:val="continue"/>
            <w:vAlign w:val="center"/>
          </w:tcPr>
          <w:p w14:paraId="3DE16350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4" w:type="dxa"/>
            <w:vMerge w:val="restart"/>
            <w:vAlign w:val="center"/>
          </w:tcPr>
          <w:p w14:paraId="1BD9C154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8"/>
                <w:sz w:val="24"/>
                <w:lang w:val="en-US" w:eastAsia="zh-CN"/>
              </w:rPr>
              <w:t>图纸优化与校验</w:t>
            </w:r>
          </w:p>
        </w:tc>
        <w:tc>
          <w:tcPr>
            <w:tcW w:w="3773" w:type="dxa"/>
            <w:vAlign w:val="center"/>
          </w:tcPr>
          <w:p w14:paraId="5261A999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8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8"/>
                <w:sz w:val="24"/>
              </w:rPr>
              <w:t>图形精度检查</w:t>
            </w:r>
          </w:p>
        </w:tc>
        <w:tc>
          <w:tcPr>
            <w:tcW w:w="1238" w:type="dxa"/>
            <w:vAlign w:val="center"/>
          </w:tcPr>
          <w:p w14:paraId="6E7120D5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</w:t>
            </w:r>
          </w:p>
        </w:tc>
      </w:tr>
      <w:tr w14:paraId="3159D0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5" w:type="dxa"/>
            <w:vMerge w:val="continue"/>
            <w:vAlign w:val="center"/>
          </w:tcPr>
          <w:p w14:paraId="33DAC82E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4" w:type="dxa"/>
            <w:vMerge w:val="continue"/>
            <w:vAlign w:val="center"/>
          </w:tcPr>
          <w:p w14:paraId="7B263E75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73" w:type="dxa"/>
            <w:vAlign w:val="center"/>
          </w:tcPr>
          <w:p w14:paraId="0E8630AE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8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8"/>
                <w:sz w:val="24"/>
              </w:rPr>
              <w:t>标注规范性审核</w:t>
            </w:r>
          </w:p>
        </w:tc>
        <w:tc>
          <w:tcPr>
            <w:tcW w:w="1238" w:type="dxa"/>
            <w:vAlign w:val="center"/>
          </w:tcPr>
          <w:p w14:paraId="4A6FDFEA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</w:t>
            </w:r>
          </w:p>
        </w:tc>
      </w:tr>
      <w:tr w14:paraId="75EE07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5" w:type="dxa"/>
            <w:vMerge w:val="continue"/>
            <w:vAlign w:val="center"/>
          </w:tcPr>
          <w:p w14:paraId="077085E1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77" w:type="dxa"/>
            <w:gridSpan w:val="2"/>
            <w:vAlign w:val="center"/>
          </w:tcPr>
          <w:p w14:paraId="52AE4B4D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3"/>
                <w:sz w:val="24"/>
              </w:rPr>
              <w:t>合计</w:t>
            </w:r>
          </w:p>
        </w:tc>
        <w:tc>
          <w:tcPr>
            <w:tcW w:w="1238" w:type="dxa"/>
            <w:vAlign w:val="center"/>
          </w:tcPr>
          <w:p w14:paraId="34F1CF1C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100</w:t>
            </w:r>
          </w:p>
        </w:tc>
      </w:tr>
    </w:tbl>
    <w:p w14:paraId="3D4A6D28">
      <w:pPr>
        <w:pStyle w:val="8"/>
        <w:overflowPunct w:val="0"/>
        <w:autoSpaceDE w:val="0"/>
        <w:autoSpaceDN w:val="0"/>
        <w:adjustRightInd w:val="0"/>
        <w:snapToGrid w:val="0"/>
        <w:spacing w:line="570" w:lineRule="exact"/>
        <w:ind w:firstLine="640"/>
        <w:rPr>
          <w:rFonts w:hint="eastAsia" w:ascii="黑体" w:hAnsi="黑体" w:eastAsia="黑体"/>
          <w:sz w:val="32"/>
          <w:szCs w:val="32"/>
        </w:rPr>
      </w:pPr>
    </w:p>
    <w:p w14:paraId="670AC3F9">
      <w:pPr>
        <w:pStyle w:val="8"/>
        <w:overflowPunct w:val="0"/>
        <w:autoSpaceDE w:val="0"/>
        <w:autoSpaceDN w:val="0"/>
        <w:adjustRightInd w:val="0"/>
        <w:snapToGrid w:val="0"/>
        <w:spacing w:line="57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场地设施设备简述</w:t>
      </w:r>
    </w:p>
    <w:p w14:paraId="6678A15A">
      <w:pPr>
        <w:pStyle w:val="8"/>
        <w:overflowPunct w:val="0"/>
        <w:autoSpaceDE w:val="0"/>
        <w:autoSpaceDN w:val="0"/>
        <w:adjustRightInd w:val="0"/>
        <w:snapToGrid w:val="0"/>
        <w:spacing w:line="570" w:lineRule="exact"/>
        <w:ind w:firstLine="643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（一）场地规模</w:t>
      </w:r>
    </w:p>
    <w:p w14:paraId="6649689B">
      <w:pPr>
        <w:overflowPunct w:val="0"/>
        <w:autoSpaceDE w:val="0"/>
        <w:autoSpaceDN w:val="0"/>
        <w:spacing w:line="560" w:lineRule="exact"/>
        <w:ind w:firstLine="64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本赛项在</w:t>
      </w:r>
      <w:r>
        <w:rPr>
          <w:rFonts w:hint="eastAsia" w:eastAsia="仿宋_GB2312"/>
          <w:sz w:val="32"/>
          <w:szCs w:val="32"/>
          <w:lang w:val="en-US" w:eastAsia="zh-CN"/>
        </w:rPr>
        <w:t>常州冶金技师学院</w:t>
      </w:r>
      <w:r>
        <w:rPr>
          <w:rFonts w:hint="eastAsia" w:eastAsia="仿宋_GB2312"/>
          <w:sz w:val="32"/>
          <w:szCs w:val="32"/>
        </w:rPr>
        <w:t>举行，赛场占地总面积为</w:t>
      </w:r>
      <w:r>
        <w:rPr>
          <w:rFonts w:hint="eastAsia" w:eastAsia="仿宋_GB2312"/>
          <w:sz w:val="32"/>
          <w:szCs w:val="32"/>
          <w:lang w:val="en-US" w:eastAsia="zh-CN"/>
        </w:rPr>
        <w:t>300</w:t>
      </w:r>
      <w:r>
        <w:rPr>
          <w:rFonts w:hint="eastAsia" w:eastAsia="仿宋_GB2312"/>
          <w:sz w:val="32"/>
          <w:szCs w:val="32"/>
        </w:rPr>
        <w:t>平方米，划分为“选手答题区、裁判人员工作区、技术支持人员工作区、仲裁人员工作区、医务人员工作区、志愿者工作区”6个区域。</w:t>
      </w:r>
    </w:p>
    <w:p w14:paraId="2626624C">
      <w:pPr>
        <w:pStyle w:val="8"/>
        <w:overflowPunct w:val="0"/>
        <w:autoSpaceDE w:val="0"/>
        <w:autoSpaceDN w:val="0"/>
        <w:adjustRightInd w:val="0"/>
        <w:snapToGrid w:val="0"/>
        <w:spacing w:line="570" w:lineRule="exact"/>
        <w:ind w:firstLine="643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（二）设施条件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3988"/>
        <w:gridCol w:w="3379"/>
      </w:tblGrid>
      <w:tr w14:paraId="542E93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14" w:type="dxa"/>
            <w:vAlign w:val="center"/>
          </w:tcPr>
          <w:p w14:paraId="2D99C338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7"/>
                <w:sz w:val="24"/>
              </w:rPr>
              <w:t>序号</w:t>
            </w:r>
          </w:p>
        </w:tc>
        <w:tc>
          <w:tcPr>
            <w:tcW w:w="4242" w:type="dxa"/>
            <w:vAlign w:val="center"/>
          </w:tcPr>
          <w:p w14:paraId="15614D5C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2"/>
                <w:sz w:val="24"/>
              </w:rPr>
              <w:t>类别</w:t>
            </w:r>
          </w:p>
        </w:tc>
        <w:tc>
          <w:tcPr>
            <w:tcW w:w="3593" w:type="dxa"/>
            <w:vAlign w:val="center"/>
          </w:tcPr>
          <w:p w14:paraId="56994AEC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5"/>
                <w:sz w:val="24"/>
              </w:rPr>
              <w:t>参数</w:t>
            </w:r>
          </w:p>
        </w:tc>
      </w:tr>
      <w:tr w14:paraId="4138B8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14" w:type="dxa"/>
            <w:vAlign w:val="center"/>
          </w:tcPr>
          <w:p w14:paraId="55D48978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4242" w:type="dxa"/>
            <w:vAlign w:val="center"/>
          </w:tcPr>
          <w:p w14:paraId="27BB1EC5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"/>
                <w:sz w:val="24"/>
              </w:rPr>
              <w:t>电力设施</w:t>
            </w:r>
          </w:p>
        </w:tc>
        <w:tc>
          <w:tcPr>
            <w:tcW w:w="3593" w:type="dxa"/>
            <w:vAlign w:val="center"/>
          </w:tcPr>
          <w:p w14:paraId="0B39A314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2"/>
                <w:sz w:val="24"/>
              </w:rPr>
              <w:t>220V商用电</w:t>
            </w:r>
          </w:p>
        </w:tc>
      </w:tr>
      <w:tr w14:paraId="7ACDD8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14" w:type="dxa"/>
            <w:vAlign w:val="center"/>
          </w:tcPr>
          <w:p w14:paraId="5AA1890E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4242" w:type="dxa"/>
            <w:vAlign w:val="center"/>
          </w:tcPr>
          <w:p w14:paraId="032571A8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4"/>
                <w:sz w:val="24"/>
              </w:rPr>
              <w:t>照明设施</w:t>
            </w:r>
          </w:p>
        </w:tc>
        <w:tc>
          <w:tcPr>
            <w:tcW w:w="3593" w:type="dxa"/>
            <w:vAlign w:val="center"/>
          </w:tcPr>
          <w:p w14:paraId="0231CDE5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2"/>
                <w:sz w:val="24"/>
              </w:rPr>
              <w:t>9-11W/M2标准</w:t>
            </w:r>
          </w:p>
        </w:tc>
      </w:tr>
      <w:tr w14:paraId="7A1391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14" w:type="dxa"/>
            <w:vAlign w:val="center"/>
          </w:tcPr>
          <w:p w14:paraId="41626127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4242" w:type="dxa"/>
            <w:vAlign w:val="center"/>
          </w:tcPr>
          <w:p w14:paraId="379CD4A8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"/>
                <w:sz w:val="24"/>
              </w:rPr>
              <w:t>网络设施</w:t>
            </w:r>
          </w:p>
        </w:tc>
        <w:tc>
          <w:tcPr>
            <w:tcW w:w="3593" w:type="dxa"/>
            <w:vAlign w:val="center"/>
          </w:tcPr>
          <w:p w14:paraId="03A08E9C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4"/>
                <w:sz w:val="24"/>
              </w:rPr>
              <w:t>千兆光纤</w:t>
            </w:r>
          </w:p>
        </w:tc>
      </w:tr>
    </w:tbl>
    <w:p w14:paraId="22E971EA">
      <w:pPr>
        <w:pStyle w:val="8"/>
        <w:overflowPunct w:val="0"/>
        <w:autoSpaceDE w:val="0"/>
        <w:autoSpaceDN w:val="0"/>
        <w:adjustRightInd w:val="0"/>
        <w:snapToGrid w:val="0"/>
        <w:spacing w:line="570" w:lineRule="exact"/>
        <w:ind w:firstLine="643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（三）设备条件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3988"/>
        <w:gridCol w:w="3379"/>
      </w:tblGrid>
      <w:tr w14:paraId="5A0BE5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vAlign w:val="center"/>
          </w:tcPr>
          <w:p w14:paraId="1650A216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7"/>
                <w:position w:val="1"/>
                <w:sz w:val="24"/>
              </w:rPr>
              <w:t>序号</w:t>
            </w:r>
          </w:p>
        </w:tc>
        <w:tc>
          <w:tcPr>
            <w:tcW w:w="4220" w:type="dxa"/>
            <w:vAlign w:val="center"/>
          </w:tcPr>
          <w:p w14:paraId="2CF668D7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4"/>
                <w:position w:val="1"/>
                <w:sz w:val="24"/>
              </w:rPr>
              <w:t>名称</w:t>
            </w:r>
          </w:p>
        </w:tc>
        <w:tc>
          <w:tcPr>
            <w:tcW w:w="3575" w:type="dxa"/>
            <w:vAlign w:val="center"/>
          </w:tcPr>
          <w:p w14:paraId="30EFB386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6"/>
                <w:position w:val="1"/>
                <w:sz w:val="24"/>
              </w:rPr>
              <w:t>数量</w:t>
            </w:r>
          </w:p>
        </w:tc>
      </w:tr>
      <w:tr w14:paraId="04B73E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vAlign w:val="center"/>
          </w:tcPr>
          <w:p w14:paraId="4FFB69C2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4220" w:type="dxa"/>
            <w:vAlign w:val="center"/>
          </w:tcPr>
          <w:p w14:paraId="69A90FCA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台式电脑</w:t>
            </w:r>
          </w:p>
        </w:tc>
        <w:tc>
          <w:tcPr>
            <w:tcW w:w="3575" w:type="dxa"/>
            <w:vAlign w:val="center"/>
          </w:tcPr>
          <w:p w14:paraId="225F172F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1"/>
                <w:sz w:val="24"/>
              </w:rPr>
              <w:t>200台</w:t>
            </w:r>
          </w:p>
        </w:tc>
      </w:tr>
      <w:tr w14:paraId="639183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vAlign w:val="center"/>
          </w:tcPr>
          <w:p w14:paraId="7E96A14A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4220" w:type="dxa"/>
            <w:vAlign w:val="center"/>
          </w:tcPr>
          <w:p w14:paraId="5B82CEC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6"/>
                <w:sz w:val="24"/>
              </w:rPr>
              <w:t>高清晰摄像头</w:t>
            </w:r>
          </w:p>
        </w:tc>
        <w:tc>
          <w:tcPr>
            <w:tcW w:w="3575" w:type="dxa"/>
            <w:vAlign w:val="center"/>
          </w:tcPr>
          <w:p w14:paraId="10664D4C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sz w:val="24"/>
              </w:rPr>
              <w:t>只</w:t>
            </w:r>
          </w:p>
        </w:tc>
      </w:tr>
      <w:tr w14:paraId="2CCD21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vAlign w:val="center"/>
          </w:tcPr>
          <w:p w14:paraId="1529B8DE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4220" w:type="dxa"/>
            <w:vAlign w:val="center"/>
          </w:tcPr>
          <w:p w14:paraId="33883175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4"/>
                <w:sz w:val="24"/>
              </w:rPr>
              <w:t>工位隔板</w:t>
            </w:r>
          </w:p>
        </w:tc>
        <w:tc>
          <w:tcPr>
            <w:tcW w:w="3575" w:type="dxa"/>
            <w:vAlign w:val="center"/>
          </w:tcPr>
          <w:p w14:paraId="518472FA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1"/>
                <w:sz w:val="24"/>
              </w:rPr>
              <w:t>200套</w:t>
            </w:r>
          </w:p>
        </w:tc>
      </w:tr>
      <w:tr w14:paraId="099B4E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vAlign w:val="center"/>
          </w:tcPr>
          <w:p w14:paraId="3EC5CDE5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4220" w:type="dxa"/>
            <w:vAlign w:val="center"/>
          </w:tcPr>
          <w:p w14:paraId="7932B11E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hint="default" w:eastAsia="仿宋_GB2312"/>
                <w:spacing w:val="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4"/>
                <w:sz w:val="24"/>
                <w:lang w:val="en-US" w:eastAsia="zh-CN"/>
              </w:rPr>
              <w:t>人脸识别摄像头</w:t>
            </w:r>
          </w:p>
        </w:tc>
        <w:tc>
          <w:tcPr>
            <w:tcW w:w="3575" w:type="dxa"/>
            <w:vAlign w:val="center"/>
          </w:tcPr>
          <w:p w14:paraId="3B685136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hint="default" w:eastAsia="仿宋_GB2312"/>
                <w:spacing w:val="1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1"/>
                <w:sz w:val="24"/>
                <w:lang w:val="en-US" w:eastAsia="zh-CN"/>
              </w:rPr>
              <w:t>4只</w:t>
            </w:r>
          </w:p>
        </w:tc>
      </w:tr>
    </w:tbl>
    <w:p w14:paraId="787FEF78">
      <w:pPr>
        <w:pStyle w:val="8"/>
        <w:overflowPunct w:val="0"/>
        <w:autoSpaceDE w:val="0"/>
        <w:autoSpaceDN w:val="0"/>
        <w:adjustRightInd w:val="0"/>
        <w:snapToGrid w:val="0"/>
        <w:spacing w:line="57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</w:t>
      </w: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纪律要求</w:t>
      </w:r>
    </w:p>
    <w:p w14:paraId="357522DB">
      <w:pPr>
        <w:pStyle w:val="8"/>
        <w:overflowPunct w:val="0"/>
        <w:autoSpaceDE w:val="0"/>
        <w:autoSpaceDN w:val="0"/>
        <w:adjustRightInd w:val="0"/>
        <w:snapToGrid w:val="0"/>
        <w:spacing w:line="570" w:lineRule="exact"/>
        <w:ind w:firstLine="643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（一）通则</w:t>
      </w:r>
    </w:p>
    <w:p w14:paraId="0E8A1D37">
      <w:pPr>
        <w:overflowPunct w:val="0"/>
        <w:autoSpaceDE w:val="0"/>
        <w:autoSpaceDN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本赛项将严格遵守公平、公正、公开的原则，对出现的任何违规行为，一经</w:t>
      </w:r>
      <w:r>
        <w:rPr>
          <w:rFonts w:hint="eastAsia" w:eastAsia="仿宋_GB2312"/>
          <w:sz w:val="32"/>
          <w:szCs w:val="32"/>
        </w:rPr>
        <w:t>查处</w:t>
      </w:r>
      <w:r>
        <w:rPr>
          <w:rFonts w:eastAsia="仿宋_GB2312"/>
          <w:sz w:val="32"/>
          <w:szCs w:val="32"/>
        </w:rPr>
        <w:t>严肃处理。</w:t>
      </w:r>
    </w:p>
    <w:p w14:paraId="25B000E4">
      <w:pPr>
        <w:overflowPunct w:val="0"/>
        <w:autoSpaceDE w:val="0"/>
        <w:autoSpaceDN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参与本赛项的所有人员应按规定的时间、地点、场次参加比赛，不得无故迟到、早退、缺席。</w:t>
      </w:r>
    </w:p>
    <w:p w14:paraId="624BF2F4">
      <w:pPr>
        <w:overflowPunct w:val="0"/>
        <w:autoSpaceDE w:val="0"/>
        <w:autoSpaceDN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参与本赛项的所有人员应当</w:t>
      </w:r>
      <w:r>
        <w:rPr>
          <w:rFonts w:hint="eastAsia" w:eastAsia="仿宋_GB2312"/>
          <w:sz w:val="32"/>
          <w:szCs w:val="32"/>
        </w:rPr>
        <w:t>佩戴</w:t>
      </w:r>
      <w:r>
        <w:rPr>
          <w:rFonts w:eastAsia="仿宋_GB2312"/>
          <w:sz w:val="32"/>
          <w:szCs w:val="32"/>
        </w:rPr>
        <w:t>组委会配发的证件，服从组委会统一指挥，共同保证比赛顺利进行。</w:t>
      </w:r>
    </w:p>
    <w:p w14:paraId="2271E1A7">
      <w:pPr>
        <w:pStyle w:val="8"/>
        <w:overflowPunct w:val="0"/>
        <w:autoSpaceDE w:val="0"/>
        <w:autoSpaceDN w:val="0"/>
        <w:adjustRightInd w:val="0"/>
        <w:snapToGrid w:val="0"/>
        <w:spacing w:line="570" w:lineRule="exact"/>
        <w:ind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（二）参赛选手</w:t>
      </w:r>
    </w:p>
    <w:p w14:paraId="330E281D">
      <w:pPr>
        <w:overflowPunct w:val="0"/>
        <w:autoSpaceDE w:val="0"/>
        <w:autoSpaceDN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参赛选手需携带参赛证、身份证等证件进入赛场，并将手机关机。未带证件者，不得参赛。</w:t>
      </w:r>
    </w:p>
    <w:p w14:paraId="5FB0BB21">
      <w:pPr>
        <w:overflowPunct w:val="0"/>
        <w:autoSpaceDE w:val="0"/>
        <w:autoSpaceDN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参赛选手在比赛开始前 30 分钟进入比赛候考区，在现场工作人员引导下，进行赛前准备，检查并确认所需物品。</w:t>
      </w:r>
    </w:p>
    <w:p w14:paraId="6B4369FE">
      <w:pPr>
        <w:overflowPunct w:val="0"/>
        <w:autoSpaceDE w:val="0"/>
        <w:autoSpaceDN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理论考试开始前 15 分钟，参赛选手凭证件进入规定考场，并将证件放在考桌左上角，以便监考人员查验。考试过程中，参赛选手应独立完成答题。</w:t>
      </w:r>
    </w:p>
    <w:p w14:paraId="0D3B5AB8">
      <w:pPr>
        <w:overflowPunct w:val="0"/>
        <w:autoSpaceDE w:val="0"/>
        <w:autoSpaceDN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参赛选手必须按指定时间进入赛场，迟到 30 分钟者不得参加比赛。</w:t>
      </w:r>
    </w:p>
    <w:p w14:paraId="10297652">
      <w:pPr>
        <w:overflowPunct w:val="0"/>
        <w:autoSpaceDE w:val="0"/>
        <w:autoSpaceDN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裁判长宣布比赛开始，参赛选手方可答题，比赛开始计时。</w:t>
      </w:r>
    </w:p>
    <w:p w14:paraId="50944B5D">
      <w:pPr>
        <w:overflowPunct w:val="0"/>
        <w:autoSpaceDE w:val="0"/>
        <w:autoSpaceDN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裁判长宣布比赛结束，参赛选手应立即停止答题，不得以任何理由拖延竞赛时间，若提前结束比赛，应向裁判员举手示意，经裁判员同意后，视为提前结束比赛。</w:t>
      </w:r>
    </w:p>
    <w:p w14:paraId="46391FEE">
      <w:pPr>
        <w:overflowPunct w:val="0"/>
        <w:autoSpaceDE w:val="0"/>
        <w:autoSpaceDN w:val="0"/>
        <w:spacing w:line="540" w:lineRule="exact"/>
        <w:ind w:firstLine="640" w:firstLineChars="200"/>
        <w:rPr>
          <w:rFonts w:eastAsia="仿宋_GB2312"/>
          <w:spacing w:val="-6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pacing w:val="-6"/>
          <w:sz w:val="32"/>
          <w:szCs w:val="32"/>
        </w:rPr>
        <w:t>参赛人员应爱护赛场所有设施，自觉维持赛场环境卫生，操作设备应谨慎，不得违章操作，如遇损坏、丢失等现象照价赔偿。</w:t>
      </w:r>
    </w:p>
    <w:p w14:paraId="5A067202">
      <w:pPr>
        <w:overflowPunct w:val="0"/>
        <w:autoSpaceDE w:val="0"/>
        <w:autoSpaceDN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比赛过程中，参赛选手须严格遵守操作规程，确保人身及设备安全，并接受裁判员的监督和警示，出现设备故障等问题时，参赛选手应请裁判员对故障进行确认，对于因设备自身故障造成暂停和时间损失，该参赛选手的比赛时间酌情增补。</w:t>
      </w:r>
    </w:p>
    <w:p w14:paraId="246CCBB2">
      <w:pPr>
        <w:pStyle w:val="8"/>
        <w:overflowPunct w:val="0"/>
        <w:autoSpaceDE w:val="0"/>
        <w:autoSpaceDN w:val="0"/>
        <w:adjustRightInd w:val="0"/>
        <w:snapToGrid w:val="0"/>
        <w:spacing w:line="570" w:lineRule="exact"/>
        <w:ind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（三）裁判人员</w:t>
      </w:r>
    </w:p>
    <w:p w14:paraId="4F3C2FCC">
      <w:pPr>
        <w:overflowPunct w:val="0"/>
        <w:autoSpaceDE w:val="0"/>
        <w:autoSpaceDN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裁判人员在比赛前必须了解赛场情况、比赛规则及注意事项，不得泄露比赛的有关信息。</w:t>
      </w:r>
    </w:p>
    <w:p w14:paraId="6703021C">
      <w:pPr>
        <w:overflowPunct w:val="0"/>
        <w:autoSpaceDE w:val="0"/>
        <w:autoSpaceDN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赛前裁判人员要集中学习有关文件，明确责任和分工，熟悉和掌握比赛的具体要求，严格遵守竞赛规则，做到评判公正，一视同仁。</w:t>
      </w:r>
    </w:p>
    <w:p w14:paraId="7EE3139E">
      <w:pPr>
        <w:overflowPunct w:val="0"/>
        <w:autoSpaceDE w:val="0"/>
        <w:autoSpaceDN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裁判人员应在工作前30分钟到达比赛场地，佩戴好执裁证，将手机处于关闭状态。裁判员应仪表整洁，语言举止文明礼貌，服从裁判长的领导，遵守评判职业道德，文明评判。</w:t>
      </w:r>
    </w:p>
    <w:p w14:paraId="4EE8A39F">
      <w:pPr>
        <w:overflowPunct w:val="0"/>
        <w:autoSpaceDE w:val="0"/>
        <w:autoSpaceDN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参赛选手进入考场时，裁判人员要认真检查参赛选手的证件，确保无差错，发现与证件不符者，裁判人员有权制止本参赛选手进入考场。</w:t>
      </w:r>
    </w:p>
    <w:p w14:paraId="31F20FDA">
      <w:pPr>
        <w:overflowPunct w:val="0"/>
        <w:autoSpaceDE w:val="0"/>
        <w:autoSpaceDN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裁判人员应严格遵守竞赛规则，认真执行竞赛项目的评分标准，以公平、公正、真实、一视同仁的原则，准确把握评分尺度，对在竞赛执裁过程中出现徇私舞弊的情况，一经查实，裁判长有权取消其执裁资格，并报竞赛组委会备案。</w:t>
      </w:r>
    </w:p>
    <w:p w14:paraId="609673AA">
      <w:pPr>
        <w:overflowPunct w:val="0"/>
        <w:autoSpaceDE w:val="0"/>
        <w:autoSpaceDN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裁判人员要严格执行比赛纪律，对选手的违规行为，进行严肃处理，并记录在案。对竞赛中出现的严重违纪和不安全行为应及时警告，必要时可以终止比赛。</w:t>
      </w:r>
    </w:p>
    <w:p w14:paraId="33251256">
      <w:pPr>
        <w:overflowPunct w:val="0"/>
        <w:autoSpaceDE w:val="0"/>
        <w:autoSpaceDN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裁判人员在工作时要尊重参赛选手，与参赛选手交流时应注意方式，避免影响参赛选手情绪。</w:t>
      </w:r>
    </w:p>
    <w:p w14:paraId="2CE7BF02">
      <w:pPr>
        <w:overflowPunct w:val="0"/>
        <w:autoSpaceDE w:val="0"/>
        <w:autoSpaceDN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对于竞赛过程中出现的问题或争议，裁判人员不允许在选手面前进行争论，应及时向裁判长汇报，服从裁判长的裁决，避免与参赛选手和相关人员发生争执，否则取消评判资格。</w:t>
      </w:r>
    </w:p>
    <w:p w14:paraId="6664AEF7">
      <w:pPr>
        <w:overflowPunct w:val="0"/>
        <w:autoSpaceDE w:val="0"/>
        <w:autoSpaceDN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裁判人员要坚守岗位，不得擅自离开、闲聊，不得无故干扰选手竞赛，不得同参赛选手交谈与竞赛无关的话题、不得给予参赛选手任何竞赛规则范围内的提示，不得在执裁过程中接听任何电话。</w:t>
      </w:r>
    </w:p>
    <w:p w14:paraId="77FD6D06">
      <w:pPr>
        <w:overflowPunct w:val="0"/>
        <w:autoSpaceDE w:val="0"/>
        <w:autoSpaceDN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裁判人员要认真执行各项规章制度，对在整个竞赛过程中未公平、公正，弄虚作假或者隐瞒事实不报的，将根据情节轻重予以处理。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OLIIDN+FZXiaoBiaoSong-B05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GRPJ+FZHei-B01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7FF"/>
    <w:rsid w:val="004E47FF"/>
    <w:rsid w:val="007D4FFB"/>
    <w:rsid w:val="00CD4550"/>
    <w:rsid w:val="02446C82"/>
    <w:rsid w:val="0FD77D91"/>
    <w:rsid w:val="384068F9"/>
    <w:rsid w:val="385A3428"/>
    <w:rsid w:val="3F042A7D"/>
    <w:rsid w:val="448F2D07"/>
    <w:rsid w:val="45695714"/>
    <w:rsid w:val="579E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2257</Words>
  <Characters>2349</Characters>
  <Lines>18</Lines>
  <Paragraphs>5</Paragraphs>
  <TotalTime>1</TotalTime>
  <ScaleCrop>false</ScaleCrop>
  <LinksUpToDate>false</LinksUpToDate>
  <CharactersWithSpaces>2388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2025-05-12T02:42:00Z</dcterms:created>
  <dc:creator>未定义</dc:creator>
  <cp:lastModifiedBy>爱沙公举</cp:lastModifiedBy>
  <dcterms:modified xsi:type="dcterms:W3CDTF">2025-10-23T01:25:30Z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eyJoZGlkIjoiODhjZDhhYzkyNGMyNzhlYTk1NmE4NTYzNDgxMWZkZTYiLCJ1c2VySWQiOiI4MTczOTE3NTQifQ==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A782600905AD40C2BB757A57C83F8BF8_13</vt:lpwstr>
  </property>
</Properties>
</file>