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3240C0">
      <w:pPr>
        <w:autoSpaceDE w:val="0"/>
        <w:autoSpaceDN w:val="0"/>
        <w:adjustRightInd w:val="0"/>
        <w:spacing w:line="540" w:lineRule="exact"/>
        <w:jc w:val="center"/>
        <w:rPr>
          <w:rFonts w:ascii="仿宋_GB2312" w:eastAsia="仿宋_GB2312"/>
          <w:b/>
          <w:bCs/>
          <w:color w:val="000000"/>
          <w:kern w:val="0"/>
          <w:sz w:val="32"/>
        </w:rPr>
      </w:pPr>
    </w:p>
    <w:p w14:paraId="67F0ED2E">
      <w:pPr>
        <w:autoSpaceDE w:val="0"/>
        <w:autoSpaceDN w:val="0"/>
        <w:adjustRightInd w:val="0"/>
        <w:spacing w:line="540" w:lineRule="exact"/>
        <w:jc w:val="center"/>
        <w:rPr>
          <w:rFonts w:ascii="仿宋_GB2312" w:eastAsia="仿宋_GB2312"/>
          <w:b/>
          <w:bCs/>
          <w:color w:val="000000"/>
          <w:kern w:val="0"/>
          <w:sz w:val="32"/>
        </w:rPr>
      </w:pPr>
    </w:p>
    <w:p w14:paraId="7815ABAB">
      <w:pPr>
        <w:autoSpaceDE w:val="0"/>
        <w:autoSpaceDN w:val="0"/>
        <w:adjustRightInd w:val="0"/>
        <w:spacing w:line="400" w:lineRule="exact"/>
        <w:jc w:val="center"/>
        <w:rPr>
          <w:rFonts w:ascii="仿宋_GB2312" w:eastAsia="仿宋_GB2312"/>
          <w:b/>
          <w:bCs/>
          <w:color w:val="000000"/>
          <w:kern w:val="0"/>
          <w:sz w:val="32"/>
        </w:rPr>
      </w:pPr>
    </w:p>
    <w:p w14:paraId="19271205">
      <w:pPr>
        <w:autoSpaceDE w:val="0"/>
        <w:autoSpaceDN w:val="0"/>
        <w:adjustRightInd w:val="0"/>
        <w:spacing w:line="540" w:lineRule="exact"/>
        <w:jc w:val="center"/>
        <w:rPr>
          <w:rFonts w:ascii="仿宋_GB2312" w:eastAsia="仿宋_GB2312"/>
          <w:b/>
          <w:bCs/>
          <w:color w:val="000000"/>
          <w:kern w:val="0"/>
          <w:sz w:val="32"/>
        </w:rPr>
      </w:pPr>
    </w:p>
    <w:p w14:paraId="35D48746">
      <w:pPr>
        <w:spacing w:line="1400" w:lineRule="exact"/>
        <w:jc w:val="center"/>
        <w:rPr>
          <w:rFonts w:ascii="方正小标宋简体" w:hAnsi="宋体" w:eastAsia="方正小标宋简体"/>
          <w:bCs/>
          <w:color w:val="FF0000"/>
          <w:w w:val="65"/>
          <w:sz w:val="130"/>
          <w:szCs w:val="130"/>
        </w:rPr>
      </w:pPr>
      <w:r>
        <w:rPr>
          <w:rFonts w:hint="eastAsia" w:ascii="方正小标宋简体" w:hAnsi="宋体" w:eastAsia="方正小标宋简体"/>
          <w:bCs/>
          <w:color w:val="FF0000"/>
          <w:w w:val="65"/>
          <w:sz w:val="130"/>
          <w:szCs w:val="130"/>
        </w:rPr>
        <w:t>常州市生态环境局文件</w:t>
      </w:r>
    </w:p>
    <w:p w14:paraId="78519269">
      <w:pPr>
        <w:autoSpaceDE w:val="0"/>
        <w:autoSpaceDN w:val="0"/>
        <w:adjustRightInd w:val="0"/>
        <w:spacing w:line="480" w:lineRule="auto"/>
        <w:rPr>
          <w:rFonts w:ascii="仿宋_GB2312" w:eastAsia="仿宋_GB2312"/>
          <w:b/>
          <w:bCs/>
          <w:color w:val="000000"/>
          <w:kern w:val="0"/>
          <w:sz w:val="32"/>
        </w:rPr>
      </w:pPr>
    </w:p>
    <w:p w14:paraId="580E49E6">
      <w:pPr>
        <w:tabs>
          <w:tab w:val="left" w:pos="7335"/>
        </w:tabs>
        <w:spacing w:line="600" w:lineRule="exact"/>
        <w:ind w:firstLine="160" w:firstLineChars="50"/>
        <w:jc w:val="center"/>
        <w:rPr>
          <w:rFonts w:ascii="楷体_GB2312" w:eastAsia="楷体_GB2312"/>
          <w:color w:val="000000"/>
          <w:kern w:val="0"/>
          <w:sz w:val="32"/>
          <w:highlight w:val="yellow"/>
        </w:rPr>
      </w:pPr>
      <w:r>
        <w:rPr>
          <w:rFonts w:hint="eastAsia" w:ascii="仿宋_GB2312" w:eastAsia="仿宋_GB2312"/>
          <w:color w:val="000000"/>
          <w:kern w:val="0"/>
          <w:sz w:val="32"/>
        </w:rPr>
        <w:t>常钟环审</w:t>
      </w:r>
      <w:r>
        <w:rPr>
          <w:rFonts w:hint="eastAsia" w:ascii="仿宋_GB2312" w:eastAsia="仿宋_GB2312"/>
          <w:sz w:val="32"/>
        </w:rPr>
        <w:t>〔</w:t>
      </w:r>
      <w:r>
        <w:rPr>
          <w:rFonts w:hint="eastAsia" w:ascii="仿宋_GB2312" w:eastAsia="仿宋_GB2312"/>
          <w:color w:val="000000"/>
          <w:kern w:val="0"/>
          <w:sz w:val="32"/>
        </w:rPr>
        <w:t>2</w:t>
      </w:r>
      <w:r>
        <w:rPr>
          <w:rFonts w:hint="eastAsia" w:ascii="仿宋_GB2312" w:eastAsia="仿宋_GB2312"/>
          <w:color w:val="000000"/>
          <w:kern w:val="0"/>
          <w:sz w:val="32"/>
          <w:highlight w:val="none"/>
        </w:rPr>
        <w:t>02</w:t>
      </w:r>
      <w:r>
        <w:rPr>
          <w:rFonts w:hint="eastAsia" w:ascii="仿宋_GB2312" w:eastAsia="仿宋_GB2312"/>
          <w:color w:val="000000"/>
          <w:kern w:val="0"/>
          <w:sz w:val="32"/>
          <w:highlight w:val="none"/>
          <w:lang w:val="en-US" w:eastAsia="zh-CN"/>
        </w:rPr>
        <w:t>5</w:t>
      </w:r>
      <w:r>
        <w:rPr>
          <w:rFonts w:hint="eastAsia" w:ascii="仿宋_GB2312" w:eastAsia="仿宋_GB2312"/>
          <w:color w:val="000000"/>
          <w:kern w:val="0"/>
          <w:sz w:val="32"/>
          <w:highlight w:val="none"/>
        </w:rPr>
        <w:t>〕</w:t>
      </w:r>
      <w:r>
        <w:rPr>
          <w:rFonts w:hint="eastAsia" w:ascii="仿宋_GB2312" w:eastAsia="仿宋_GB2312"/>
          <w:color w:val="000000"/>
          <w:kern w:val="0"/>
          <w:sz w:val="32"/>
          <w:highlight w:val="none"/>
          <w:lang w:val="en-US" w:eastAsia="zh-CN"/>
        </w:rPr>
        <w:t>74</w:t>
      </w:r>
      <w:r>
        <w:rPr>
          <w:rFonts w:hint="eastAsia" w:ascii="仿宋_GB2312" w:eastAsia="仿宋_GB2312"/>
          <w:color w:val="000000"/>
          <w:kern w:val="0"/>
          <w:sz w:val="32"/>
          <w:highlight w:val="none"/>
        </w:rPr>
        <w:t>号</w:t>
      </w:r>
    </w:p>
    <w:p w14:paraId="4ABCE964">
      <w:pPr>
        <w:autoSpaceDE w:val="0"/>
        <w:autoSpaceDN w:val="0"/>
        <w:adjustRightInd w:val="0"/>
        <w:spacing w:line="540" w:lineRule="exact"/>
        <w:jc w:val="center"/>
        <w:rPr>
          <w:rFonts w:ascii="仿宋_GB2312" w:eastAsia="仿宋_GB2312"/>
          <w:b/>
          <w:bCs/>
          <w:color w:val="000000"/>
          <w:kern w:val="0"/>
          <w:sz w:val="32"/>
        </w:rPr>
      </w:pPr>
      <w: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186690</wp:posOffset>
                </wp:positionV>
                <wp:extent cx="5762625" cy="9525"/>
                <wp:effectExtent l="19050" t="19050" r="9525" b="28575"/>
                <wp:wrapNone/>
                <wp:docPr id="4"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5762625" cy="9525"/>
                        </a:xfrm>
                        <a:prstGeom prst="line">
                          <a:avLst/>
                        </a:prstGeom>
                        <a:noFill/>
                        <a:ln w="38100">
                          <a:solidFill>
                            <a:srgbClr val="FF0000"/>
                          </a:solidFill>
                          <a:round/>
                        </a:ln>
                      </wps:spPr>
                      <wps:bodyPr/>
                    </wps:wsp>
                  </a:graphicData>
                </a:graphic>
              </wp:anchor>
            </w:drawing>
          </mc:Choice>
          <mc:Fallback>
            <w:pict>
              <v:line id="_x0000_s1026" o:spid="_x0000_s1026" o:spt="20" style="position:absolute;left:0pt;margin-left:-3pt;margin-top:14.7pt;height:0.75pt;width:453.75pt;z-index:251659264;mso-width-relative:page;mso-height-relative:page;" filled="f" stroked="t" coordsize="21600,21600" o:gfxdata="UEsDBAoAAAAAAIdO4kAAAAAAAAAAAAAAAAAEAAAAZHJzL1BLAwQUAAAACACHTuJAJKlrN9sAAAAI&#10;AQAADwAAAGRycy9kb3ducmV2LnhtbE2PQUvDQBSE74L/YXmCF2l3U7WYmJcigljbgzUK4m2bPJPQ&#10;7Nu4u2nrv3c96XGYYeabfHE0vdiT851lhGSqQBBXtu64QXh7fZjcgPBBc617y4TwTR4WxelJrrPa&#10;HviF9mVoRCxhn2mENoQhk9JXLRntp3Ygjt6ndUaHKF0ja6cPsdz0cqbUXBrdcVxo9UD3LVW7cjQI&#10;5tncyY/141i6zdPq/Wu93OwulojnZ4m6BRHoGP7C8Isf0aGITFs7cu1FjzCZxysBYZZegYh+qpJr&#10;EFuES5WCLHL5/0DxA1BLAwQUAAAACACHTuJAqQ/ZV+sBAACuAwAADgAAAGRycy9lMm9Eb2MueG1s&#10;rVPNbhMxEL4j8Q6W72Q3oQntKpseEoVLgUhtH2Di9WYtbI9lO9nkJXgBJG5w4tg7b0N5DMa7aaDl&#10;0gN7sDx/38z3jXd6uTea7aQPCm3Jh4OcM2kFVspuSn57s3x1zlmIYCvQaGXJDzLwy9nLF9PWFXKE&#10;DepKekYgNhStK3kToyuyLIhGGggDdNJSsEZvIJLpN1nloSV0o7NRnk+yFn3lPAoZAnkXfZAfEf1z&#10;ALGulZALFFsjbexRvdQQiVJolAt81k1b11LED3UdZGS65MQ0dic1ofs6ndlsCsXGg2uUOI4Azxnh&#10;CScDylLTE9QCIrCtV/9AGSU8BqzjQKDJeiKdIsRimD/R5roBJzsuJHVwJ9HD/4MV73crz1RV8jPO&#10;LBha+P3nu5+fvv768YXO++/f2FkSqXWhoNy5XflEU+zttbtC8TEwi/MG7EZ2w94cHCEMU0X2qCQZ&#10;wVGrdfsOK8qBbcROsX3tTYIkLdi+W8zhtBi5j0yQc/xmMpqMxpwJil2M6ZYaQPFQ63yIbyUali4l&#10;18om2aCA3VWIfepDSnJbXCqtyQ+Ftqwt+evzYZ53FQG1qlI0BYPfrOfasx3Q61kuc/qOjR+ledza&#10;qu+i7ZF44tqrtsbqsPIpnDSgNXaTH59ceid/213Wn99s9h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kqWs32wAAAAgBAAAPAAAAAAAAAAEAIAAAACIAAABkcnMvZG93bnJldi54bWxQSwECFAAUAAAA&#10;CACHTuJAqQ/ZV+sBAACuAwAADgAAAAAAAAABACAAAAAqAQAAZHJzL2Uyb0RvYy54bWxQSwUGAAAA&#10;AAYABgBZAQAAhwUAAAAA&#10;">
                <v:fill on="f" focussize="0,0"/>
                <v:stroke weight="3pt" color="#FF0000" joinstyle="round"/>
                <v:imagedata o:title=""/>
                <o:lock v:ext="edit" aspectratio="f"/>
              </v:line>
            </w:pict>
          </mc:Fallback>
        </mc:AlternateContent>
      </w:r>
    </w:p>
    <w:p w14:paraId="645D65D3">
      <w:pPr>
        <w:pStyle w:val="10"/>
        <w:spacing w:line="600" w:lineRule="exact"/>
        <w:rPr>
          <w:rFonts w:ascii="方正小标宋简体" w:hAnsi="宋体" w:eastAsia="方正小标宋简体"/>
          <w:szCs w:val="44"/>
        </w:rPr>
      </w:pPr>
    </w:p>
    <w:p w14:paraId="1ACD473A">
      <w:pPr>
        <w:tabs>
          <w:tab w:val="left" w:pos="680"/>
        </w:tabs>
        <w:spacing w:line="540" w:lineRule="exact"/>
        <w:jc w:val="center"/>
        <w:rPr>
          <w:rFonts w:ascii="方正小标宋简体" w:hAnsi="宋体" w:eastAsia="方正小标宋简体"/>
          <w:kern w:val="15"/>
          <w:sz w:val="44"/>
          <w:szCs w:val="44"/>
        </w:rPr>
      </w:pPr>
      <w:r>
        <w:rPr>
          <w:rFonts w:hint="eastAsia" w:ascii="方正小标宋简体" w:hAnsi="宋体" w:eastAsia="方正小标宋简体"/>
          <w:kern w:val="15"/>
          <w:sz w:val="44"/>
          <w:szCs w:val="44"/>
        </w:rPr>
        <w:t>市生态环境局关于常州硕橙华元电气有限公司新建年产工业防爆监控设备2200套项目环境影响报告表的批复</w:t>
      </w:r>
    </w:p>
    <w:p w14:paraId="22EEFA98">
      <w:pPr>
        <w:tabs>
          <w:tab w:val="left" w:pos="680"/>
        </w:tabs>
        <w:spacing w:line="540" w:lineRule="exact"/>
        <w:jc w:val="center"/>
        <w:rPr>
          <w:rFonts w:ascii="仿宋_GB2312" w:eastAsia="仿宋_GB2312"/>
          <w:b/>
          <w:bCs/>
          <w:sz w:val="32"/>
        </w:rPr>
      </w:pPr>
    </w:p>
    <w:p w14:paraId="7D9F9872">
      <w:pPr>
        <w:keepNext w:val="0"/>
        <w:keepLines w:val="0"/>
        <w:pageBreakBefore w:val="0"/>
        <w:widowControl w:val="0"/>
        <w:kinsoku/>
        <w:wordWrap/>
        <w:overflowPunct w:val="0"/>
        <w:topLinePunct w:val="0"/>
        <w:autoSpaceDE/>
        <w:autoSpaceDN/>
        <w:bidi w:val="0"/>
        <w:adjustRightInd/>
        <w:snapToGrid w:val="0"/>
        <w:spacing w:line="550" w:lineRule="exact"/>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常州硕橙华元电气有限公司：</w:t>
      </w:r>
    </w:p>
    <w:p w14:paraId="6D3AE313">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你单位报批的《常州硕橙华元电气有限公司新建年产工业防爆监控设备2200套项目环境影响报告表》（以下简称《报告表》）等相关材料均悉。经研究，批复如下：</w:t>
      </w:r>
    </w:p>
    <w:p w14:paraId="784DC109">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根据《报告表》分析及其结论意见，在切实落实《报告表》提出的各项污染防治措施、环境风险防范措施及本批复要求的前提下，仅从环保角度分析，你单位按照《报告表》所述内容进行项目建设具有环境可行性。</w:t>
      </w:r>
    </w:p>
    <w:p w14:paraId="650E905F">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highlight w:val="none"/>
        </w:rPr>
      </w:pPr>
      <w:r>
        <w:rPr>
          <w:rFonts w:hint="eastAsia" w:ascii="仿宋_GB2312" w:hAnsi="Times" w:eastAsia="仿宋_GB2312"/>
          <w:color w:val="000000"/>
          <w:sz w:val="32"/>
          <w:szCs w:val="32"/>
        </w:rPr>
        <w:t>二、项目建设内容：总投资</w:t>
      </w:r>
      <w:r>
        <w:rPr>
          <w:rFonts w:hint="eastAsia" w:ascii="仿宋_GB2312" w:hAnsi="Times" w:eastAsia="仿宋_GB2312"/>
          <w:color w:val="000000"/>
          <w:sz w:val="32"/>
          <w:szCs w:val="32"/>
          <w:lang w:val="en-US" w:eastAsia="zh-CN"/>
        </w:rPr>
        <w:t>500</w:t>
      </w:r>
      <w:r>
        <w:rPr>
          <w:rFonts w:hint="eastAsia" w:ascii="仿宋_GB2312" w:hAnsi="Times" w:eastAsia="仿宋_GB2312"/>
          <w:color w:val="000000"/>
          <w:sz w:val="32"/>
          <w:szCs w:val="32"/>
        </w:rPr>
        <w:t>万元，</w:t>
      </w:r>
      <w:r>
        <w:rPr>
          <w:rFonts w:hint="eastAsia" w:ascii="仿宋_GB2312" w:hAnsi="Times" w:eastAsia="仿宋_GB2312"/>
          <w:color w:val="000000"/>
          <w:sz w:val="32"/>
          <w:szCs w:val="32"/>
          <w:lang w:val="en-US" w:eastAsia="zh-CN"/>
        </w:rPr>
        <w:t>位于新闸街道龙城大道2188号新闸科技工业园19号楼1楼，租赁新闸科技工业园19号楼1楼闲置厂房，建设工业监控设备生产基地。购置数控机床、氩弧焊机、光纤激光打标机、静音端子机等设备45台（套）。项目建成后形成年产工业监控防爆设备2200套的生产能力。</w:t>
      </w:r>
      <w:r>
        <w:rPr>
          <w:rFonts w:hint="eastAsia" w:ascii="仿宋_GB2312" w:hAnsi="Times" w:eastAsia="仿宋_GB2312"/>
          <w:color w:val="000000"/>
          <w:sz w:val="32"/>
          <w:szCs w:val="32"/>
          <w:highlight w:val="none"/>
        </w:rPr>
        <w:t>项目产品方案、主要原辅材料、主要设备及生产工艺按《报告表》确定的内容实施。</w:t>
      </w:r>
    </w:p>
    <w:p w14:paraId="0F97FC6D">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三、在项目工程设计、建设和环境管理中，你单位须认真落实《报告表》中提出的各项环保要求，严格执行环保“三同时”制度，确保各类污染物达标排放，并须着重做好以下工作：</w:t>
      </w:r>
    </w:p>
    <w:p w14:paraId="0FD27375">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（一）全过程贯彻循环经济理念和清洁生产原则，加强生产管理和环境管理，从源头减少污染物产生量、排放量。</w:t>
      </w:r>
    </w:p>
    <w:p w14:paraId="5B4FF4D4">
      <w:pPr>
        <w:keepNext w:val="0"/>
        <w:keepLines w:val="0"/>
        <w:pageBreakBefore w:val="0"/>
        <w:widowControl w:val="0"/>
        <w:kinsoku/>
        <w:wordWrap/>
        <w:topLinePunct w:val="0"/>
        <w:autoSpaceDE/>
        <w:autoSpaceDN/>
        <w:bidi w:val="0"/>
        <w:adjustRightInd/>
        <w:spacing w:line="550" w:lineRule="exact"/>
        <w:ind w:firstLine="640" w:firstLineChars="200"/>
        <w:textAlignment w:val="auto"/>
        <w:rPr>
          <w:rFonts w:hint="default" w:ascii="仿宋_GB2312" w:hAnsi="Times" w:eastAsia="仿宋_GB2312"/>
          <w:sz w:val="32"/>
          <w:szCs w:val="32"/>
          <w:lang w:val="en-US" w:eastAsia="zh-CN"/>
        </w:rPr>
      </w:pPr>
      <w:r>
        <w:rPr>
          <w:rFonts w:hint="eastAsia" w:ascii="仿宋_GB2312" w:hAnsi="Times" w:eastAsia="仿宋_GB2312"/>
          <w:color w:val="000000"/>
          <w:sz w:val="32"/>
          <w:szCs w:val="32"/>
        </w:rPr>
        <w:t>（二）项目厂区应实行“雨污分流、清污分流”原则。本项目生活污水接入城市污水管网</w:t>
      </w:r>
      <w:r>
        <w:rPr>
          <w:rFonts w:hint="eastAsia" w:ascii="仿宋_GB2312" w:eastAsia="仿宋_GB2312"/>
          <w:color w:val="000000"/>
          <w:sz w:val="32"/>
          <w:szCs w:val="32"/>
        </w:rPr>
        <w:t>进常州市江边污水处理厂集中处理</w:t>
      </w:r>
      <w:r>
        <w:rPr>
          <w:rFonts w:hint="eastAsia" w:ascii="仿宋_GB2312" w:hAnsi="Times" w:eastAsia="仿宋_GB2312"/>
          <w:color w:val="000000"/>
          <w:sz w:val="32"/>
          <w:szCs w:val="32"/>
          <w:lang w:val="en-US" w:eastAsia="zh-CN"/>
        </w:rPr>
        <w:t>。</w:t>
      </w:r>
    </w:p>
    <w:p w14:paraId="661C7504">
      <w:pPr>
        <w:keepNext w:val="0"/>
        <w:keepLines w:val="0"/>
        <w:pageBreakBefore w:val="0"/>
        <w:widowControl w:val="0"/>
        <w:kinsoku/>
        <w:wordWrap/>
        <w:topLinePunct w:val="0"/>
        <w:autoSpaceDE/>
        <w:autoSpaceDN/>
        <w:bidi w:val="0"/>
        <w:adjustRightInd/>
        <w:spacing w:line="55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（三）工程设计中，应进一步优化废气处理方案，落实《报告表》中各项废气防治措施，确保营运期各类废气达标排放。废气排放执行</w:t>
      </w:r>
      <w:r>
        <w:rPr>
          <w:rFonts w:hint="eastAsia" w:ascii="仿宋_GB2312" w:eastAsia="仿宋_GB2312"/>
          <w:color w:val="000000"/>
          <w:w w:val="100"/>
          <w:sz w:val="32"/>
          <w:szCs w:val="32"/>
        </w:rPr>
        <w:t>《大气污染物综合排放标准》（DB32/4041-2021）</w:t>
      </w:r>
      <w:r>
        <w:rPr>
          <w:rFonts w:hint="eastAsia" w:ascii="仿宋_GB2312" w:eastAsia="仿宋_GB2312"/>
          <w:color w:val="000000"/>
          <w:w w:val="100"/>
          <w:sz w:val="32"/>
          <w:szCs w:val="32"/>
          <w:lang w:eastAsia="zh-CN"/>
        </w:rPr>
        <w:t>、</w:t>
      </w:r>
      <w:r>
        <w:rPr>
          <w:rFonts w:hint="eastAsia" w:ascii="仿宋_GB2312" w:eastAsia="仿宋_GB2312"/>
          <w:color w:val="000000"/>
          <w:w w:val="100"/>
          <w:sz w:val="32"/>
          <w:szCs w:val="32"/>
        </w:rPr>
        <w:t>《</w:t>
      </w:r>
      <w:r>
        <w:rPr>
          <w:rFonts w:hint="eastAsia" w:ascii="仿宋_GB2312" w:eastAsia="仿宋_GB2312"/>
          <w:color w:val="000000"/>
          <w:w w:val="100"/>
          <w:sz w:val="32"/>
          <w:szCs w:val="32"/>
          <w:lang w:eastAsia="zh-CN"/>
        </w:rPr>
        <w:t>挥发性有机物无组织排放控制标准》(GB 37822—2019)）</w:t>
      </w:r>
      <w:r>
        <w:rPr>
          <w:rFonts w:hint="eastAsia" w:ascii="仿宋_GB2312" w:eastAsia="仿宋_GB2312"/>
          <w:color w:val="000000"/>
          <w:w w:val="100"/>
          <w:sz w:val="32"/>
          <w:szCs w:val="32"/>
        </w:rPr>
        <w:t>中相应标准</w:t>
      </w:r>
      <w:r>
        <w:rPr>
          <w:rFonts w:hint="eastAsia" w:ascii="仿宋_GB2312" w:hAnsi="Times" w:eastAsia="仿宋_GB2312"/>
          <w:color w:val="000000"/>
          <w:sz w:val="32"/>
          <w:szCs w:val="32"/>
        </w:rPr>
        <w:t>。</w:t>
      </w:r>
    </w:p>
    <w:p w14:paraId="35460D0F">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eastAsia="仿宋_GB2312"/>
          <w:color w:val="000000"/>
          <w:sz w:val="32"/>
          <w:szCs w:val="32"/>
        </w:rPr>
        <w:t>（四）</w:t>
      </w:r>
      <w:r>
        <w:rPr>
          <w:rFonts w:hint="eastAsia" w:ascii="仿宋_GB2312" w:hAnsi="Times" w:eastAsia="仿宋_GB2312"/>
          <w:color w:val="000000"/>
          <w:sz w:val="32"/>
          <w:szCs w:val="32"/>
        </w:rPr>
        <w:t>优选低噪声设备，高噪声设备应合理布局并采取有效的减震、隔声、消声措施，项目</w:t>
      </w:r>
      <w:r>
        <w:rPr>
          <w:rFonts w:hint="eastAsia" w:ascii="仿宋_GB2312" w:hAnsi="Times" w:eastAsia="仿宋_GB2312"/>
          <w:color w:val="000000"/>
          <w:sz w:val="32"/>
          <w:szCs w:val="32"/>
          <w:lang w:val="en-US" w:eastAsia="zh-CN"/>
        </w:rPr>
        <w:t>东、南、北</w:t>
      </w:r>
      <w:r>
        <w:rPr>
          <w:rFonts w:hint="eastAsia" w:ascii="仿宋_GB2312" w:hAnsi="Times" w:eastAsia="仿宋_GB2312"/>
          <w:color w:val="000000"/>
          <w:sz w:val="32"/>
          <w:szCs w:val="32"/>
        </w:rPr>
        <w:t>厂界噪声须符合《工业企业厂界环境噪声排放标准》（GB12348-2008）表1中</w:t>
      </w:r>
      <w:r>
        <w:rPr>
          <w:rFonts w:hint="eastAsia" w:ascii="仿宋_GB2312" w:hAnsi="Times" w:eastAsia="仿宋_GB2312"/>
          <w:color w:val="000000"/>
          <w:sz w:val="32"/>
          <w:szCs w:val="32"/>
          <w:lang w:val="en-US" w:eastAsia="zh-CN"/>
        </w:rPr>
        <w:t>3</w:t>
      </w:r>
      <w:r>
        <w:rPr>
          <w:rFonts w:hint="eastAsia" w:ascii="仿宋_GB2312" w:hAnsi="Times" w:eastAsia="仿宋_GB2312"/>
          <w:color w:val="000000"/>
          <w:sz w:val="32"/>
          <w:szCs w:val="32"/>
        </w:rPr>
        <w:t>类标准</w:t>
      </w:r>
      <w:r>
        <w:rPr>
          <w:rFonts w:hint="eastAsia" w:ascii="仿宋_GB2312" w:hAnsi="Times" w:eastAsia="仿宋_GB2312"/>
          <w:color w:val="000000"/>
          <w:sz w:val="32"/>
          <w:szCs w:val="32"/>
          <w:lang w:eastAsia="zh-CN"/>
        </w:rPr>
        <w:t>，</w:t>
      </w:r>
      <w:r>
        <w:rPr>
          <w:rFonts w:hint="eastAsia" w:ascii="仿宋_GB2312" w:hAnsi="Times" w:eastAsia="仿宋_GB2312"/>
          <w:color w:val="000000"/>
          <w:sz w:val="32"/>
          <w:szCs w:val="32"/>
          <w:lang w:val="en-US" w:eastAsia="zh-CN"/>
        </w:rPr>
        <w:t>西</w:t>
      </w:r>
      <w:r>
        <w:rPr>
          <w:rFonts w:hint="eastAsia" w:ascii="仿宋_GB2312" w:hAnsi="Times" w:eastAsia="仿宋_GB2312"/>
          <w:color w:val="000000"/>
          <w:sz w:val="32"/>
          <w:szCs w:val="32"/>
        </w:rPr>
        <w:t>厂界噪声须符合《工业企业厂界环境噪声排放标准》（GB12348-2008）表1中</w:t>
      </w:r>
      <w:r>
        <w:rPr>
          <w:rFonts w:hint="eastAsia" w:ascii="仿宋_GB2312" w:hAnsi="Times" w:eastAsia="仿宋_GB2312"/>
          <w:color w:val="000000"/>
          <w:sz w:val="32"/>
          <w:szCs w:val="32"/>
          <w:lang w:val="en-US" w:eastAsia="zh-CN"/>
        </w:rPr>
        <w:t>4</w:t>
      </w:r>
      <w:r>
        <w:rPr>
          <w:rFonts w:hint="eastAsia" w:ascii="仿宋_GB2312" w:hAnsi="Times" w:eastAsia="仿宋_GB2312"/>
          <w:color w:val="000000"/>
          <w:sz w:val="32"/>
          <w:szCs w:val="32"/>
        </w:rPr>
        <w:t>类标准。</w:t>
      </w:r>
    </w:p>
    <w:p w14:paraId="5EAEE1AA">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严格按照有关规定，分类处理、处置固体废物，做到资源化、减量化、无害化。危险废物须委托有资质单位安全处置。一般固废厂内暂存场所应满足《一般工业固体废物贮存和填埋污染控制标准》（GB18599-2020）要求。危险废物暂存场所应按国家《危险废物贮存污染控制标准》（GB18597-2023）的要求设置，防止造成二次污染。</w:t>
      </w:r>
    </w:p>
    <w:p w14:paraId="005E2481">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（六）企业应认真做好各项风险防范措施，完善各项管理制度，生产过程应严格操作到位。建立畅通的公众参与渠道，加强与周边公众的沟通，并及时解决公众反映的环境问题，满足公众合理的环境保护要求。</w:t>
      </w:r>
    </w:p>
    <w:p w14:paraId="2369C1FE">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（七）按《江苏省排污口设置及规范化整治管理办法》（苏环控[1997]122号）的要求规范化设置各类排污口和标志。</w:t>
      </w:r>
    </w:p>
    <w:p w14:paraId="7FD8D0B3">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四、本项目实施后，</w:t>
      </w:r>
      <w:r>
        <w:rPr>
          <w:rFonts w:hint="eastAsia" w:ascii="仿宋_GB2312" w:hAnsi="Times" w:eastAsia="仿宋_GB2312"/>
          <w:sz w:val="32"/>
          <w:szCs w:val="32"/>
          <w:lang w:val="en-US" w:eastAsia="zh-CN"/>
        </w:rPr>
        <w:t>全厂</w:t>
      </w:r>
      <w:r>
        <w:rPr>
          <w:rFonts w:hint="eastAsia" w:ascii="仿宋_GB2312" w:hAnsi="Times" w:eastAsia="仿宋_GB2312"/>
          <w:sz w:val="32"/>
          <w:szCs w:val="32"/>
        </w:rPr>
        <w:t>污染物年排放量核定为（单位：t/a）：</w:t>
      </w:r>
    </w:p>
    <w:p w14:paraId="5D8339A8">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hint="eastAsia" w:ascii="仿宋_GB2312" w:hAnsi="Times" w:eastAsia="仿宋_GB2312"/>
          <w:color w:val="000000"/>
          <w:sz w:val="32"/>
          <w:szCs w:val="32"/>
        </w:rPr>
      </w:pPr>
      <w:r>
        <w:rPr>
          <w:rFonts w:hint="eastAsia" w:ascii="仿宋_GB2312" w:hAnsi="Times" w:eastAsia="仿宋_GB2312"/>
          <w:sz w:val="32"/>
          <w:szCs w:val="32"/>
        </w:rPr>
        <w:t>（一）水污染物</w:t>
      </w:r>
      <w:r>
        <w:rPr>
          <w:rFonts w:hint="eastAsia" w:ascii="仿宋_GB2312" w:hAnsi="Times" w:eastAsia="仿宋_GB2312"/>
          <w:color w:val="000000"/>
          <w:sz w:val="32"/>
          <w:szCs w:val="32"/>
        </w:rPr>
        <w:t>排放总量（接管考核量）：污水总量≤</w:t>
      </w:r>
      <w:r>
        <w:rPr>
          <w:rFonts w:hint="eastAsia" w:ascii="仿宋_GB2312" w:hAnsi="Times" w:eastAsia="仿宋_GB2312"/>
          <w:color w:val="000000"/>
          <w:sz w:val="32"/>
          <w:szCs w:val="32"/>
          <w:lang w:val="en-US" w:eastAsia="zh-CN"/>
        </w:rPr>
        <w:t>528</w:t>
      </w:r>
      <w:r>
        <w:rPr>
          <w:rFonts w:hint="eastAsia" w:ascii="仿宋_GB2312" w:hAnsi="Times" w:eastAsia="仿宋_GB2312"/>
          <w:color w:val="000000"/>
          <w:sz w:val="32"/>
          <w:szCs w:val="32"/>
        </w:rPr>
        <w:t>、COD≤</w:t>
      </w:r>
      <w:r>
        <w:rPr>
          <w:rFonts w:hint="default" w:ascii="仿宋_GB2312" w:hAnsi="Times" w:eastAsia="仿宋_GB2312"/>
          <w:color w:val="000000"/>
          <w:sz w:val="32"/>
          <w:szCs w:val="32"/>
          <w:lang w:val="en-US" w:eastAsia="zh-CN"/>
        </w:rPr>
        <w:t xml:space="preserve">0.2112 </w:t>
      </w:r>
      <w:r>
        <w:rPr>
          <w:rFonts w:hint="eastAsia" w:ascii="仿宋_GB2312" w:hAnsi="Times" w:eastAsia="仿宋_GB2312"/>
          <w:color w:val="000000"/>
          <w:sz w:val="32"/>
          <w:szCs w:val="32"/>
        </w:rPr>
        <w:t>、SS≤</w:t>
      </w:r>
      <w:r>
        <w:rPr>
          <w:rFonts w:hint="default" w:ascii="仿宋_GB2312" w:hAnsi="Times" w:eastAsia="仿宋_GB2312"/>
          <w:color w:val="000000"/>
          <w:sz w:val="32"/>
          <w:szCs w:val="32"/>
          <w:lang w:val="en-US" w:eastAsia="zh-CN"/>
        </w:rPr>
        <w:t>0.1584</w:t>
      </w:r>
      <w:r>
        <w:rPr>
          <w:rFonts w:hint="eastAsia" w:ascii="仿宋_GB2312" w:hAnsi="Times" w:eastAsia="仿宋_GB2312"/>
          <w:color w:val="000000"/>
          <w:sz w:val="32"/>
          <w:szCs w:val="32"/>
        </w:rPr>
        <w:t>、NH3-N≤</w:t>
      </w:r>
      <w:r>
        <w:rPr>
          <w:rFonts w:hint="default" w:ascii="仿宋_GB2312" w:hAnsi="Times" w:eastAsia="仿宋_GB2312"/>
          <w:color w:val="000000"/>
          <w:sz w:val="32"/>
          <w:szCs w:val="32"/>
          <w:lang w:val="en-US" w:eastAsia="zh-CN"/>
        </w:rPr>
        <w:t>0.1584</w:t>
      </w:r>
      <w:r>
        <w:rPr>
          <w:rFonts w:hint="eastAsia" w:ascii="仿宋_GB2312" w:hAnsi="Times" w:eastAsia="仿宋_GB2312"/>
          <w:color w:val="000000"/>
          <w:sz w:val="32"/>
          <w:szCs w:val="32"/>
        </w:rPr>
        <w:t>、TP ≤</w:t>
      </w:r>
      <w:r>
        <w:rPr>
          <w:rFonts w:hint="default" w:ascii="仿宋_GB2312" w:hAnsi="Times" w:eastAsia="仿宋_GB2312"/>
          <w:color w:val="000000"/>
          <w:sz w:val="32"/>
          <w:szCs w:val="32"/>
          <w:lang w:val="en-US" w:eastAsia="zh-CN"/>
        </w:rPr>
        <w:t>0.0042</w:t>
      </w:r>
      <w:r>
        <w:rPr>
          <w:rFonts w:hint="eastAsia" w:ascii="仿宋_GB2312" w:hAnsi="Times" w:eastAsia="仿宋_GB2312"/>
          <w:color w:val="000000"/>
          <w:sz w:val="32"/>
          <w:szCs w:val="32"/>
        </w:rPr>
        <w:t>、TN ≤</w:t>
      </w:r>
      <w:r>
        <w:rPr>
          <w:rFonts w:hint="default" w:ascii="仿宋_GB2312" w:hAnsi="Times" w:eastAsia="仿宋_GB2312"/>
          <w:color w:val="000000"/>
          <w:sz w:val="32"/>
          <w:szCs w:val="32"/>
          <w:lang w:val="en-US" w:eastAsia="zh-CN"/>
        </w:rPr>
        <w:t>0.0317</w:t>
      </w:r>
      <w:r>
        <w:rPr>
          <w:rFonts w:hint="eastAsia" w:ascii="仿宋_GB2312" w:hAnsi="Times" w:eastAsia="仿宋_GB2312"/>
          <w:color w:val="000000"/>
          <w:sz w:val="32"/>
          <w:szCs w:val="32"/>
        </w:rPr>
        <w:t>。</w:t>
      </w:r>
    </w:p>
    <w:p w14:paraId="6251EEF7">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hint="eastAsia" w:ascii="仿宋_GB2312" w:hAnsi="Times" w:eastAsia="仿宋_GB2312"/>
          <w:color w:val="000000"/>
          <w:sz w:val="32"/>
          <w:szCs w:val="32"/>
        </w:rPr>
      </w:pPr>
      <w:r>
        <w:rPr>
          <w:rFonts w:hint="eastAsia" w:ascii="仿宋_GB2312" w:hAnsi="Times" w:eastAsia="仿宋_GB2312"/>
          <w:color w:val="000000"/>
          <w:sz w:val="32"/>
          <w:szCs w:val="32"/>
        </w:rPr>
        <w:t>（二）大气污染物排放总量：</w:t>
      </w:r>
    </w:p>
    <w:p w14:paraId="3A62ACA8">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hint="eastAsia" w:ascii="仿宋_GB2312" w:hAnsi="Times" w:eastAsia="仿宋_GB2312"/>
          <w:color w:val="000000"/>
          <w:sz w:val="32"/>
          <w:szCs w:val="32"/>
        </w:rPr>
      </w:pPr>
      <w:r>
        <w:rPr>
          <w:rFonts w:hint="eastAsia" w:ascii="仿宋_GB2312" w:hAnsi="Times" w:eastAsia="仿宋_GB2312"/>
          <w:color w:val="000000"/>
          <w:sz w:val="32"/>
          <w:szCs w:val="32"/>
          <w:lang w:val="en-US" w:eastAsia="zh-CN"/>
        </w:rPr>
        <w:t>无</w:t>
      </w:r>
      <w:r>
        <w:rPr>
          <w:rFonts w:hint="eastAsia" w:ascii="仿宋_GB2312" w:hAnsi="Times" w:eastAsia="仿宋_GB2312"/>
          <w:color w:val="000000"/>
          <w:sz w:val="32"/>
          <w:szCs w:val="32"/>
        </w:rPr>
        <w:t>组织废气：</w:t>
      </w:r>
      <w:r>
        <w:rPr>
          <w:rFonts w:hint="eastAsia" w:ascii="仿宋_GB2312" w:hAnsi="Times" w:eastAsia="仿宋_GB2312"/>
          <w:color w:val="000000"/>
          <w:sz w:val="32"/>
          <w:szCs w:val="32"/>
          <w:lang w:val="en-US" w:eastAsia="zh-CN"/>
        </w:rPr>
        <w:t>颗粒物≤0.00</w:t>
      </w:r>
      <w:bookmarkStart w:id="0" w:name="_GoBack"/>
      <w:bookmarkEnd w:id="0"/>
      <w:r>
        <w:rPr>
          <w:rFonts w:hint="eastAsia" w:ascii="仿宋_GB2312" w:hAnsi="Times" w:eastAsia="仿宋_GB2312"/>
          <w:color w:val="000000"/>
          <w:sz w:val="32"/>
          <w:szCs w:val="32"/>
          <w:lang w:val="en-US" w:eastAsia="zh-CN"/>
        </w:rPr>
        <w:t>02</w:t>
      </w:r>
      <w:r>
        <w:rPr>
          <w:rFonts w:hint="eastAsia" w:ascii="仿宋_GB2312" w:hAnsi="Times" w:eastAsia="仿宋_GB2312"/>
          <w:color w:val="000000"/>
          <w:sz w:val="32"/>
          <w:szCs w:val="32"/>
        </w:rPr>
        <w:t>。</w:t>
      </w:r>
    </w:p>
    <w:p w14:paraId="2F122BE4">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sz w:val="32"/>
          <w:szCs w:val="32"/>
        </w:rPr>
      </w:pPr>
      <w:r>
        <w:rPr>
          <w:rFonts w:hint="eastAsia" w:ascii="仿宋_GB2312" w:hAnsi="Times" w:eastAsia="仿宋_GB2312"/>
          <w:sz w:val="32"/>
          <w:szCs w:val="32"/>
        </w:rPr>
        <w:t>（三）</w:t>
      </w:r>
      <w:r>
        <w:rPr>
          <w:rFonts w:hint="eastAsia" w:ascii="仿宋_GB2312" w:hAnsi="Times" w:eastAsia="仿宋_GB2312"/>
          <w:color w:val="000000"/>
          <w:sz w:val="32"/>
          <w:szCs w:val="32"/>
        </w:rPr>
        <w:t>固体废物</w:t>
      </w:r>
      <w:r>
        <w:rPr>
          <w:rFonts w:hint="eastAsia" w:ascii="仿宋_GB2312" w:hAnsi="Times" w:eastAsia="仿宋_GB2312"/>
          <w:sz w:val="32"/>
          <w:szCs w:val="32"/>
        </w:rPr>
        <w:t>：全部综合利用或安全处置。</w:t>
      </w:r>
    </w:p>
    <w:p w14:paraId="3349172A">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五、建设项目需要配套建设的环境保护设施，必须与主体工程同时设计、同时施工、同时投入使用。同时，你单位须对环境治理设施开展安全风险辨识管控，健全内部污染防治设施稳定运行和管理责任制度，确保环境治理设施安全、稳定、有效运行。项目竣工后，须按排污许可相关规定申请排污许可证或进行排污登记；应当按照国务院环境保护行政主管部门规定的标准和程序，对配套建设的环境保护设施进行验收（对涉及脱硫脱硝、煤改气、挥发性有机物回收、污水处理、粉尘治理、RTO焚烧炉等环境治理设施的项目需邀请安全专家参与污染防治设施的竣工验收）并编制形成验收报告；除按照国家规定需要保密的情形外，应当依法向社会公开验收报告；验收合格后方可投入生产。</w:t>
      </w:r>
    </w:p>
    <w:p w14:paraId="2F3F9E85">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六、项目的性质、规模、地点、采用的生产工艺或者防治污染、防止生态破坏的措施发生重大变动的，你单位应当重新报批项目的环境影响评价文件。自本批复文件批准之日起，如超过5年方决定项目开工建设的，其环境影响评价文件应当报我局重新审核。</w:t>
      </w:r>
    </w:p>
    <w:p w14:paraId="2D4A0357">
      <w:pPr>
        <w:keepNext w:val="0"/>
        <w:keepLines w:val="0"/>
        <w:pageBreakBefore w:val="0"/>
        <w:widowControl w:val="0"/>
        <w:kinsoku/>
        <w:wordWrap/>
        <w:overflowPunct w:val="0"/>
        <w:topLinePunct w:val="0"/>
        <w:autoSpaceDE/>
        <w:autoSpaceDN/>
        <w:bidi w:val="0"/>
        <w:adjustRightInd/>
        <w:snapToGrid w:val="0"/>
        <w:spacing w:line="550" w:lineRule="exact"/>
        <w:ind w:firstLine="640" w:firstLineChars="200"/>
        <w:textAlignment w:val="auto"/>
        <w:rPr>
          <w:rFonts w:ascii="仿宋_GB2312" w:hAnsi="Times" w:eastAsia="仿宋_GB2312"/>
          <w:color w:val="000000"/>
          <w:sz w:val="32"/>
          <w:szCs w:val="32"/>
        </w:rPr>
      </w:pPr>
      <w:r>
        <w:rPr>
          <w:rFonts w:hint="eastAsia" w:ascii="仿宋_GB2312" w:hAnsi="Times" w:eastAsia="仿宋_GB2312"/>
          <w:color w:val="000000"/>
          <w:sz w:val="32"/>
          <w:szCs w:val="32"/>
        </w:rPr>
        <w:t>（项目代码：2504-320404-89-01-747381）</w:t>
      </w:r>
    </w:p>
    <w:p w14:paraId="37928EF1">
      <w:pPr>
        <w:keepNext w:val="0"/>
        <w:keepLines w:val="0"/>
        <w:pageBreakBefore w:val="0"/>
        <w:widowControl w:val="0"/>
        <w:kinsoku/>
        <w:wordWrap/>
        <w:overflowPunct w:val="0"/>
        <w:topLinePunct w:val="0"/>
        <w:autoSpaceDE/>
        <w:autoSpaceDN/>
        <w:bidi w:val="0"/>
        <w:adjustRightInd/>
        <w:snapToGrid w:val="0"/>
        <w:spacing w:line="550" w:lineRule="exact"/>
        <w:textAlignment w:val="auto"/>
        <w:rPr>
          <w:rFonts w:ascii="仿宋_GB2312" w:hAnsi="宋体" w:eastAsia="仿宋_GB2312"/>
          <w:sz w:val="32"/>
          <w:szCs w:val="32"/>
        </w:rPr>
      </w:pPr>
    </w:p>
    <w:p w14:paraId="5CC8DEF3">
      <w:pPr>
        <w:keepNext w:val="0"/>
        <w:keepLines w:val="0"/>
        <w:pageBreakBefore w:val="0"/>
        <w:widowControl w:val="0"/>
        <w:kinsoku/>
        <w:wordWrap/>
        <w:overflowPunct w:val="0"/>
        <w:topLinePunct w:val="0"/>
        <w:autoSpaceDE/>
        <w:autoSpaceDN/>
        <w:bidi w:val="0"/>
        <w:adjustRightInd/>
        <w:snapToGrid w:val="0"/>
        <w:spacing w:line="550" w:lineRule="exact"/>
        <w:textAlignment w:val="auto"/>
        <w:rPr>
          <w:rFonts w:ascii="仿宋_GB2312" w:hAnsi="宋体" w:eastAsia="仿宋_GB2312"/>
          <w:sz w:val="32"/>
          <w:szCs w:val="32"/>
        </w:rPr>
      </w:pPr>
    </w:p>
    <w:p w14:paraId="2AC304C1">
      <w:pPr>
        <w:keepNext w:val="0"/>
        <w:keepLines w:val="0"/>
        <w:pageBreakBefore w:val="0"/>
        <w:widowControl w:val="0"/>
        <w:kinsoku/>
        <w:wordWrap/>
        <w:overflowPunct w:val="0"/>
        <w:topLinePunct w:val="0"/>
        <w:autoSpaceDE/>
        <w:autoSpaceDN/>
        <w:bidi w:val="0"/>
        <w:adjustRightInd/>
        <w:snapToGrid w:val="0"/>
        <w:spacing w:line="550" w:lineRule="exact"/>
        <w:textAlignment w:val="auto"/>
        <w:rPr>
          <w:rFonts w:ascii="仿宋_GB2312" w:hAnsi="宋体" w:eastAsia="仿宋_GB2312"/>
          <w:sz w:val="32"/>
          <w:szCs w:val="32"/>
        </w:rPr>
      </w:pPr>
    </w:p>
    <w:p w14:paraId="4257B597">
      <w:pPr>
        <w:keepNext w:val="0"/>
        <w:keepLines w:val="0"/>
        <w:pageBreakBefore w:val="0"/>
        <w:widowControl w:val="0"/>
        <w:kinsoku/>
        <w:wordWrap/>
        <w:topLinePunct w:val="0"/>
        <w:autoSpaceDE/>
        <w:autoSpaceDN/>
        <w:bidi w:val="0"/>
        <w:adjustRightInd/>
        <w:spacing w:line="550" w:lineRule="exact"/>
        <w:ind w:right="630" w:rightChars="300" w:firstLine="5440" w:firstLineChars="1700"/>
        <w:jc w:val="right"/>
        <w:textAlignment w:val="auto"/>
        <w:rPr>
          <w:rFonts w:ascii="仿宋_GB2312" w:eastAsia="仿宋_GB2312"/>
          <w:sz w:val="32"/>
          <w:szCs w:val="32"/>
        </w:rPr>
      </w:pPr>
      <w:r>
        <w:rPr>
          <w:rFonts w:hint="eastAsia" w:ascii="仿宋_GB2312" w:eastAsia="仿宋_GB2312"/>
          <w:sz w:val="32"/>
          <w:szCs w:val="32"/>
        </w:rPr>
        <w:t>常州市生态环境局</w:t>
      </w:r>
    </w:p>
    <w:p w14:paraId="0A00466D">
      <w:pPr>
        <w:keepNext w:val="0"/>
        <w:keepLines w:val="0"/>
        <w:pageBreakBefore w:val="0"/>
        <w:widowControl w:val="0"/>
        <w:tabs>
          <w:tab w:val="left" w:pos="680"/>
        </w:tabs>
        <w:kinsoku/>
        <w:wordWrap/>
        <w:topLinePunct w:val="0"/>
        <w:autoSpaceDE/>
        <w:autoSpaceDN/>
        <w:bidi w:val="0"/>
        <w:adjustRightInd/>
        <w:spacing w:line="550" w:lineRule="exact"/>
        <w:ind w:right="630" w:rightChars="300"/>
        <w:jc w:val="right"/>
        <w:textAlignment w:val="auto"/>
        <w:rPr>
          <w:rFonts w:ascii="仿宋_GB2312" w:eastAsia="仿宋_GB2312"/>
          <w:sz w:val="32"/>
          <w:szCs w:val="32"/>
          <w:highlight w:val="none"/>
        </w:rPr>
      </w:pPr>
      <w:r>
        <w:rPr>
          <w:rFonts w:hint="eastAsia" w:ascii="仿宋_GB2312" w:eastAsia="仿宋_GB2312"/>
          <w:sz w:val="32"/>
          <w:szCs w:val="32"/>
        </w:rPr>
        <w:t xml:space="preserve">                                  </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5</w:t>
      </w:r>
      <w:r>
        <w:rPr>
          <w:rFonts w:hint="eastAsia" w:ascii="仿宋_GB2312" w:eastAsia="仿宋_GB2312"/>
          <w:sz w:val="32"/>
          <w:szCs w:val="32"/>
          <w:highlight w:val="none"/>
        </w:rPr>
        <w:t>年</w:t>
      </w:r>
      <w:r>
        <w:rPr>
          <w:rFonts w:hint="eastAsia" w:ascii="仿宋_GB2312" w:eastAsia="仿宋_GB2312"/>
          <w:sz w:val="32"/>
          <w:szCs w:val="32"/>
          <w:highlight w:val="none"/>
          <w:lang w:val="en-US" w:eastAsia="zh-CN"/>
        </w:rPr>
        <w:t>12</w:t>
      </w:r>
      <w:r>
        <w:rPr>
          <w:rFonts w:hint="eastAsia" w:ascii="仿宋_GB2312" w:eastAsia="仿宋_GB2312"/>
          <w:sz w:val="32"/>
          <w:szCs w:val="32"/>
          <w:highlight w:val="none"/>
        </w:rPr>
        <w:t>月</w:t>
      </w:r>
      <w:r>
        <w:rPr>
          <w:rFonts w:hint="eastAsia" w:ascii="仿宋_GB2312" w:eastAsia="仿宋_GB2312"/>
          <w:sz w:val="32"/>
          <w:szCs w:val="32"/>
          <w:highlight w:val="none"/>
          <w:lang w:val="en-US" w:eastAsia="zh-CN"/>
        </w:rPr>
        <w:t>31</w:t>
      </w:r>
      <w:r>
        <w:rPr>
          <w:rFonts w:hint="eastAsia" w:ascii="仿宋_GB2312" w:eastAsia="仿宋_GB2312"/>
          <w:sz w:val="32"/>
          <w:szCs w:val="32"/>
          <w:highlight w:val="none"/>
        </w:rPr>
        <w:t>日</w:t>
      </w:r>
    </w:p>
    <w:p w14:paraId="360C9848">
      <w:pPr>
        <w:spacing w:line="500" w:lineRule="exact"/>
        <w:ind w:right="630" w:rightChars="300"/>
        <w:jc w:val="left"/>
        <w:rPr>
          <w:rFonts w:hint="eastAsia" w:ascii="仿宋_GB2312" w:eastAsia="仿宋_GB2312"/>
          <w:sz w:val="32"/>
          <w:szCs w:val="32"/>
          <w:highlight w:val="none"/>
        </w:rPr>
      </w:pPr>
    </w:p>
    <w:p w14:paraId="7EB1A1CA">
      <w:pPr>
        <w:spacing w:line="500" w:lineRule="exact"/>
        <w:ind w:right="630" w:rightChars="300"/>
        <w:jc w:val="left"/>
        <w:rPr>
          <w:rFonts w:hint="eastAsia" w:ascii="仿宋_GB2312" w:eastAsia="仿宋_GB2312"/>
          <w:sz w:val="32"/>
          <w:szCs w:val="32"/>
          <w:highlight w:val="none"/>
        </w:rPr>
      </w:pPr>
    </w:p>
    <w:p w14:paraId="016B0F69">
      <w:pPr>
        <w:spacing w:line="500" w:lineRule="exact"/>
        <w:ind w:right="630" w:rightChars="300"/>
        <w:jc w:val="left"/>
        <w:rPr>
          <w:rFonts w:hint="eastAsia" w:ascii="仿宋_GB2312" w:eastAsia="仿宋_GB2312"/>
          <w:sz w:val="32"/>
          <w:szCs w:val="32"/>
          <w:highlight w:val="none"/>
        </w:rPr>
      </w:pPr>
    </w:p>
    <w:p w14:paraId="06A522C5">
      <w:pPr>
        <w:spacing w:line="500" w:lineRule="exact"/>
        <w:ind w:right="630" w:rightChars="300"/>
        <w:jc w:val="left"/>
        <w:rPr>
          <w:rFonts w:hint="eastAsia" w:ascii="仿宋_GB2312" w:eastAsia="仿宋_GB2312"/>
          <w:sz w:val="32"/>
          <w:szCs w:val="32"/>
          <w:highlight w:val="none"/>
        </w:rPr>
      </w:pPr>
    </w:p>
    <w:p w14:paraId="553735EF">
      <w:pPr>
        <w:spacing w:line="500" w:lineRule="exact"/>
        <w:ind w:right="630" w:rightChars="300"/>
        <w:jc w:val="left"/>
        <w:rPr>
          <w:rFonts w:hint="eastAsia" w:ascii="仿宋_GB2312" w:eastAsia="仿宋_GB2312"/>
          <w:sz w:val="32"/>
          <w:szCs w:val="32"/>
          <w:highlight w:val="none"/>
        </w:rPr>
      </w:pPr>
    </w:p>
    <w:p w14:paraId="439E0C86">
      <w:pPr>
        <w:spacing w:line="500" w:lineRule="exact"/>
        <w:ind w:right="630" w:rightChars="300"/>
        <w:jc w:val="left"/>
        <w:rPr>
          <w:rFonts w:hint="eastAsia" w:ascii="仿宋_GB2312" w:eastAsia="仿宋_GB2312"/>
          <w:sz w:val="32"/>
          <w:szCs w:val="32"/>
          <w:highlight w:val="none"/>
        </w:rPr>
      </w:pPr>
      <w:r>
        <w:rPr>
          <w:rFonts w:hint="eastAsia" w:ascii="仿宋_GB2312" w:eastAsia="仿宋_GB2312"/>
          <w:sz w:val="32"/>
          <w:szCs w:val="32"/>
          <w:highlight w:val="none"/>
        </w:rPr>
        <w:t>（此件公开发布）</w:t>
      </w:r>
    </w:p>
    <w:p w14:paraId="2F26763A">
      <w:pPr>
        <w:keepNext w:val="0"/>
        <w:keepLines w:val="0"/>
        <w:pageBreakBefore w:val="0"/>
        <w:widowControl w:val="0"/>
        <w:tabs>
          <w:tab w:val="left" w:pos="390"/>
        </w:tabs>
        <w:kinsoku/>
        <w:wordWrap/>
        <w:overflowPunct/>
        <w:topLinePunct w:val="0"/>
        <w:autoSpaceDE/>
        <w:autoSpaceDN/>
        <w:bidi w:val="0"/>
        <w:adjustRightInd/>
        <w:snapToGrid/>
        <w:spacing w:line="500" w:lineRule="exact"/>
        <w:ind w:firstLine="105" w:firstLineChars="50"/>
        <w:textAlignment w:val="auto"/>
        <w:rPr>
          <w:rFonts w:ascii="仿宋_GB2312" w:hAnsi="宋体" w:eastAsia="仿宋_GB2312"/>
          <w:sz w:val="28"/>
          <w:szCs w:val="28"/>
          <w:highlight w:val="none"/>
        </w:rPr>
      </w:pPr>
      <w:r>
        <w:rPr>
          <w:highlight w:val="none"/>
        </w:rPr>
        <mc:AlternateContent>
          <mc:Choice Requires="wps">
            <w:drawing>
              <wp:anchor distT="0" distB="0" distL="114300" distR="114300" simplePos="0" relativeHeight="251662336" behindDoc="0" locked="0" layoutInCell="1" allowOverlap="1">
                <wp:simplePos x="0" y="0"/>
                <wp:positionH relativeFrom="column">
                  <wp:posOffset>-93980</wp:posOffset>
                </wp:positionH>
                <wp:positionV relativeFrom="paragraph">
                  <wp:posOffset>9525</wp:posOffset>
                </wp:positionV>
                <wp:extent cx="5619750" cy="0"/>
                <wp:effectExtent l="0" t="0" r="19050" b="19050"/>
                <wp:wrapNone/>
                <wp:docPr id="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7.4pt;margin-top:0.75pt;height:0pt;width:442.5pt;z-index:251662336;mso-width-relative:page;mso-height-relative:page;" filled="f" stroked="t" coordsize="21600,21600" o:gfxdata="UEsDBAoAAAAAAIdO4kAAAAAAAAAAAAAAAAAEAAAAZHJzL1BLAwQUAAAACACHTuJAa+CC+dUAAAAH&#10;AQAADwAAAGRycy9kb3ducmV2LnhtbE2OzW7CMBCE75V4B2uRuIEdRBuUxkEIqVIvUEH7ACZekoh4&#10;HcXmJzx9t720x9E3mvny1d214op9aDxpSGYKBFLpbUOVhq/Pt+kSRIiGrGk9oYYBA6yK0VNuMutv&#10;tMfrIVaCRyhkRkMdY5dJGcoanQkz3yExO/nemcixr6TtzY3HXSvnSr1IZxrih9p0uKmxPB8uTsN+&#10;43fpult8vO/i9pQ+HgOW1aD1ZJyoVxAR7/GvDD/6rA4FOx39hWwQrYZpsmD1yOAZBPNlquYgjr9Z&#10;Frn87198A1BLAwQUAAAACACHTuJAClIPyuUBAACrAwAADgAAAGRycy9lMm9Eb2MueG1srVM7bhsx&#10;EO0D5A4E+2glG/JnoZULCU7jJAJsH2DE5WqJkByCpLSrS+QCAdIlVcr0vk2cY2RIfeI4jYtsQZCc&#10;mTfvveFOrnqj2Ub6oNBWfDQYciatwFrZVcXv767fXHAWItgaNFpZ8a0M/Gr6+tWkc6U8wRZ1LT0j&#10;EBvKzlW8jdGVRRFEKw2EATppKdigNxDp6FdF7aEjdKOLk+HwrOjQ186jkCHQ7XwX5HtE/xJAbBol&#10;5BzF2kgbd6heaogkKbTKBT7NbJtGivihaYKMTFeclMa8UhPaL9NaTCdQrjy4Vok9BXgJhWeaDChL&#10;TY9Qc4jA1l79A2WU8BiwiQOBptgJyY6QitHwmTe3LTiZtZDVwR1ND/8PVrzfLDxTdcVPObNgaOCP&#10;n3/8/PT118MXWh+/f2OnyaTOhZJyZ3bhk0zR21t3g+JjYBZnLdiVzGTvto4QRqmi+KskHYKjVsvu&#10;HdaUA+uI2bG+8SZBkhesz4PZHgcj+8gEXY7PRpfnY5qZOMQKKA+Fzof4VqJhaVNxrWzyDErY3ISY&#10;iEB5SEnXFq+V1nnu2rKO2I4vzse5IqBWdYqmvOBXy5n2bAPp6eQvy6LI0zSPa1vvumi7V52E7ixb&#10;Yr1d+IMbNMNMZ//e0iN5es7Vf/6x6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r4IL51QAAAAcB&#10;AAAPAAAAAAAAAAEAIAAAACIAAABkcnMvZG93bnJldi54bWxQSwECFAAUAAAACACHTuJAClIPyuUB&#10;AACrAwAADgAAAAAAAAABACAAAAAkAQAAZHJzL2Uyb0RvYy54bWxQSwUGAAAAAAYABgBZAQAAewUA&#10;AAAA&#10;">
                <v:fill on="f" focussize="0,0"/>
                <v:stroke weight="1.25pt" color="#000000" joinstyle="round"/>
                <v:imagedata o:title=""/>
                <o:lock v:ext="edit" aspectratio="f"/>
              </v:line>
            </w:pict>
          </mc:Fallback>
        </mc:AlternateContent>
      </w:r>
      <w:r>
        <w:rPr>
          <w:rFonts w:hint="eastAsia" w:ascii="仿宋_GB2312" w:eastAsia="仿宋_GB2312"/>
          <w:sz w:val="28"/>
          <w:szCs w:val="28"/>
          <w:highlight w:val="none"/>
        </w:rPr>
        <w:t>抄送：</w:t>
      </w:r>
      <w:r>
        <w:rPr>
          <w:rFonts w:hint="eastAsia" w:ascii="仿宋_GB2312" w:hAnsi="宋体" w:eastAsia="仿宋_GB2312"/>
          <w:sz w:val="28"/>
          <w:szCs w:val="28"/>
          <w:highlight w:val="none"/>
        </w:rPr>
        <w:t>钟楼经济开发区管理委员会、</w:t>
      </w:r>
      <w:r>
        <w:rPr>
          <w:rFonts w:hint="eastAsia" w:ascii="仿宋_GB2312" w:hAnsi="宋体" w:eastAsia="仿宋_GB2312"/>
          <w:sz w:val="28"/>
          <w:szCs w:val="28"/>
          <w:highlight w:val="none"/>
          <w:lang w:val="en-US" w:eastAsia="zh-CN"/>
        </w:rPr>
        <w:t>新闸</w:t>
      </w:r>
      <w:r>
        <w:rPr>
          <w:rFonts w:hint="eastAsia" w:ascii="仿宋_GB2312" w:hAnsi="宋体" w:eastAsia="仿宋_GB2312"/>
          <w:sz w:val="28"/>
          <w:szCs w:val="28"/>
          <w:highlight w:val="none"/>
        </w:rPr>
        <w:t>街道办事处，市生态环境综合行政执法局钟楼分局。</w:t>
      </w:r>
    </w:p>
    <w:p w14:paraId="44C67DF7">
      <w:pPr>
        <w:keepNext w:val="0"/>
        <w:keepLines w:val="0"/>
        <w:pageBreakBefore w:val="0"/>
        <w:widowControl w:val="0"/>
        <w:tabs>
          <w:tab w:val="left" w:pos="390"/>
        </w:tabs>
        <w:kinsoku/>
        <w:wordWrap/>
        <w:overflowPunct/>
        <w:topLinePunct w:val="0"/>
        <w:autoSpaceDE/>
        <w:autoSpaceDN/>
        <w:bidi w:val="0"/>
        <w:adjustRightInd/>
        <w:snapToGrid/>
        <w:spacing w:line="500" w:lineRule="exact"/>
        <w:ind w:firstLine="140" w:firstLineChars="50"/>
        <w:textAlignment w:val="auto"/>
        <w:rPr>
          <w:rFonts w:ascii="仿宋_GB2312" w:eastAsia="仿宋_GB2312"/>
          <w:sz w:val="28"/>
          <w:szCs w:val="28"/>
        </w:rPr>
      </w:pPr>
      <w:r>
        <w:rPr>
          <w:rFonts w:hint="eastAsia" w:ascii="仿宋_GB2312" w:eastAsia="仿宋_GB2312"/>
          <w:sz w:val="28"/>
          <w:szCs w:val="28"/>
          <w:highlight w:val="none"/>
        </w:rPr>
        <w:t>常州市生态环境局办公室</w:t>
      </w:r>
      <w:r>
        <w:rPr>
          <w:highlight w:val="none"/>
        </w:rPr>
        <mc:AlternateContent>
          <mc:Choice Requires="wps">
            <w:drawing>
              <wp:anchor distT="0" distB="0" distL="114300" distR="114300" simplePos="0" relativeHeight="251660288" behindDoc="0" locked="0" layoutInCell="1" allowOverlap="1">
                <wp:simplePos x="0" y="0"/>
                <wp:positionH relativeFrom="column">
                  <wp:posOffset>-93980</wp:posOffset>
                </wp:positionH>
                <wp:positionV relativeFrom="paragraph">
                  <wp:posOffset>-5080</wp:posOffset>
                </wp:positionV>
                <wp:extent cx="5619750" cy="0"/>
                <wp:effectExtent l="0" t="0" r="19050" b="1905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4pt;margin-top:-0.4pt;height:0pt;width:442.5pt;z-index:251660288;mso-width-relative:page;mso-height-relative:page;" filled="f" stroked="t" coordsize="21600,21600" o:gfxdata="UEsDBAoAAAAAAIdO4kAAAAAAAAAAAAAAAAAEAAAAZHJzL1BLAwQUAAAACACHTuJA+oZvmdMAAAAH&#10;AQAADwAAAGRycy9kb3ducmV2LnhtbE2OzU7DMBCE70i8g7VIXKrWTkBQhTg9ALlxoQVx3cZLEhGv&#10;09j9gadn4QKn2dGsZr5ydfKDOtAU+8AWsoUBRdwE13Nr4WVTz5egYkJ2OAQmC58UYVWdn5VYuHDk&#10;ZzqsU6ukhGOBFrqUxkLr2HTkMS7CSCzZe5g8JrFTq92ERyn3g86NudEee5aFDke676j5WO+9hVi/&#10;0q7+mjUz83bVBsp3D0+PaO3lRWbuQCU6pb9n+MEXdKiEaRv27KIaLMyza0FPcohIvrw1Oajtr9dV&#10;qf/zV99QSwMEFAAAAAgAh07iQG06qx7kAQAAqgMAAA4AAABkcnMvZTJvRG9jLnhtbK1TS44TMRDd&#10;I3EHy3vSSaQMTCudWSQaNgNEmuEAFbe728J2WbaT7lyCCyCxgxVL9tyG4RiUnQ/DsJkFvbDs+ryq&#10;96p6fjUYzXbSB4W24pPRmDNpBdbKthV/f3f94hVnIYKtQaOVFd/LwK8Wz5/Ne1fKKXaoa+kZgdhQ&#10;9q7iXYyuLIogOmkgjNBJS84GvYFIT98WtYee0I0upuPxRdGjr51HIUMg6+rg5EdE/xRAbBol5ArF&#10;1kgbD6heaohEKXTKBb7I3TaNFPFd0wQZma44MY35pCJ036SzWMyhbD24ToljC/CUFh5xMqAsFT1D&#10;rSAC23r1D5RRwmPAJo4EmuJAJCtCLCbjR9rcduBk5kJSB3cWPfw/WPF2t/ZM1RWfcmbB0MDvP33/&#10;+fHLrx+f6bz/9pVNk0i9CyXFLu3aJ5pisLfuBsWHwCwuO7CtzM3e7R0hTFJG8VdKegRHpTb9G6wp&#10;BrYRs2JD402CJC3YkAezPw9GDpEJMs4uJpcvZzQzcfIVUJ4SnQ/xtUTD0qXiWtmkGZSwuwkxNQLl&#10;KSSZLV4rrfPctWV9xS9n01lOCKhVnZwpLPh2s9Se7SBtTv4yK/I8DPO4tfWhiLZH0onnQbEN1vu1&#10;P4lBI8zdHNct7cjDd87+84stfgN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6hm+Z0wAAAAcBAAAP&#10;AAAAAAAAAAEAIAAAACIAAABkcnMvZG93bnJldi54bWxQSwECFAAUAAAACACHTuJAbTqrHuQBAACq&#10;AwAADgAAAAAAAAABACAAAAAiAQAAZHJzL2Uyb0RvYy54bWxQSwUGAAAAAAYABgBZAQAAeAUAAAAA&#10;">
                <v:fill on="f" focussize="0,0"/>
                <v:stroke color="#000000" joinstyle="round"/>
                <v:imagedata o:title=""/>
                <o:lock v:ext="edit" aspectratio="f"/>
              </v:line>
            </w:pict>
          </mc:Fallback>
        </mc:AlternateContent>
      </w:r>
      <w:r>
        <w:rPr>
          <w:rFonts w:hint="eastAsia" w:ascii="仿宋_GB2312" w:eastAsia="仿宋_GB2312"/>
          <w:sz w:val="28"/>
          <w:szCs w:val="28"/>
          <w:highlight w:val="none"/>
        </w:rPr>
        <w:t xml:space="preserve">                   202</w:t>
      </w:r>
      <w:r>
        <w:rPr>
          <w:rFonts w:hint="eastAsia" w:ascii="仿宋_GB2312" w:eastAsia="仿宋_GB2312"/>
          <w:sz w:val="28"/>
          <w:szCs w:val="28"/>
          <w:highlight w:val="none"/>
          <w:lang w:val="en-US" w:eastAsia="zh-CN"/>
        </w:rPr>
        <w:t>5</w:t>
      </w:r>
      <w:r>
        <w:rPr>
          <w:rFonts w:hint="eastAsia" w:ascii="仿宋_GB2312" w:eastAsia="仿宋_GB2312"/>
          <w:sz w:val="28"/>
          <w:szCs w:val="28"/>
          <w:highlight w:val="none"/>
        </w:rPr>
        <w:t>年</w:t>
      </w:r>
      <w:r>
        <w:rPr>
          <w:rFonts w:hint="eastAsia" w:ascii="仿宋_GB2312" w:eastAsia="仿宋_GB2312"/>
          <w:sz w:val="28"/>
          <w:szCs w:val="28"/>
          <w:highlight w:val="none"/>
          <w:lang w:val="en-US" w:eastAsia="zh-CN"/>
        </w:rPr>
        <w:t>12</w:t>
      </w:r>
      <w:r>
        <w:rPr>
          <w:rFonts w:hint="eastAsia" w:ascii="仿宋_GB2312" w:eastAsia="仿宋_GB2312"/>
          <w:sz w:val="28"/>
          <w:szCs w:val="28"/>
          <w:highlight w:val="none"/>
        </w:rPr>
        <w:t>月</w:t>
      </w:r>
      <w:r>
        <w:rPr>
          <w:rFonts w:hint="eastAsia" w:ascii="仿宋_GB2312" w:eastAsia="仿宋_GB2312"/>
          <w:sz w:val="28"/>
          <w:szCs w:val="28"/>
          <w:highlight w:val="none"/>
          <w:lang w:val="en-US" w:eastAsia="zh-CN"/>
        </w:rPr>
        <w:t>31</w:t>
      </w:r>
      <w:r>
        <w:rPr>
          <w:rFonts w:hint="eastAsia" w:ascii="仿宋_GB2312" w:eastAsia="仿宋_GB2312"/>
          <w:sz w:val="28"/>
          <w:szCs w:val="28"/>
          <w:highlight w:val="none"/>
        </w:rPr>
        <w:t>日印</w:t>
      </w:r>
      <w:r>
        <w:rPr>
          <w:rFonts w:hint="eastAsia" w:ascii="仿宋_GB2312" w:eastAsia="仿宋_GB2312"/>
          <w:sz w:val="28"/>
          <w:szCs w:val="28"/>
        </w:rPr>
        <w:t>发</w:t>
      </w:r>
    </w:p>
    <w:p w14:paraId="1E10C953">
      <w:pPr>
        <w:keepNext w:val="0"/>
        <w:keepLines w:val="0"/>
        <w:pageBreakBefore w:val="0"/>
        <w:widowControl w:val="0"/>
        <w:tabs>
          <w:tab w:val="left" w:pos="6795"/>
        </w:tabs>
        <w:kinsoku/>
        <w:wordWrap/>
        <w:overflowPunct/>
        <w:topLinePunct w:val="0"/>
        <w:autoSpaceDE/>
        <w:autoSpaceDN/>
        <w:bidi w:val="0"/>
        <w:adjustRightInd/>
        <w:snapToGrid/>
        <w:spacing w:line="500" w:lineRule="exact"/>
        <w:ind w:firstLine="7392" w:firstLineChars="3520"/>
        <w:jc w:val="right"/>
        <w:textAlignment w:val="auto"/>
      </w:pPr>
      <w: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41275</wp:posOffset>
                </wp:positionV>
                <wp:extent cx="5619750" cy="0"/>
                <wp:effectExtent l="0" t="0" r="19050" b="1905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5619750" cy="0"/>
                        </a:xfrm>
                        <a:prstGeom prst="line">
                          <a:avLst/>
                        </a:prstGeom>
                        <a:noFill/>
                        <a:ln w="15875">
                          <a:solidFill>
                            <a:srgbClr val="000000"/>
                          </a:solidFill>
                          <a:round/>
                        </a:ln>
                      </wps:spPr>
                      <wps:bodyPr/>
                    </wps:wsp>
                  </a:graphicData>
                </a:graphic>
              </wp:anchor>
            </w:drawing>
          </mc:Choice>
          <mc:Fallback>
            <w:pict>
              <v:line id="_x0000_s1026" o:spid="_x0000_s1026" o:spt="20" style="position:absolute;left:0pt;margin-left:-8.15pt;margin-top:3.25pt;height:0pt;width:442.5pt;z-index:251661312;mso-width-relative:page;mso-height-relative:page;" filled="f" stroked="t" coordsize="21600,21600" o:gfxdata="UEsDBAoAAAAAAIdO4kAAAAAAAAAAAAAAAAAEAAAAZHJzL1BLAwQUAAAACACHTuJAfSxP9dYAAAAH&#10;AQAADwAAAGRycy9kb3ducmV2LnhtbE2OzW7CMBCE75X6DtZW6g2cUJpEIQ5CSJV6gQraBzDxkkTE&#10;6yg2P+Hpu+2lPY5m9M1XLG+2ExccfOtIQTyNQCBVzrRUK/j6fJtkIHzQZHTnCBWM6GFZPj4UOjfu&#10;Sju87EMtGEI+1wqaEPpcSl81aLWfuh6Ju6MbrA4ch1qaQV8Zbjs5i6JEWt0SPzS6x3WD1Wl/tgp2&#10;a7dNV/38430bNsf0fh+xqkelnp/iaAEi4C38jeFHn9WhZKeDO5PxolMwiZMXnipIXkFwnyVZCuLw&#10;m2VZyP/+5TdQSwMEFAAAAAgAh07iQLFJzILjAQAAqwMAAA4AAABkcnMvZTJvRG9jLnhtbK1TzW4T&#10;MRC+I/EOlu9kk0ppyyqbHhKVS4FILQ/geL1ZC9tjeZzs5iV4ASRucOLInbdpeQzG3iTQcumBPVie&#10;v8/zfTM7u+qtYTsVUIOr+GQ05kw5CbV2m4p/uLt+dckZRuFqYcCpiu8V8qv5yxezzpfqDFowtQqM&#10;QByWna94G6MviwJlq6zAEXjlKNhAsCKSGTZFHURH6NYUZ+PxedFBqH0AqRDJuxyC/IAYngMITaOl&#10;WoLcWuXigBqUEZEoYas98nnutmmUjO+bBlVkpuLENOaTHqH7Op3FfCbKTRC+1fLQgnhOC084WaEd&#10;PXqCWooo2Dbof6CslgEQmjiSYIuBSFaEWEzGT7S5bYVXmQtJjf4kOv4/WPlutwpM17QJnDlhaeAP&#10;n3/cf/r66+cXOh++f2OTJFLnsaTchVuFRFP27tbfgPyIzMGiFW6jcrN3e08IuaJ4VJIM9PTUunsL&#10;NeWIbYSsWN8EmyBJC9bnwexPg1F9ZJKc0/PJ64spzUweY4Uoj4U+YHyjwLJ0qbjRLmkmSrG7wUit&#10;U+oxJbkdXGtj8tyNYx11O728mOYKBKPrFE15GDbrhQlsJ9Lq5C8JQWiP0gJsXT34jaPwkegg2Rrq&#10;/SqkcPLTDDPAYd/Skvxt56w//9j8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H0sT/XWAAAABwEA&#10;AA8AAAAAAAAAAQAgAAAAIgAAAGRycy9kb3ducmV2LnhtbFBLAQIUABQAAAAIAIdO4kCxScyC4wEA&#10;AKsDAAAOAAAAAAAAAAEAIAAAACUBAABkcnMvZTJvRG9jLnhtbFBLBQYAAAAABgAGAFkBAAB6BQAA&#10;AAA=&#10;">
                <v:fill on="f" focussize="0,0"/>
                <v:stroke weight="1.25pt" color="#000000" joinstyle="round"/>
                <v:imagedata o:title=""/>
                <o:lock v:ext="edit" aspectratio="f"/>
              </v:line>
            </w:pict>
          </mc:Fallback>
        </mc:AlternateContent>
      </w:r>
    </w:p>
    <w:sectPr>
      <w:headerReference r:id="rId5" w:type="first"/>
      <w:footerReference r:id="rId8" w:type="first"/>
      <w:headerReference r:id="rId3" w:type="default"/>
      <w:footerReference r:id="rId6" w:type="default"/>
      <w:headerReference r:id="rId4" w:type="even"/>
      <w:footerReference r:id="rId7" w:type="even"/>
      <w:pgSz w:w="11906" w:h="16838"/>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290C0">
    <w:pPr>
      <w:pStyle w:val="3"/>
      <w:framePr w:wrap="around" w:vAnchor="text" w:hAnchor="margin" w:xAlign="center" w:y="1"/>
      <w:rPr>
        <w:rStyle w:val="7"/>
        <w:rFonts w:ascii="宋体" w:hAnsi="宋体"/>
        <w:sz w:val="30"/>
        <w:szCs w:val="30"/>
      </w:rPr>
    </w:pPr>
    <w:r>
      <w:rPr>
        <w:rStyle w:val="7"/>
        <w:rFonts w:hint="eastAsia" w:ascii="宋体" w:hAnsi="宋体"/>
        <w:sz w:val="30"/>
        <w:szCs w:val="30"/>
      </w:rPr>
      <w:t xml:space="preserve">— </w:t>
    </w:r>
    <w:r>
      <w:rPr>
        <w:rFonts w:ascii="宋体" w:hAnsi="宋体"/>
        <w:sz w:val="30"/>
        <w:szCs w:val="30"/>
      </w:rPr>
      <w:fldChar w:fldCharType="begin"/>
    </w:r>
    <w:r>
      <w:rPr>
        <w:rStyle w:val="7"/>
        <w:rFonts w:ascii="宋体" w:hAnsi="宋体"/>
        <w:sz w:val="30"/>
        <w:szCs w:val="30"/>
      </w:rPr>
      <w:instrText xml:space="preserve">PAGE  </w:instrText>
    </w:r>
    <w:r>
      <w:rPr>
        <w:rFonts w:ascii="宋体" w:hAnsi="宋体"/>
        <w:sz w:val="30"/>
        <w:szCs w:val="30"/>
      </w:rPr>
      <w:fldChar w:fldCharType="separate"/>
    </w:r>
    <w:r>
      <w:rPr>
        <w:rStyle w:val="7"/>
        <w:rFonts w:ascii="宋体" w:hAnsi="宋体"/>
        <w:sz w:val="30"/>
        <w:szCs w:val="30"/>
      </w:rPr>
      <w:t>2</w:t>
    </w:r>
    <w:r>
      <w:rPr>
        <w:rFonts w:ascii="宋体" w:hAnsi="宋体"/>
        <w:sz w:val="30"/>
        <w:szCs w:val="30"/>
      </w:rPr>
      <w:fldChar w:fldCharType="end"/>
    </w:r>
    <w:r>
      <w:rPr>
        <w:rStyle w:val="7"/>
        <w:rFonts w:hint="eastAsia" w:ascii="宋体" w:hAnsi="宋体"/>
        <w:sz w:val="30"/>
        <w:szCs w:val="30"/>
      </w:rPr>
      <w:t xml:space="preserve"> —</w:t>
    </w:r>
  </w:p>
  <w:p w14:paraId="3680FB68">
    <w:pPr>
      <w:pStyle w:val="3"/>
      <w:jc w:val="center"/>
      <w:rPr>
        <w:rFonts w:ascii="宋体" w:hAnsi="宋体"/>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871B7">
    <w:pPr>
      <w:pStyle w:val="3"/>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14:paraId="6DD158F1">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78820A">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389621">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305E35">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04EFA2">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MmEzZjNhMWFiNGQ2MDA0N2I4YjY0M2JmM2ZlYjQifQ=="/>
  </w:docVars>
  <w:rsids>
    <w:rsidRoot w:val="004735B0"/>
    <w:rsid w:val="00025FA6"/>
    <w:rsid w:val="000307A7"/>
    <w:rsid w:val="000337A9"/>
    <w:rsid w:val="0004599A"/>
    <w:rsid w:val="00066ACB"/>
    <w:rsid w:val="00077DBA"/>
    <w:rsid w:val="0009694C"/>
    <w:rsid w:val="000B0BF8"/>
    <w:rsid w:val="00130E61"/>
    <w:rsid w:val="00155653"/>
    <w:rsid w:val="00155ACB"/>
    <w:rsid w:val="00162E1C"/>
    <w:rsid w:val="001A4CE1"/>
    <w:rsid w:val="001D0075"/>
    <w:rsid w:val="001D0220"/>
    <w:rsid w:val="001D21E5"/>
    <w:rsid w:val="00204ABF"/>
    <w:rsid w:val="00270955"/>
    <w:rsid w:val="00271C6D"/>
    <w:rsid w:val="0029121B"/>
    <w:rsid w:val="002E3F9D"/>
    <w:rsid w:val="00312C45"/>
    <w:rsid w:val="00320F08"/>
    <w:rsid w:val="0036349E"/>
    <w:rsid w:val="003D404C"/>
    <w:rsid w:val="004038C2"/>
    <w:rsid w:val="00431570"/>
    <w:rsid w:val="00450C94"/>
    <w:rsid w:val="004549B7"/>
    <w:rsid w:val="004735B0"/>
    <w:rsid w:val="0049691D"/>
    <w:rsid w:val="004A378E"/>
    <w:rsid w:val="004B0224"/>
    <w:rsid w:val="004D4DF5"/>
    <w:rsid w:val="004E2238"/>
    <w:rsid w:val="00503795"/>
    <w:rsid w:val="00507263"/>
    <w:rsid w:val="005166B2"/>
    <w:rsid w:val="005400E1"/>
    <w:rsid w:val="00543DB7"/>
    <w:rsid w:val="005F35B5"/>
    <w:rsid w:val="006438E6"/>
    <w:rsid w:val="00651BDD"/>
    <w:rsid w:val="00657949"/>
    <w:rsid w:val="00662E6E"/>
    <w:rsid w:val="006860FC"/>
    <w:rsid w:val="00690F30"/>
    <w:rsid w:val="006939D1"/>
    <w:rsid w:val="006B5ED0"/>
    <w:rsid w:val="006C6417"/>
    <w:rsid w:val="00704F86"/>
    <w:rsid w:val="0072339C"/>
    <w:rsid w:val="00783979"/>
    <w:rsid w:val="007D24EB"/>
    <w:rsid w:val="007E1357"/>
    <w:rsid w:val="007E5068"/>
    <w:rsid w:val="008333F3"/>
    <w:rsid w:val="00887049"/>
    <w:rsid w:val="009542D0"/>
    <w:rsid w:val="00973558"/>
    <w:rsid w:val="009A52B8"/>
    <w:rsid w:val="00A02026"/>
    <w:rsid w:val="00A121C8"/>
    <w:rsid w:val="00A54755"/>
    <w:rsid w:val="00AB675D"/>
    <w:rsid w:val="00B00703"/>
    <w:rsid w:val="00B25F9B"/>
    <w:rsid w:val="00B7088B"/>
    <w:rsid w:val="00B9261C"/>
    <w:rsid w:val="00BA7F82"/>
    <w:rsid w:val="00BD511C"/>
    <w:rsid w:val="00BD77A1"/>
    <w:rsid w:val="00C0595D"/>
    <w:rsid w:val="00C1098D"/>
    <w:rsid w:val="00C152CD"/>
    <w:rsid w:val="00C735F0"/>
    <w:rsid w:val="00C85B7B"/>
    <w:rsid w:val="00C970DB"/>
    <w:rsid w:val="00CB21A9"/>
    <w:rsid w:val="00CD0300"/>
    <w:rsid w:val="00CD3D0E"/>
    <w:rsid w:val="00CE53D8"/>
    <w:rsid w:val="00D25DC2"/>
    <w:rsid w:val="00D45C64"/>
    <w:rsid w:val="00D6649D"/>
    <w:rsid w:val="00DA5F88"/>
    <w:rsid w:val="00DD360E"/>
    <w:rsid w:val="00DE285F"/>
    <w:rsid w:val="00DE70AD"/>
    <w:rsid w:val="00E00AC6"/>
    <w:rsid w:val="00E0387A"/>
    <w:rsid w:val="00E070CA"/>
    <w:rsid w:val="00E232A6"/>
    <w:rsid w:val="00E60A54"/>
    <w:rsid w:val="00E640A2"/>
    <w:rsid w:val="00EC5568"/>
    <w:rsid w:val="00ED011B"/>
    <w:rsid w:val="00EE016F"/>
    <w:rsid w:val="00EE734B"/>
    <w:rsid w:val="00F16C02"/>
    <w:rsid w:val="00F800AB"/>
    <w:rsid w:val="00F82FB9"/>
    <w:rsid w:val="00F96AE2"/>
    <w:rsid w:val="00F96DC4"/>
    <w:rsid w:val="00FD7E6E"/>
    <w:rsid w:val="027727F8"/>
    <w:rsid w:val="03D474EA"/>
    <w:rsid w:val="082127AD"/>
    <w:rsid w:val="0C9A5C8E"/>
    <w:rsid w:val="0EEB1D0A"/>
    <w:rsid w:val="0FAA5842"/>
    <w:rsid w:val="1028726C"/>
    <w:rsid w:val="12D379DB"/>
    <w:rsid w:val="1DB10E44"/>
    <w:rsid w:val="1F30765A"/>
    <w:rsid w:val="29AB7E6A"/>
    <w:rsid w:val="2C0C4FAB"/>
    <w:rsid w:val="32713D93"/>
    <w:rsid w:val="3ACF1D9B"/>
    <w:rsid w:val="3CFC071D"/>
    <w:rsid w:val="3E060BCF"/>
    <w:rsid w:val="3E8B6203"/>
    <w:rsid w:val="42A749E4"/>
    <w:rsid w:val="42ED5B59"/>
    <w:rsid w:val="43E6537A"/>
    <w:rsid w:val="44CE0BF8"/>
    <w:rsid w:val="47243FC5"/>
    <w:rsid w:val="47F17E95"/>
    <w:rsid w:val="4BCC2EA1"/>
    <w:rsid w:val="4F7F495C"/>
    <w:rsid w:val="4F822D0B"/>
    <w:rsid w:val="58B328C3"/>
    <w:rsid w:val="5A766A76"/>
    <w:rsid w:val="5CBF0D58"/>
    <w:rsid w:val="5CDB39FC"/>
    <w:rsid w:val="5E5F2C46"/>
    <w:rsid w:val="5EA72FD8"/>
    <w:rsid w:val="601446B9"/>
    <w:rsid w:val="60C25D6C"/>
    <w:rsid w:val="62EE4313"/>
    <w:rsid w:val="68BE495C"/>
    <w:rsid w:val="72054169"/>
    <w:rsid w:val="79E5308B"/>
    <w:rsid w:val="7C0430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7">
    <w:name w:val="page number"/>
    <w:basedOn w:val="6"/>
    <w:qFormat/>
    <w:uiPriority w:val="0"/>
  </w:style>
  <w:style w:type="character" w:customStyle="1" w:styleId="8">
    <w:name w:val="页眉 Char"/>
    <w:basedOn w:val="6"/>
    <w:link w:val="4"/>
    <w:qFormat/>
    <w:uiPriority w:val="99"/>
    <w:rPr>
      <w:sz w:val="18"/>
      <w:szCs w:val="18"/>
    </w:rPr>
  </w:style>
  <w:style w:type="character" w:customStyle="1" w:styleId="9">
    <w:name w:val="页脚 Char"/>
    <w:basedOn w:val="6"/>
    <w:link w:val="3"/>
    <w:qFormat/>
    <w:uiPriority w:val="0"/>
    <w:rPr>
      <w:sz w:val="18"/>
      <w:szCs w:val="18"/>
    </w:rPr>
  </w:style>
  <w:style w:type="paragraph" w:customStyle="1" w:styleId="10">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z w:val="44"/>
      <w:szCs w:val="20"/>
    </w:rPr>
  </w:style>
  <w:style w:type="paragraph" w:styleId="11">
    <w:name w:val="List Paragraph"/>
    <w:basedOn w:val="1"/>
    <w:qFormat/>
    <w:uiPriority w:val="34"/>
    <w:pPr>
      <w:ind w:firstLine="420" w:firstLineChars="200"/>
    </w:pPr>
  </w:style>
  <w:style w:type="character" w:customStyle="1" w:styleId="12">
    <w:name w:val="日期 Char"/>
    <w:basedOn w:val="6"/>
    <w:link w:val="2"/>
    <w:semiHidden/>
    <w:qFormat/>
    <w:uiPriority w:val="99"/>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4</Pages>
  <Words>1720</Words>
  <Characters>1893</Characters>
  <Lines>15</Lines>
  <Paragraphs>4</Paragraphs>
  <TotalTime>0</TotalTime>
  <ScaleCrop>false</ScaleCrop>
  <LinksUpToDate>false</LinksUpToDate>
  <CharactersWithSpaces>1950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2023-12-27T02:43:00Z</dcterms:created>
  <dc:creator>yangfan</dc:creator>
  <cp:lastModifiedBy>幵心</cp:lastModifiedBy>
  <dcterms:modified xsi:type="dcterms:W3CDTF">2025-12-29T02:28:02Z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A6A70C18D01046219EAF3FDECC24C94E_13</vt:lpwstr>
  </property>
  <property fmtid="{D5CDD505-2E9C-101B-9397-08002B2CF9AE}" pid="4" name="KSOTemplateDocerSaveRecord">
    <vt:lpwstr>eyJoZGlkIjoiMjU3MmEzZjNhMWFiNGQ2MDA0N2I4YjY0M2JmM2ZlYjQiLCJ1c2VySWQiOiI2OTc2NzIxMTQifQ==</vt:lpwstr>
  </property>
</Properties>
</file>