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CA70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国标小标宋" w:hAnsi="国标小标宋" w:eastAsia="国标小标宋" w:cs="国标小标宋"/>
          <w:color w:val="000000"/>
          <w:sz w:val="44"/>
          <w:szCs w:val="44"/>
        </w:rPr>
      </w:pPr>
      <w:r>
        <w:rPr>
          <w:rFonts w:hint="eastAsia" w:ascii="国标小标宋" w:hAnsi="国标小标宋" w:eastAsia="国标小标宋" w:cs="国标小标宋"/>
          <w:color w:val="000000"/>
          <w:sz w:val="44"/>
          <w:szCs w:val="44"/>
        </w:rPr>
        <w:t>常州市钟楼区人民政府</w:t>
      </w:r>
    </w:p>
    <w:p w14:paraId="2027566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国标小标宋" w:hAnsi="国标小标宋" w:eastAsia="国标小标宋" w:cs="国标小标宋"/>
          <w:color w:val="000000"/>
          <w:sz w:val="44"/>
          <w:szCs w:val="44"/>
        </w:rPr>
      </w:pPr>
      <w:r>
        <w:rPr>
          <w:rFonts w:hint="eastAsia" w:ascii="国标小标宋" w:hAnsi="国标小标宋" w:eastAsia="国标小标宋" w:cs="国标小标宋"/>
          <w:color w:val="000000"/>
          <w:sz w:val="44"/>
          <w:szCs w:val="44"/>
        </w:rPr>
        <w:t>行政复议决定书</w:t>
      </w:r>
    </w:p>
    <w:p w14:paraId="54A57E6C">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eastAsia="仿宋_GB2312" w:cs="Times New Roman"/>
          <w:sz w:val="32"/>
          <w:szCs w:val="32"/>
          <w:lang w:eastAsia="zh-CN"/>
        </w:rPr>
        <w:tab/>
      </w:r>
      <w:r>
        <w:rPr>
          <w:rFonts w:hint="eastAsia" w:eastAsia="仿宋_GB2312" w:cs="Times New Roman"/>
          <w:sz w:val="32"/>
          <w:szCs w:val="32"/>
          <w:lang w:eastAsia="zh-CN"/>
        </w:rPr>
        <w:tab/>
      </w:r>
      <w:r>
        <w:rPr>
          <w:rFonts w:hint="eastAsia" w:ascii="仿宋_GB2312" w:hAnsi="仿宋_GB2312" w:eastAsia="仿宋_GB2312" w:cs="仿宋_GB2312"/>
          <w:color w:val="000000"/>
          <w:sz w:val="32"/>
          <w:szCs w:val="32"/>
          <w:lang w:val="en-US" w:eastAsia="zh-CN"/>
        </w:rPr>
        <w:t>常</w:t>
      </w:r>
      <w:r>
        <w:rPr>
          <w:rFonts w:hint="eastAsia" w:ascii="仿宋_GB2312" w:hAnsi="仿宋_GB2312" w:eastAsia="仿宋_GB2312" w:cs="仿宋_GB2312"/>
          <w:color w:val="000000"/>
          <w:sz w:val="32"/>
          <w:szCs w:val="32"/>
        </w:rPr>
        <w:t>钟行复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182</w:t>
      </w:r>
      <w:r>
        <w:rPr>
          <w:rFonts w:hint="eastAsia" w:ascii="仿宋_GB2312" w:hAnsi="仿宋_GB2312" w:eastAsia="仿宋_GB2312" w:cs="仿宋_GB2312"/>
          <w:color w:val="000000"/>
          <w:sz w:val="32"/>
          <w:szCs w:val="32"/>
        </w:rPr>
        <w:t>号</w:t>
      </w:r>
    </w:p>
    <w:p w14:paraId="454812A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eastAsia="仿宋_GB2312" w:cs="仿宋_GB2312"/>
          <w:sz w:val="32"/>
          <w:szCs w:val="32"/>
          <w:lang w:bidi="ar-SA"/>
        </w:rPr>
      </w:pPr>
    </w:p>
    <w:p w14:paraId="5D6F398D">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default" w:ascii="仿宋_GB2312" w:eastAsia="仿宋_GB2312" w:cs="仿宋_GB2312"/>
          <w:sz w:val="32"/>
          <w:szCs w:val="32"/>
          <w:lang w:val="en-US" w:eastAsia="zh-CN" w:bidi="ar-SA"/>
        </w:rPr>
      </w:pPr>
      <w:r>
        <w:rPr>
          <w:rFonts w:hint="eastAsia" w:ascii="仿宋_GB2312" w:eastAsia="仿宋_GB2312" w:cs="仿宋_GB2312"/>
          <w:sz w:val="32"/>
          <w:szCs w:val="32"/>
          <w:lang w:bidi="ar-SA"/>
        </w:rPr>
        <w:t>申请人：</w:t>
      </w:r>
      <w:r>
        <w:rPr>
          <w:rFonts w:hint="eastAsia" w:ascii="仿宋_GB2312" w:eastAsia="仿宋_GB2312" w:cs="仿宋_GB2312"/>
          <w:sz w:val="32"/>
          <w:szCs w:val="32"/>
          <w:lang w:eastAsia="zh-CN" w:bidi="ar-SA"/>
        </w:rPr>
        <w:t>靳某</w:t>
      </w:r>
    </w:p>
    <w:p w14:paraId="5448862D">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eastAsia" w:ascii="仿宋_GB2312" w:eastAsia="仿宋_GB2312" w:cs="仿宋_GB2312"/>
          <w:sz w:val="32"/>
          <w:szCs w:val="32"/>
          <w:lang w:bidi="ar-SA"/>
        </w:rPr>
      </w:pPr>
      <w:r>
        <w:rPr>
          <w:rFonts w:hint="eastAsia" w:ascii="仿宋_GB2312" w:eastAsia="仿宋_GB2312" w:cs="仿宋_GB2312"/>
          <w:sz w:val="32"/>
          <w:szCs w:val="32"/>
          <w:lang w:bidi="ar-SA"/>
        </w:rPr>
        <w:t>被申请人：常州市钟楼区市场监督管理局</w:t>
      </w:r>
    </w:p>
    <w:p w14:paraId="6F19876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bidi="ar-SA"/>
        </w:rPr>
      </w:pPr>
    </w:p>
    <w:p w14:paraId="29EF1E2C">
      <w:pPr>
        <w:keepNext w:val="0"/>
        <w:keepLines w:val="0"/>
        <w:pageBreakBefore w:val="0"/>
        <w:widowControl w:val="0"/>
        <w:kinsoku/>
        <w:wordWrap/>
        <w:overflowPunct/>
        <w:topLinePunct w:val="0"/>
        <w:autoSpaceDE/>
        <w:autoSpaceDN/>
        <w:bidi w:val="0"/>
        <w:adjustRightInd/>
        <w:snapToGrid/>
        <w:spacing w:line="600" w:lineRule="exact"/>
        <w:ind w:left="0" w:leftChars="0" w:firstLine="629"/>
        <w:textAlignment w:val="auto"/>
        <w:rPr>
          <w:rFonts w:hint="default" w:ascii="Times New Roman" w:hAnsi="Times New Roman" w:eastAsia="仿宋_GB2312" w:cs="Times New Roman"/>
          <w:sz w:val="32"/>
          <w:szCs w:val="24"/>
          <w:u w:val="single"/>
          <w:lang w:bidi="ar-SA"/>
        </w:rPr>
      </w:pPr>
      <w:r>
        <w:rPr>
          <w:rFonts w:hint="eastAsia" w:ascii="仿宋_GB2312" w:hAnsi="仿宋_GB2312" w:eastAsia="仿宋_GB2312" w:cs="仿宋_GB2312"/>
          <w:sz w:val="32"/>
          <w:szCs w:val="32"/>
          <w:u w:val="none"/>
          <w:lang w:val="en-US" w:eastAsia="zh-CN" w:bidi="ar-SA"/>
        </w:rPr>
        <w:t>申请人靳某不服被申请人</w:t>
      </w:r>
      <w:r>
        <w:rPr>
          <w:rFonts w:hint="default" w:ascii="Times New Roman" w:hAnsi="Times New Roman" w:eastAsia="仿宋_GB2312" w:cs="Times New Roman"/>
          <w:color w:val="000000"/>
          <w:sz w:val="32"/>
          <w:szCs w:val="32"/>
          <w:u w:val="none"/>
          <w:lang w:bidi="ar-SA"/>
        </w:rPr>
        <w:t>常州市钟楼区市场监督管理局</w:t>
      </w:r>
      <w:r>
        <w:rPr>
          <w:rFonts w:hint="eastAsia" w:ascii="仿宋_GB2312" w:hAnsi="仿宋_GB2312" w:eastAsia="仿宋_GB2312" w:cs="仿宋_GB2312"/>
          <w:sz w:val="32"/>
          <w:szCs w:val="32"/>
          <w:u w:val="none"/>
          <w:lang w:val="en-US" w:eastAsia="zh-CN" w:bidi="ar-SA"/>
        </w:rPr>
        <w:t>的举报处理行为，向常州市钟楼区人民政府申请行政复议，</w:t>
      </w:r>
      <w:r>
        <w:rPr>
          <w:rFonts w:hint="eastAsia" w:ascii="仿宋_GB2312" w:eastAsia="仿宋_GB2312" w:cs="仿宋_GB2312"/>
          <w:sz w:val="32"/>
          <w:szCs w:val="32"/>
          <w:u w:val="none"/>
          <w:lang w:val="en-US" w:eastAsia="zh-CN" w:bidi="ar-SA"/>
        </w:rPr>
        <w:t>本机关依法</w:t>
      </w:r>
      <w:r>
        <w:rPr>
          <w:rFonts w:hint="eastAsia" w:ascii="仿宋_GB2312" w:eastAsia="仿宋_GB2312" w:cs="仿宋_GB2312"/>
          <w:sz w:val="32"/>
          <w:szCs w:val="32"/>
          <w:highlight w:val="none"/>
          <w:u w:val="none"/>
          <w:lang w:val="en-US" w:eastAsia="zh-CN" w:bidi="ar-SA"/>
        </w:rPr>
        <w:t>于</w:t>
      </w:r>
      <w:r>
        <w:rPr>
          <w:rFonts w:hint="eastAsia" w:ascii="仿宋_GB2312" w:hAnsi="仿宋_GB2312" w:eastAsia="仿宋_GB2312" w:cs="仿宋_GB2312"/>
          <w:sz w:val="32"/>
          <w:szCs w:val="32"/>
          <w:highlight w:val="none"/>
          <w:u w:val="none"/>
          <w:lang w:val="en-US" w:eastAsia="zh-CN" w:bidi="ar-SA"/>
        </w:rPr>
        <w:t>2025</w:t>
      </w:r>
      <w:r>
        <w:rPr>
          <w:rFonts w:hint="eastAsia" w:ascii="仿宋_GB2312" w:hAnsi="仿宋_GB2312" w:eastAsia="仿宋_GB2312" w:cs="仿宋_GB2312"/>
          <w:sz w:val="32"/>
          <w:szCs w:val="24"/>
          <w:u w:val="none"/>
          <w:lang w:bidi="ar-SA"/>
        </w:rPr>
        <w:t>年</w:t>
      </w:r>
      <w:r>
        <w:rPr>
          <w:rFonts w:hint="eastAsia" w:ascii="仿宋_GB2312" w:hAnsi="仿宋_GB2312" w:eastAsia="仿宋_GB2312" w:cs="仿宋_GB2312"/>
          <w:sz w:val="32"/>
          <w:szCs w:val="24"/>
          <w:u w:val="none"/>
          <w:lang w:val="en-US" w:eastAsia="zh-CN" w:bidi="ar-SA"/>
        </w:rPr>
        <w:t>12</w:t>
      </w:r>
      <w:r>
        <w:rPr>
          <w:rFonts w:hint="eastAsia" w:ascii="仿宋_GB2312" w:hAnsi="仿宋_GB2312" w:eastAsia="仿宋_GB2312" w:cs="仿宋_GB2312"/>
          <w:sz w:val="32"/>
          <w:szCs w:val="24"/>
          <w:u w:val="none"/>
          <w:lang w:bidi="ar-SA"/>
        </w:rPr>
        <w:t>月</w:t>
      </w:r>
      <w:r>
        <w:rPr>
          <w:rFonts w:hint="eastAsia" w:ascii="仿宋_GB2312" w:hAnsi="仿宋_GB2312" w:eastAsia="仿宋_GB2312" w:cs="仿宋_GB2312"/>
          <w:sz w:val="32"/>
          <w:szCs w:val="24"/>
          <w:u w:val="none"/>
          <w:lang w:val="en-US" w:eastAsia="zh-CN" w:bidi="ar-SA"/>
        </w:rPr>
        <w:t>12</w:t>
      </w:r>
      <w:r>
        <w:rPr>
          <w:rFonts w:hint="eastAsia" w:ascii="仿宋_GB2312" w:hAnsi="仿宋_GB2312" w:eastAsia="仿宋_GB2312" w:cs="仿宋_GB2312"/>
          <w:sz w:val="32"/>
          <w:szCs w:val="24"/>
          <w:u w:val="none"/>
          <w:lang w:bidi="ar-SA"/>
        </w:rPr>
        <w:t>日</w:t>
      </w:r>
      <w:r>
        <w:rPr>
          <w:rFonts w:hint="eastAsia" w:ascii="仿宋_GB2312" w:hAnsi="仿宋_GB2312" w:eastAsia="仿宋_GB2312" w:cs="仿宋_GB2312"/>
          <w:sz w:val="32"/>
          <w:szCs w:val="24"/>
          <w:u w:val="none"/>
          <w:lang w:eastAsia="zh-CN" w:bidi="ar-SA"/>
        </w:rPr>
        <w:t>予以</w:t>
      </w:r>
      <w:r>
        <w:rPr>
          <w:rFonts w:hint="eastAsia" w:ascii="仿宋_GB2312" w:eastAsia="仿宋_GB2312" w:cs="仿宋_GB2312"/>
          <w:sz w:val="32"/>
          <w:szCs w:val="32"/>
          <w:u w:val="none"/>
          <w:lang w:val="en-US" w:eastAsia="zh-CN" w:bidi="ar-SA"/>
        </w:rPr>
        <w:t>受理。</w:t>
      </w:r>
      <w:r>
        <w:rPr>
          <w:rFonts w:hint="default" w:ascii="Times New Roman" w:hAnsi="Times New Roman" w:eastAsia="仿宋_GB2312" w:cs="Times New Roman"/>
          <w:sz w:val="32"/>
          <w:szCs w:val="24"/>
          <w:u w:val="none"/>
          <w:lang w:bidi="ar-SA"/>
        </w:rPr>
        <w:t>本案现已审</w:t>
      </w:r>
      <w:r>
        <w:rPr>
          <w:rFonts w:hint="default" w:ascii="Times New Roman" w:hAnsi="Times New Roman" w:eastAsia="仿宋_GB2312" w:cs="Times New Roman"/>
          <w:sz w:val="32"/>
          <w:szCs w:val="24"/>
          <w:u w:val="none"/>
          <w:lang w:eastAsia="zh-Hans" w:bidi="ar-SA"/>
        </w:rPr>
        <w:t>理</w:t>
      </w:r>
      <w:r>
        <w:rPr>
          <w:rFonts w:hint="default" w:ascii="Times New Roman" w:hAnsi="Times New Roman" w:eastAsia="仿宋_GB2312" w:cs="Times New Roman"/>
          <w:sz w:val="32"/>
          <w:szCs w:val="24"/>
          <w:u w:val="none"/>
          <w:lang w:bidi="ar-SA"/>
        </w:rPr>
        <w:t>终结。</w:t>
      </w:r>
    </w:p>
    <w:p w14:paraId="0798A39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eastAsia="仿宋_GB2312" w:cs="仿宋_GB2312"/>
          <w:sz w:val="32"/>
          <w:szCs w:val="32"/>
          <w:u w:val="none"/>
          <w:lang w:val="en-US" w:eastAsia="zh-CN" w:bidi="ar-SA"/>
        </w:rPr>
      </w:pPr>
      <w:r>
        <w:rPr>
          <w:rFonts w:hint="eastAsia" w:ascii="黑体" w:eastAsia="黑体" w:cs="黑体"/>
          <w:sz w:val="32"/>
          <w:szCs w:val="32"/>
          <w:u w:val="none"/>
          <w:lang w:val="en-US" w:eastAsia="zh-CN" w:bidi="ar-SA"/>
        </w:rPr>
        <w:t>申请人请求：</w:t>
      </w:r>
      <w:r>
        <w:rPr>
          <w:rFonts w:hint="eastAsia" w:ascii="仿宋_GB2312" w:eastAsia="仿宋_GB2312" w:cs="仿宋_GB2312"/>
          <w:sz w:val="32"/>
          <w:szCs w:val="32"/>
          <w:u w:val="none"/>
          <w:lang w:val="en-US" w:eastAsia="zh-CN" w:bidi="ar-SA"/>
        </w:rPr>
        <w:t>1.确认被申请人未在法定时间内履行举报处理职责行为违法；2.责令被申请人履行法定职责。</w:t>
      </w:r>
    </w:p>
    <w:p w14:paraId="0360796E">
      <w:pPr>
        <w:keepNext w:val="0"/>
        <w:keepLines w:val="0"/>
        <w:pageBreakBefore w:val="0"/>
        <w:widowControl w:val="0"/>
        <w:kinsoku/>
        <w:wordWrap/>
        <w:overflowPunct/>
        <w:topLinePunct w:val="0"/>
        <w:autoSpaceDE/>
        <w:autoSpaceDN/>
        <w:bidi w:val="0"/>
        <w:adjustRightInd/>
        <w:snapToGrid/>
        <w:spacing w:line="600" w:lineRule="exact"/>
        <w:ind w:left="0" w:leftChars="0" w:firstLine="629"/>
        <w:textAlignment w:val="auto"/>
        <w:rPr>
          <w:rFonts w:hint="eastAsia" w:ascii="仿宋_GB2312" w:hAnsi="仿宋_GB2312" w:eastAsia="仿宋_GB2312" w:cs="仿宋_GB2312"/>
          <w:sz w:val="32"/>
          <w:szCs w:val="32"/>
          <w:u w:val="none"/>
          <w:lang w:val="en-US" w:eastAsia="zh-CN" w:bidi="ar-SA"/>
        </w:rPr>
      </w:pPr>
      <w:r>
        <w:rPr>
          <w:rFonts w:hint="eastAsia" w:ascii="黑体" w:eastAsia="黑体" w:cs="黑体"/>
          <w:sz w:val="32"/>
          <w:szCs w:val="32"/>
          <w:u w:val="none"/>
          <w:lang w:val="en-US" w:eastAsia="zh-CN" w:bidi="ar-SA"/>
        </w:rPr>
        <w:t>申请人称：</w:t>
      </w:r>
      <w:r>
        <w:rPr>
          <w:rFonts w:hint="eastAsia" w:ascii="仿宋_GB2312" w:hAnsi="仿宋_GB2312" w:eastAsia="仿宋_GB2312" w:cs="仿宋_GB2312"/>
          <w:sz w:val="32"/>
          <w:szCs w:val="32"/>
          <w:u w:val="none"/>
          <w:lang w:val="en-US" w:eastAsia="zh-CN" w:bidi="ar-SA"/>
        </w:rPr>
        <w:t>本次复议的针对是未履行法定告知职责行为（举报是否立案）——申请人于2025年1月20日通过12315平台的方式向被申请人提出投诉举报案外人常州某有限公司涉嫌违反《食品安全法》等规定的违法行为，</w:t>
      </w:r>
      <w:bookmarkStart w:id="0" w:name="_GoBack"/>
      <w:bookmarkEnd w:id="0"/>
      <w:r>
        <w:rPr>
          <w:rFonts w:hint="eastAsia" w:ascii="仿宋_GB2312" w:hAnsi="仿宋_GB2312" w:eastAsia="仿宋_GB2312" w:cs="仿宋_GB2312"/>
          <w:sz w:val="32"/>
          <w:szCs w:val="32"/>
          <w:u w:val="none"/>
          <w:lang w:val="en-US" w:eastAsia="zh-CN" w:bidi="ar-SA"/>
        </w:rPr>
        <w:t>要求处理投诉和查处商家违法行为。被申请人直至今日未作出举报事项是否立案并告知。申请人不服特提起此次复议申请。由于被申请人未履行法定职责，未告知司法救济途径和期限，也未告知申请行政复议的权利、行政复议机关和申请期限，直至近日申请人才获知。依据《行政复议法》第三节“申请的提出”第二十条：公民、法人或者其他组织认为行政行为侵犯其合法权益的，可以自知道或者应当知道该行政行为之日起六十日内提出行政复议申请；但是法律规定的申请期限超过六十日的除外。因不可抗力或者其他正当理由耽误法定申请期限的，申请期限自障碍消除之日起继续计算。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依据《市场监督管理投诉举报处理暂行办法》第四条：县级以上地方市场监督管理部门负责本行政区域内的投诉举报处理工作。第七条：向市场监督管理部门同时提出投诉和举报，或者提供的材料同时包含投诉和举报内容的，市场监督管理部门应当按照本办法规定的程序对投诉和举报予以分别处理。第二十三条：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第三十一条：市场监督管理部门应当按照市场监督管理行政处罚等有关规定处理举报。举报人实名举报的，有处理权限的市场监督管理部门还应当自作出是否立案决定之日起五个工作日内告知举报人。第三十二条：法律、法规、规章规定市场监督管理部门应当将举报处理结果告知举报人或者对举报人实行奖励的，市场监督管理部门应当予以告知或者奖励。《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本案中被申请人针对收到申请人的投诉举报申请，明显包含投诉和举报的材料，应当针对投诉和举报进行分类处理。分别按照法定程序依法进行处理，此案系针对举报未履行法定职责（告知是否立案）提起复议。被申请人已经超出规定最大限期（15+15+5）个工作日。根据上述规章规定履行告知义务是被申请人的法定职责，此案被申请人超期履行告知职责（无论是否立案）已经违反上述规定，应当确认违法。综上所述，被申请人未履行法定职责依法处理申请人的举报，应当确认违法，请依法支持申请人的全部复议请求。</w:t>
      </w:r>
    </w:p>
    <w:p w14:paraId="6439AD7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申请人提交的主要证据材料有：</w:t>
      </w:r>
      <w:r>
        <w:rPr>
          <w:rFonts w:hint="eastAsia" w:ascii="仿宋_GB2312" w:hAnsi="仿宋_GB2312" w:eastAsia="仿宋_GB2312" w:cs="仿宋_GB2312"/>
          <w:sz w:val="32"/>
          <w:szCs w:val="32"/>
          <w:lang w:val="en-US" w:eastAsia="zh-CN"/>
        </w:rPr>
        <w:t>1.申请人身份证复印件；2.全国12315平台投诉单截图；3.案涉商品图片和交易记录截图。</w:t>
      </w:r>
    </w:p>
    <w:p w14:paraId="112CEE67">
      <w:pPr>
        <w:keepNext w:val="0"/>
        <w:keepLines w:val="0"/>
        <w:pageBreakBefore w:val="0"/>
        <w:widowControl w:val="0"/>
        <w:kinsoku/>
        <w:wordWrap w:val="0"/>
        <w:overflowPunct/>
        <w:topLinePunct w:val="0"/>
        <w:autoSpaceDE/>
        <w:autoSpaceDN/>
        <w:bidi w:val="0"/>
        <w:adjustRightInd/>
        <w:snapToGrid/>
        <w:spacing w:line="600" w:lineRule="exact"/>
        <w:ind w:left="0" w:leftChars="0" w:firstLine="629"/>
        <w:textAlignment w:val="auto"/>
        <w:rPr>
          <w:rFonts w:hint="eastAsia" w:ascii="仿宋_GB2312" w:eastAsia="仿宋_GB2312" w:cs="仿宋_GB2312"/>
          <w:sz w:val="32"/>
          <w:szCs w:val="32"/>
          <w:u w:val="none"/>
          <w:lang w:val="en-US" w:eastAsia="zh-CN" w:bidi="ar-SA"/>
        </w:rPr>
      </w:pPr>
      <w:r>
        <w:rPr>
          <w:rFonts w:hint="eastAsia" w:ascii="黑体" w:eastAsia="黑体" w:cs="黑体"/>
          <w:sz w:val="32"/>
          <w:szCs w:val="32"/>
          <w:u w:val="none"/>
          <w:lang w:val="en-US" w:eastAsia="zh-CN" w:bidi="ar-SA"/>
        </w:rPr>
        <w:t>被申请人答复称：</w:t>
      </w:r>
      <w:r>
        <w:rPr>
          <w:rFonts w:hint="eastAsia" w:ascii="仿宋_GB2312" w:eastAsia="仿宋_GB2312" w:cs="仿宋_GB2312"/>
          <w:sz w:val="32"/>
          <w:szCs w:val="32"/>
          <w:u w:val="none"/>
          <w:lang w:val="en-US" w:eastAsia="zh-CN" w:bidi="ar-SA"/>
        </w:rPr>
        <w:t>一、被申请人具有处理申请人投诉举报事项的法定职权。根据《中华人民共和国消费者权益法》第三十二条、《市场监督管理投诉举报处理暂行办法》第四条第二款之规定，被申请人具有处理本行政区域内投诉举报的法定职权。二、被申请人依法办理投诉，履行了法定职责。被申请人于2025年01月21日在江苏市场监管投诉举报平台接到申请人的投诉称，被投诉人常州某有限公司生产的某食品不符合食品安全标准，要求依法组织调解，赔偿1000元及货款。被申请人于2025年01月21日开始办理申请人的投诉，并于当日到被投诉人经营现场进行检查，被投诉人现场提供了上述产品的标签及产品检测报告并明确表示拒绝与投诉人进行调解。2025年01月24日被申请人通过江苏市场监管投诉举报平台向申请人反馈：“关于你的投诉，我局已依法受理。经审查，因在投诉的调解过程中出现《市场监督管理投诉举报处理暂行办法》第二十一条第（三）项所指情形（投诉人或者被投诉人无正当理由不参加调解，或者被投诉人明确拒绝调解的），我局决定终止调解。”三、被申请人对申请人投诉事项处理的程序合法。被申请人2025年01月21日收到江苏市场监管投诉举报平台的投诉单，并于当日开始受理其投诉。2025年01月24日通过江苏市场监管投诉举报平台反馈投诉处理结果，符合《市场监督管理投诉举报处理暂行办法》第二十一条第二款之规定。综上，被申请人办理该投诉事项的程序合法，履行了法定职责，恳请复议机关依法驳回其复议申请。</w:t>
      </w:r>
    </w:p>
    <w:p w14:paraId="11E7ACE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被</w:t>
      </w:r>
      <w:r>
        <w:rPr>
          <w:rFonts w:hint="eastAsia" w:ascii="楷体_GB2312" w:hAnsi="楷体_GB2312" w:eastAsia="楷体_GB2312" w:cs="楷体_GB2312"/>
          <w:sz w:val="32"/>
          <w:szCs w:val="32"/>
        </w:rPr>
        <w:t>申请人提交的主要证据材料有：</w:t>
      </w:r>
      <w:r>
        <w:rPr>
          <w:rFonts w:hint="eastAsia" w:ascii="仿宋_GB2312" w:hAnsi="仿宋_GB2312" w:eastAsia="仿宋_GB2312" w:cs="仿宋_GB2312"/>
          <w:sz w:val="32"/>
          <w:szCs w:val="32"/>
          <w:lang w:val="en-US" w:eastAsia="zh-CN"/>
        </w:rPr>
        <w:t>1.投诉材料；2.投诉办理时间线；3.现场笔录；4.办结信息；5.情况说明及检测报告；6.申请人投诉举报情况。</w:t>
      </w:r>
    </w:p>
    <w:p w14:paraId="42E1AA14">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黑体" w:eastAsia="黑体" w:cs="黑体"/>
          <w:sz w:val="32"/>
          <w:szCs w:val="32"/>
          <w:u w:val="none"/>
          <w:lang w:val="en-US" w:eastAsia="zh-CN" w:bidi="ar-SA"/>
        </w:rPr>
      </w:pPr>
      <w:r>
        <w:rPr>
          <w:rFonts w:hint="eastAsia" w:ascii="黑体" w:eastAsia="黑体" w:cs="黑体"/>
          <w:sz w:val="32"/>
          <w:szCs w:val="32"/>
          <w:u w:val="none"/>
          <w:lang w:val="en-US" w:eastAsia="zh-CN" w:bidi="ar-SA"/>
        </w:rPr>
        <w:t>经审理查明：</w:t>
      </w:r>
    </w:p>
    <w:p w14:paraId="15E079AF">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2025年1月20日，被申请人收到申请人提交的全国12315平台投诉单，反映常州某有限公司销售的某食品违反相关法律规定。1月21日，被申请人决定受理该投诉并于当日通过全国12315平台告知申请人的投诉受理情况。同日，被申请人前往被举报人住所钟楼区某地进行现场检查并制作现场笔录，被举报人表示案涉商品外包装标签经过了检测，且案涉食品并不属于现行颁布的保健食品功效宣称。被举报人现场提供相关情况说明和上述商品的标签检测报告并明确表示拒绝与申请人进行调解。1月24日，被申请人决定终止调解，并通过全国12315平台上告知申请人投诉终止调解结果。</w:t>
      </w:r>
    </w:p>
    <w:p w14:paraId="38A9C261">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楷体_GB2312" w:eastAsia="楷体_GB2312" w:cs="楷体_GB2312"/>
          <w:sz w:val="32"/>
          <w:szCs w:val="32"/>
          <w:u w:val="none"/>
          <w:lang w:val="en-US" w:eastAsia="zh-CN" w:bidi="ar-SA"/>
        </w:rPr>
      </w:pPr>
      <w:r>
        <w:rPr>
          <w:rFonts w:hint="eastAsia" w:ascii="楷体_GB2312" w:eastAsia="楷体_GB2312" w:cs="楷体_GB2312"/>
          <w:sz w:val="32"/>
          <w:szCs w:val="32"/>
          <w:u w:val="none"/>
          <w:lang w:val="en-US" w:eastAsia="zh-CN" w:bidi="ar-SA"/>
        </w:rPr>
        <w:t>上述事实有下列证据证明：</w:t>
      </w:r>
    </w:p>
    <w:p w14:paraId="02D5EB12">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lang w:val="en-US" w:eastAsia="zh-CN"/>
        </w:rPr>
        <w:t>1.投诉材料；2.投诉办理时间线；3.现场笔录；4.办结信息；5.情况说明及检测报告；6.申请人投诉举报情况</w:t>
      </w:r>
      <w:r>
        <w:rPr>
          <w:rFonts w:hint="eastAsia" w:ascii="仿宋_GB2312" w:hAnsi="仿宋_GB2312" w:eastAsia="仿宋_GB2312" w:cs="仿宋_GB2312"/>
          <w:sz w:val="32"/>
          <w:szCs w:val="32"/>
          <w:u w:val="none"/>
          <w:lang w:val="en-US" w:eastAsia="zh-CN" w:bidi="ar-SA"/>
        </w:rPr>
        <w:t>等。</w:t>
      </w:r>
    </w:p>
    <w:p w14:paraId="2796CC9E">
      <w:pPr>
        <w:keepNext w:val="0"/>
        <w:keepLines w:val="0"/>
        <w:pageBreakBefore w:val="0"/>
        <w:widowControl w:val="0"/>
        <w:kinsoku/>
        <w:wordWrap/>
        <w:overflowPunct/>
        <w:topLinePunct w:val="0"/>
        <w:autoSpaceDE/>
        <w:autoSpaceDN/>
        <w:bidi w:val="0"/>
        <w:adjustRightInd/>
        <w:snapToGrid/>
        <w:spacing w:line="600" w:lineRule="exact"/>
        <w:ind w:left="0" w:leftChars="0" w:firstLine="0"/>
        <w:jc w:val="both"/>
        <w:textAlignment w:val="auto"/>
        <w:outlineLvl w:val="9"/>
        <w:rPr>
          <w:rFonts w:hint="eastAsia" w:ascii="黑体" w:eastAsia="黑体" w:cs="黑体"/>
          <w:sz w:val="32"/>
          <w:szCs w:val="32"/>
          <w:u w:val="none"/>
          <w:lang w:val="en-US" w:eastAsia="zh-CN" w:bidi="ar-SA"/>
        </w:rPr>
      </w:pPr>
      <w:r>
        <w:rPr>
          <w:rFonts w:hint="eastAsia" w:ascii="黑体" w:eastAsia="黑体" w:cs="黑体"/>
          <w:sz w:val="32"/>
          <w:szCs w:val="32"/>
          <w:u w:val="none"/>
          <w:lang w:val="en-US" w:eastAsia="zh-CN" w:bidi="ar-SA"/>
        </w:rPr>
        <w:t>本机关认为：</w:t>
      </w:r>
    </w:p>
    <w:p w14:paraId="71358F5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根据《中华人民共和国行政复议法》第四十四条第二款第一项规定：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有下列情形之一的，申请人应当提供证据：（一）认为被申请人不履行法定职责的，提供曾经要求被申请人履行法定职责的证据，但是被申请人应当依职权主动履行法定职责或者申请人因正当理由不能提供的除外。</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《市场监督管理投诉举报处理暂行办法》第三条规定：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本办法所称的投诉，是指消费者为生活消费需要购买、使用商品或者接受服务，与经营者发生消费者权益争议，请求市场监督管理部门解决该争议的行为。本办法所称的举报，是指自然人、法人或者其他组织向市场监督管理部门反映经营者涉嫌违反市场监督管理法律、法规、规章线索的行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和第八条规定：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向市场监督管理部门提出投诉举报的，应当通过市场监督管理部门公布的接收投诉举报的互联网、电话、传真、邮寄地址、窗口等渠道进行。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根据上述规定，结合申请人提交的证据材料</w:t>
      </w:r>
      <w:r>
        <w:rPr>
          <w:rFonts w:hint="eastAsia" w:ascii="仿宋_GB2312" w:hAnsi="仿宋_GB2312" w:eastAsia="仿宋_GB2312" w:cs="仿宋_GB2312"/>
          <w:sz w:val="32"/>
          <w:szCs w:val="32"/>
        </w:rPr>
        <w:t>，全国12315平台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rPr>
        <w:t>须知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已明确告知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由于举报、投诉的处理程序不同，请勿在</w:t>
      </w:r>
      <w:r>
        <w:rPr>
          <w:rFonts w:hint="eastAsia"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rPr>
        <w:t>中含有</w:t>
      </w:r>
      <w:r>
        <w:rPr>
          <w:rFonts w:hint="eastAsia" w:ascii="仿宋_GB2312" w:hAnsi="仿宋_GB2312" w:eastAsia="仿宋_GB2312" w:cs="仿宋_GB2312"/>
          <w:sz w:val="32"/>
          <w:szCs w:val="32"/>
          <w:lang w:val="en-US" w:eastAsia="zh-CN"/>
        </w:rPr>
        <w:t>举报</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，申请人在知悉且同意全国12315平台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rPr>
        <w:t>须知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内容的情况下，仍通过该平台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我要</w:t>
      </w:r>
      <w:r>
        <w:rPr>
          <w:rFonts w:hint="eastAsia" w:eastAsia="仿宋_GB2312" w:cs="Times New Roman"/>
          <w:sz w:val="32"/>
          <w:szCs w:val="32"/>
          <w:lang w:val="en-US" w:eastAsia="zh-CN"/>
        </w:rPr>
        <w:t>投诉</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入口填写有关</w:t>
      </w:r>
      <w:r>
        <w:rPr>
          <w:rFonts w:hint="eastAsia" w:eastAsia="仿宋_GB2312" w:cs="Times New Roman"/>
          <w:sz w:val="32"/>
          <w:szCs w:val="32"/>
          <w:lang w:eastAsia="zh-CN"/>
        </w:rPr>
        <w:t>“</w:t>
      </w:r>
      <w:r>
        <w:rPr>
          <w:rFonts w:hint="eastAsia" w:eastAsia="仿宋_GB2312" w:cs="Times New Roman"/>
          <w:sz w:val="32"/>
          <w:szCs w:val="32"/>
          <w:lang w:val="en-US" w:eastAsia="zh-CN"/>
        </w:rPr>
        <w:t>退赔费用、赔偿损失</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w:t>
      </w:r>
      <w:r>
        <w:rPr>
          <w:rFonts w:hint="eastAsia" w:eastAsia="仿宋_GB2312" w:cs="Times New Roman"/>
          <w:sz w:val="32"/>
          <w:szCs w:val="32"/>
          <w:lang w:val="en-US" w:eastAsia="zh-CN"/>
        </w:rPr>
        <w:t>投诉</w:t>
      </w:r>
      <w:r>
        <w:rPr>
          <w:rFonts w:hint="default" w:ascii="Times New Roman" w:hAnsi="Times New Roman" w:eastAsia="仿宋_GB2312" w:cs="Times New Roman"/>
          <w:sz w:val="32"/>
          <w:szCs w:val="32"/>
        </w:rPr>
        <w:t>内容，系对</w:t>
      </w:r>
      <w:r>
        <w:rPr>
          <w:rFonts w:hint="eastAsia" w:eastAsia="仿宋_GB2312" w:cs="Times New Roman"/>
          <w:sz w:val="32"/>
          <w:szCs w:val="32"/>
          <w:lang w:val="en-US" w:eastAsia="zh-CN"/>
        </w:rPr>
        <w:t>经营者侵犯其合法权益的投诉</w:t>
      </w:r>
      <w:r>
        <w:rPr>
          <w:rFonts w:hint="default" w:ascii="Times New Roman" w:hAnsi="Times New Roman" w:eastAsia="仿宋_GB2312" w:cs="Times New Roman"/>
          <w:sz w:val="32"/>
          <w:szCs w:val="32"/>
        </w:rPr>
        <w:t>，而非对</w:t>
      </w:r>
      <w:r>
        <w:rPr>
          <w:rFonts w:hint="eastAsia" w:eastAsia="仿宋_GB2312" w:cs="Times New Roman"/>
          <w:sz w:val="32"/>
          <w:szCs w:val="32"/>
          <w:lang w:val="en-US" w:eastAsia="zh-CN"/>
        </w:rPr>
        <w:t>违反市场监督管理法律法规行为的举报</w:t>
      </w:r>
      <w:r>
        <w:rPr>
          <w:rFonts w:hint="default" w:ascii="Times New Roman" w:hAnsi="Times New Roman" w:eastAsia="仿宋_GB2312" w:cs="Times New Roman"/>
          <w:sz w:val="32"/>
          <w:szCs w:val="32"/>
        </w:rPr>
        <w:t>，故</w:t>
      </w:r>
      <w:r>
        <w:rPr>
          <w:rFonts w:hint="eastAsia" w:ascii="Times New Roman" w:hAnsi="Times New Roman" w:eastAsia="仿宋_GB2312" w:cs="Times New Roman"/>
          <w:sz w:val="32"/>
          <w:szCs w:val="32"/>
          <w:lang w:val="en-US" w:eastAsia="zh-CN"/>
        </w:rPr>
        <w:t>被申请人没有相应履行举报处理的法定职责。</w:t>
      </w:r>
    </w:p>
    <w:p w14:paraId="35CA757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依照《中华人民共和国行政复议法》第六十九条的规定，本机关决定：驳回申请人靳某的复议请求。</w:t>
      </w:r>
    </w:p>
    <w:p w14:paraId="4181AB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申请人如不服本决定，可以自收到本决定书之日起十五日内依法向常州市武进区人民法院提起行政诉讼。</w:t>
      </w:r>
    </w:p>
    <w:p w14:paraId="37CF91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p>
    <w:p w14:paraId="61DC1A7A">
      <w:pPr>
        <w:keepNext w:val="0"/>
        <w:keepLines w:val="0"/>
        <w:pageBreakBefore w:val="0"/>
        <w:widowControl w:val="0"/>
        <w:kinsoku/>
        <w:wordWrap/>
        <w:overflowPunct/>
        <w:topLinePunct w:val="0"/>
        <w:autoSpaceDE/>
        <w:autoSpaceDN/>
        <w:bidi w:val="0"/>
        <w:snapToGrid/>
        <w:spacing w:line="56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小标宋">
    <w:altName w:val="宋体"/>
    <w:panose1 w:val="020005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029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A2765">
                          <w:pPr>
                            <w:pStyle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EA2765">
                    <w:pPr>
                      <w:pStyle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B4A77"/>
    <w:rsid w:val="14477B1D"/>
    <w:rsid w:val="15186967"/>
    <w:rsid w:val="201D1135"/>
    <w:rsid w:val="21607408"/>
    <w:rsid w:val="248C684D"/>
    <w:rsid w:val="25EE23FC"/>
    <w:rsid w:val="277420AE"/>
    <w:rsid w:val="32BF4133"/>
    <w:rsid w:val="41B617E9"/>
    <w:rsid w:val="41E73448"/>
    <w:rsid w:val="428757CB"/>
    <w:rsid w:val="43766B6F"/>
    <w:rsid w:val="477C2483"/>
    <w:rsid w:val="52BD12C7"/>
    <w:rsid w:val="53FC12DE"/>
    <w:rsid w:val="5AA0004F"/>
    <w:rsid w:val="5ABD7192"/>
    <w:rsid w:val="5ABF4E13"/>
    <w:rsid w:val="61FA57DB"/>
    <w:rsid w:val="64D57352"/>
    <w:rsid w:val="67704224"/>
    <w:rsid w:val="679715F1"/>
    <w:rsid w:val="68051127"/>
    <w:rsid w:val="6AA12FE5"/>
    <w:rsid w:val="70383EEB"/>
    <w:rsid w:val="723A2391"/>
    <w:rsid w:val="724440CC"/>
    <w:rsid w:val="734877A6"/>
    <w:rsid w:val="74BF62E5"/>
    <w:rsid w:val="76CD220E"/>
    <w:rsid w:val="77FC6ECD"/>
    <w:rsid w:val="7A6861F0"/>
    <w:rsid w:val="7E40782A"/>
    <w:rsid w:val="9F3F9A03"/>
    <w:rsid w:val="FAAE7EA9"/>
    <w:rsid w:val="FFB9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3221</Words>
  <Characters>3327</Characters>
  <Lines>0</Lines>
  <Paragraphs>0</Paragraphs>
  <TotalTime>16</TotalTime>
  <ScaleCrop>false</ScaleCrop>
  <LinksUpToDate>false</LinksUpToDate>
  <CharactersWithSpaces>3329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2025-09-04T14:50:00Z</dcterms:created>
  <dc:creator>ROYSHEN</dc:creator>
  <cp:lastModifiedBy>玉晚</cp:lastModifiedBy>
  <dcterms:modified xsi:type="dcterms:W3CDTF">2026-01-15T06:20:55Z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eyJoZGlkIjoiOTFkYjZjY2UyMjE5OTdmMmQ1OThlYTAyYmY4ZjczMTYiLCJ1c2VySWQiOiIzODA4NzcxMzIifQ==</vt:lpwstr>
  </property>
  <property fmtid="{D5CDD505-2E9C-101B-9397-08002B2CF9AE}" pid="4" name="ICV">
    <vt:lpwstr>D6C39ADABAC34E7D91A91F2543CAEFD1_13</vt:lpwstr>
  </property>
</Properties>
</file>